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198" w:rsidRPr="002F45F7" w:rsidRDefault="00E60198"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E60198" w:rsidRPr="002F45F7" w:rsidRDefault="00E60198"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E60198" w:rsidRPr="002F45F7" w:rsidRDefault="00E60198"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E60198" w:rsidRPr="002F45F7" w:rsidRDefault="00E60198"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rsidTr="00B15F8B">
        <w:trPr>
          <w:trHeight w:val="557"/>
        </w:trPr>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rsidR="00B15F8B" w:rsidRPr="00F20055" w:rsidRDefault="00B8655C" w:rsidP="009E572F">
            <w:pPr>
              <w:spacing w:before="120" w:after="120"/>
              <w:rPr>
                <w:rFonts w:cs="Times New Roman"/>
                <w:b/>
                <w:szCs w:val="20"/>
              </w:rPr>
            </w:pPr>
            <w:r>
              <w:rPr>
                <w:rFonts w:cs="Times New Roman"/>
                <w:b/>
                <w:szCs w:val="20"/>
              </w:rPr>
              <w:t>Strategic Board</w:t>
            </w:r>
          </w:p>
        </w:tc>
        <w:tc>
          <w:tcPr>
            <w:tcW w:w="2056" w:type="dxa"/>
          </w:tcPr>
          <w:p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rsidR="00B15F8B" w:rsidRPr="00B15F8B" w:rsidRDefault="004321EA" w:rsidP="000B11F0">
            <w:pPr>
              <w:spacing w:before="120" w:after="120"/>
              <w:jc w:val="center"/>
              <w:rPr>
                <w:rFonts w:cs="Times New Roman"/>
                <w:sz w:val="32"/>
                <w:szCs w:val="32"/>
              </w:rPr>
            </w:pPr>
            <w:r>
              <w:rPr>
                <w:rFonts w:cs="Times New Roman"/>
                <w:sz w:val="32"/>
                <w:szCs w:val="32"/>
              </w:rPr>
              <w:t>8</w:t>
            </w:r>
            <w:bookmarkStart w:id="0" w:name="_GoBack"/>
            <w:bookmarkEnd w:id="0"/>
          </w:p>
        </w:tc>
      </w:tr>
      <w:tr w:rsidR="00B15F8B" w:rsidRPr="009E572F" w:rsidTr="00B15F8B">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rsidR="00B15F8B" w:rsidRPr="009E572F" w:rsidRDefault="00B8655C" w:rsidP="002D1785">
            <w:pPr>
              <w:spacing w:before="120" w:after="120"/>
              <w:rPr>
                <w:rFonts w:cs="Times New Roman"/>
                <w:szCs w:val="20"/>
              </w:rPr>
            </w:pPr>
            <w:r>
              <w:rPr>
                <w:rFonts w:cs="Times New Roman"/>
                <w:szCs w:val="20"/>
              </w:rPr>
              <w:t>7 March</w:t>
            </w:r>
            <w:r w:rsidR="00EB4084">
              <w:rPr>
                <w:rFonts w:cs="Times New Roman"/>
                <w:szCs w:val="20"/>
              </w:rPr>
              <w:t xml:space="preserve"> 2019</w:t>
            </w:r>
          </w:p>
        </w:tc>
        <w:tc>
          <w:tcPr>
            <w:tcW w:w="2056" w:type="dxa"/>
          </w:tcPr>
          <w:p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rsidR="00B15F8B" w:rsidRPr="00B15F8B" w:rsidRDefault="00B15F8B" w:rsidP="009E572F">
            <w:pPr>
              <w:spacing w:before="120" w:after="120"/>
              <w:rPr>
                <w:rFonts w:cs="Times New Roman"/>
                <w:b/>
                <w:szCs w:val="20"/>
              </w:rPr>
            </w:pP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rsidR="009E572F" w:rsidRDefault="00EB4084" w:rsidP="009E572F">
            <w:pPr>
              <w:spacing w:before="120" w:after="120"/>
              <w:rPr>
                <w:rFonts w:cs="Times New Roman"/>
                <w:szCs w:val="20"/>
              </w:rPr>
            </w:pPr>
            <w:r>
              <w:rPr>
                <w:rFonts w:cs="Times New Roman"/>
                <w:szCs w:val="20"/>
              </w:rPr>
              <w:t>Hannah Phipps, HR Policy &amp; Strategy Manager</w:t>
            </w:r>
          </w:p>
          <w:p w:rsidR="00EB4084" w:rsidRPr="00B15F8B" w:rsidRDefault="00EB4084" w:rsidP="009E572F">
            <w:pPr>
              <w:spacing w:before="120" w:after="120"/>
              <w:rPr>
                <w:rFonts w:cs="Times New Roman"/>
                <w:szCs w:val="20"/>
              </w:rPr>
            </w:pPr>
            <w:r>
              <w:rPr>
                <w:rFonts w:cs="Times New Roman"/>
                <w:szCs w:val="20"/>
              </w:rPr>
              <w:t>Martin Jones, HR Workforce Information Officer</w:t>
            </w:r>
          </w:p>
        </w:tc>
      </w:tr>
      <w:tr w:rsidR="009E572F" w:rsidRPr="009E572F" w:rsidTr="00B15F8B">
        <w:tc>
          <w:tcPr>
            <w:tcW w:w="2518" w:type="dxa"/>
            <w:tcBorders>
              <w:top w:val="single" w:sz="6" w:space="0" w:color="auto"/>
              <w:left w:val="single" w:sz="6" w:space="0" w:color="auto"/>
              <w:bottom w:val="single" w:sz="6" w:space="0" w:color="auto"/>
              <w:right w:val="single" w:sz="6" w:space="0" w:color="auto"/>
            </w:tcBorders>
          </w:tcPr>
          <w:p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9E572F" w:rsidRPr="009E572F" w:rsidRDefault="00EB4084" w:rsidP="009E572F">
            <w:pPr>
              <w:spacing w:before="120" w:after="120"/>
              <w:rPr>
                <w:rFonts w:cs="Times New Roman"/>
                <w:szCs w:val="20"/>
              </w:rPr>
            </w:pPr>
            <w:r>
              <w:rPr>
                <w:rFonts w:cs="Times New Roman"/>
                <w:szCs w:val="20"/>
              </w:rPr>
              <w:t>Colette Black, Assistant Director of HR</w:t>
            </w:r>
          </w:p>
        </w:tc>
      </w:tr>
      <w:tr w:rsidR="009E572F" w:rsidRPr="009E572F" w:rsidTr="00B15F8B">
        <w:tc>
          <w:tcPr>
            <w:tcW w:w="2518" w:type="dxa"/>
          </w:tcPr>
          <w:p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rsidR="009E572F" w:rsidRPr="003A46D1" w:rsidRDefault="00F20055" w:rsidP="009E572F">
            <w:pPr>
              <w:spacing w:before="120" w:after="120"/>
              <w:rPr>
                <w:rFonts w:cs="Times New Roman"/>
                <w:b/>
                <w:szCs w:val="20"/>
              </w:rPr>
            </w:pPr>
            <w:r>
              <w:rPr>
                <w:rFonts w:cs="Times New Roman"/>
                <w:b/>
                <w:szCs w:val="20"/>
              </w:rPr>
              <w:t>Annual Workforce Report</w:t>
            </w: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rsidR="009E572F" w:rsidRPr="009E572F" w:rsidRDefault="00140960" w:rsidP="00742718">
            <w:pPr>
              <w:tabs>
                <w:tab w:val="num" w:pos="567"/>
              </w:tabs>
              <w:spacing w:before="120" w:after="120"/>
              <w:rPr>
                <w:rFonts w:cs="Times New Roman"/>
                <w:szCs w:val="20"/>
              </w:rPr>
            </w:pPr>
            <w:r>
              <w:rPr>
                <w:rFonts w:cs="Times New Roman"/>
                <w:szCs w:val="20"/>
              </w:rPr>
              <w:t>Information</w:t>
            </w:r>
          </w:p>
        </w:tc>
      </w:tr>
    </w:tbl>
    <w:p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rsidR="009E572F" w:rsidRDefault="009E572F" w:rsidP="008C28CF">
      <w:pPr>
        <w:tabs>
          <w:tab w:val="num" w:pos="567"/>
        </w:tabs>
        <w:spacing w:after="120"/>
        <w:jc w:val="both"/>
        <w:rPr>
          <w:rFonts w:cs="Times New Roman"/>
          <w:szCs w:val="20"/>
        </w:rPr>
      </w:pPr>
    </w:p>
    <w:p w:rsidR="00A20145" w:rsidRDefault="00C0492F" w:rsidP="008C28CF">
      <w:pPr>
        <w:pStyle w:val="Heading1"/>
        <w:numPr>
          <w:ilvl w:val="0"/>
          <w:numId w:val="24"/>
        </w:numPr>
        <w:spacing w:after="0" w:line="600" w:lineRule="auto"/>
        <w:jc w:val="both"/>
      </w:pPr>
      <w:r w:rsidRPr="00C0492F">
        <w:t>Recommendations</w:t>
      </w:r>
    </w:p>
    <w:p w:rsidR="00BA0E3B" w:rsidRDefault="00BA0E3B" w:rsidP="008C28CF">
      <w:pPr>
        <w:jc w:val="both"/>
        <w:rPr>
          <w:color w:val="FF0000"/>
        </w:rPr>
      </w:pPr>
      <w:r>
        <w:t xml:space="preserve">Members of the </w:t>
      </w:r>
      <w:r w:rsidR="00BF5920">
        <w:t>Strategic Board</w:t>
      </w:r>
      <w:r>
        <w:t xml:space="preserve"> (Fire and Rescue) are asked to note the contents of the report</w:t>
      </w:r>
      <w:r w:rsidR="00CB2B8F">
        <w:t xml:space="preserve">. This paper provides an overview for the </w:t>
      </w:r>
      <w:r w:rsidR="00BF5920">
        <w:t>Strategic</w:t>
      </w:r>
      <w:r w:rsidR="00CB2B8F">
        <w:t xml:space="preserve"> Board (Fire and Rescue) on the Service’s workforce for the period 1</w:t>
      </w:r>
      <w:r w:rsidR="00CB2B8F" w:rsidRPr="00BA0E3B">
        <w:rPr>
          <w:vertAlign w:val="superscript"/>
        </w:rPr>
        <w:t>st</w:t>
      </w:r>
      <w:r w:rsidR="00CB2B8F">
        <w:t xml:space="preserve"> January 2018 – 31</w:t>
      </w:r>
      <w:r w:rsidR="00CB2B8F" w:rsidRPr="00BA0E3B">
        <w:rPr>
          <w:vertAlign w:val="superscript"/>
        </w:rPr>
        <w:t>st</w:t>
      </w:r>
      <w:r w:rsidR="00CB2B8F">
        <w:t xml:space="preserve"> December 2018</w:t>
      </w:r>
      <w:r w:rsidR="00CB2B8F" w:rsidRPr="00D97D6A">
        <w:rPr>
          <w:color w:val="FF0000"/>
        </w:rPr>
        <w:t>.</w:t>
      </w:r>
    </w:p>
    <w:p w:rsidR="005A71B2" w:rsidRPr="005A71B2" w:rsidRDefault="005A71B2" w:rsidP="008C28CF">
      <w:pPr>
        <w:jc w:val="both"/>
      </w:pPr>
    </w:p>
    <w:p w:rsidR="005A71B2" w:rsidRPr="005A71B2" w:rsidRDefault="005A71B2" w:rsidP="008C28CF">
      <w:pPr>
        <w:jc w:val="both"/>
      </w:pPr>
      <w:r w:rsidRPr="005A71B2">
        <w:t xml:space="preserve">It is recommended that future reports are brought in line with </w:t>
      </w:r>
      <w:r w:rsidR="00AB5B80">
        <w:t>the Home Office reporting and is moved to financial year rather than calendar year.</w:t>
      </w:r>
    </w:p>
    <w:p w:rsidR="00BA0E3B" w:rsidRDefault="00BA0E3B" w:rsidP="008C28CF">
      <w:pPr>
        <w:jc w:val="both"/>
      </w:pPr>
    </w:p>
    <w:p w:rsidR="00790D63" w:rsidRPr="00BA0E3B" w:rsidRDefault="00790D63" w:rsidP="008C28CF">
      <w:pPr>
        <w:jc w:val="both"/>
      </w:pPr>
    </w:p>
    <w:p w:rsidR="00C0492F" w:rsidRDefault="00C0492F" w:rsidP="008C28CF">
      <w:pPr>
        <w:pStyle w:val="Heading1"/>
        <w:numPr>
          <w:ilvl w:val="0"/>
          <w:numId w:val="24"/>
        </w:numPr>
        <w:spacing w:after="0" w:line="600" w:lineRule="auto"/>
        <w:jc w:val="both"/>
      </w:pPr>
      <w:r>
        <w:t>BACKGROUND</w:t>
      </w:r>
    </w:p>
    <w:p w:rsidR="00381CDF" w:rsidRDefault="00BA0E3B" w:rsidP="008C28CF">
      <w:pPr>
        <w:jc w:val="both"/>
      </w:pPr>
      <w:r w:rsidRPr="007506F6">
        <w:t xml:space="preserve">It should be noted that the overall headcount and Full Time Equivalent (FTE) figures include a number of employees that were on a career break at the end of 2018 and hence there is a minor variation from the figures reported in the December 2018 Finance Report. </w:t>
      </w:r>
    </w:p>
    <w:p w:rsidR="001A5A58" w:rsidRDefault="001A5A58" w:rsidP="008C28CF">
      <w:pPr>
        <w:jc w:val="both"/>
      </w:pPr>
    </w:p>
    <w:p w:rsidR="00381CDF" w:rsidRDefault="00381CDF" w:rsidP="008C28CF">
      <w:pPr>
        <w:jc w:val="both"/>
      </w:pPr>
      <w:r w:rsidRPr="007506F6">
        <w:t>For the purposes of this paper a</w:t>
      </w:r>
      <w:r w:rsidR="003473C1">
        <w:t xml:space="preserve"> series of data extracts were taken from our </w:t>
      </w:r>
      <w:r w:rsidR="00216BD3" w:rsidRPr="007506F6">
        <w:t>HR information</w:t>
      </w:r>
      <w:r w:rsidRPr="007506F6">
        <w:t xml:space="preserve"> system to drill down to the specific workforce metrics. It should be noted</w:t>
      </w:r>
      <w:r w:rsidR="00F32682" w:rsidRPr="007506F6">
        <w:t xml:space="preserve"> that, as at 31 December 2019,</w:t>
      </w:r>
      <w:r w:rsidRPr="007506F6">
        <w:t xml:space="preserve"> there </w:t>
      </w:r>
      <w:r w:rsidR="00F32682" w:rsidRPr="007506F6">
        <w:t>we</w:t>
      </w:r>
      <w:r w:rsidRPr="007506F6">
        <w:t xml:space="preserve">re </w:t>
      </w:r>
      <w:r w:rsidR="00DE2F4D" w:rsidRPr="007506F6">
        <w:t>76</w:t>
      </w:r>
      <w:r w:rsidRPr="007506F6">
        <w:t xml:space="preserve"> employees with multiple contracts (e.g. </w:t>
      </w:r>
      <w:proofErr w:type="spellStart"/>
      <w:r w:rsidRPr="007506F6">
        <w:t>Wholetime</w:t>
      </w:r>
      <w:proofErr w:type="spellEnd"/>
      <w:r w:rsidRPr="007506F6">
        <w:t xml:space="preserve"> On-Call or </w:t>
      </w:r>
      <w:proofErr w:type="spellStart"/>
      <w:r w:rsidRPr="007506F6">
        <w:t>Wholetime</w:t>
      </w:r>
      <w:proofErr w:type="spellEnd"/>
      <w:r w:rsidRPr="007506F6">
        <w:t xml:space="preserve"> </w:t>
      </w:r>
      <w:r>
        <w:t>with casual Support contract</w:t>
      </w:r>
      <w:r w:rsidR="003473C1">
        <w:t>s</w:t>
      </w:r>
      <w:r>
        <w:t>) therefore there are multiple record</w:t>
      </w:r>
      <w:r w:rsidR="003473C1">
        <w:t>s reported</w:t>
      </w:r>
      <w:r>
        <w:t>. Exit Interview data and Recruitment and Selection data have also been used to provide further analysis.</w:t>
      </w:r>
    </w:p>
    <w:p w:rsidR="009B5321" w:rsidRDefault="009B5321" w:rsidP="008C28CF">
      <w:pPr>
        <w:jc w:val="both"/>
      </w:pPr>
    </w:p>
    <w:p w:rsidR="009B5321" w:rsidRDefault="001A5A58" w:rsidP="008C28CF">
      <w:pPr>
        <w:jc w:val="both"/>
      </w:pPr>
      <w:r>
        <w:t>Calculations</w:t>
      </w:r>
      <w:r w:rsidR="009B5321">
        <w:t xml:space="preserve"> for averages and percentages have been rounded to one decimal place.</w:t>
      </w:r>
    </w:p>
    <w:p w:rsidR="00BA0E3B" w:rsidRDefault="00BA0E3B" w:rsidP="008C28CF">
      <w:pPr>
        <w:jc w:val="both"/>
      </w:pPr>
    </w:p>
    <w:p w:rsidR="00790D63" w:rsidRPr="00BA0E3B" w:rsidRDefault="00790D63" w:rsidP="008C28CF">
      <w:pPr>
        <w:jc w:val="both"/>
      </w:pPr>
    </w:p>
    <w:p w:rsidR="00A20145" w:rsidRDefault="00A924A7" w:rsidP="008C28CF">
      <w:pPr>
        <w:pStyle w:val="Heading1"/>
        <w:numPr>
          <w:ilvl w:val="0"/>
          <w:numId w:val="24"/>
        </w:numPr>
        <w:spacing w:after="0" w:line="600" w:lineRule="auto"/>
        <w:jc w:val="both"/>
      </w:pPr>
      <w:r>
        <w:lastRenderedPageBreak/>
        <w:t>Workforce demographics</w:t>
      </w:r>
    </w:p>
    <w:p w:rsidR="000E6986" w:rsidRDefault="000E6986" w:rsidP="000E6986">
      <w:r w:rsidRPr="007506F6">
        <w:t xml:space="preserve">As at 31 December 2018, the organisation employed </w:t>
      </w:r>
      <w:r w:rsidR="00DE2F4D" w:rsidRPr="007506F6">
        <w:t>1448</w:t>
      </w:r>
      <w:r w:rsidRPr="007506F6">
        <w:t xml:space="preserve"> employees, made up of </w:t>
      </w:r>
      <w:r w:rsidR="005A16AD" w:rsidRPr="007506F6">
        <w:t>292</w:t>
      </w:r>
      <w:r w:rsidRPr="007506F6">
        <w:t xml:space="preserve"> staff on Green Book terms and conditions and </w:t>
      </w:r>
      <w:r w:rsidR="005A16AD" w:rsidRPr="007506F6">
        <w:t>1156</w:t>
      </w:r>
      <w:r w:rsidRPr="007506F6">
        <w:t xml:space="preserve"> staff on Grey Book conditions. Table </w:t>
      </w:r>
      <w:r w:rsidR="00D97D6A" w:rsidRPr="007506F6">
        <w:t>1</w:t>
      </w:r>
      <w:r w:rsidRPr="007506F6">
        <w:t xml:space="preserve"> below shows the number of employees within each of the following work group categories; </w:t>
      </w:r>
      <w:proofErr w:type="spellStart"/>
      <w:r w:rsidRPr="007506F6">
        <w:t>Wholetime</w:t>
      </w:r>
      <w:proofErr w:type="spellEnd"/>
      <w:r w:rsidRPr="007506F6">
        <w:t xml:space="preserve"> Firefighters, On-Call Firefighters, Control and Support for both </w:t>
      </w:r>
      <w:r w:rsidRPr="009D6D77">
        <w:t xml:space="preserve">2017 and 2018. The overall headcount has increased by </w:t>
      </w:r>
      <w:r w:rsidR="00790D63" w:rsidRPr="009D6D77">
        <w:t>2</w:t>
      </w:r>
      <w:r w:rsidR="007506F6" w:rsidRPr="009D6D77">
        <w:t xml:space="preserve">. </w:t>
      </w:r>
      <w:proofErr w:type="spellStart"/>
      <w:r w:rsidR="007506F6" w:rsidRPr="009D6D77">
        <w:t>Wholetime</w:t>
      </w:r>
      <w:proofErr w:type="spellEnd"/>
      <w:r w:rsidR="007506F6" w:rsidRPr="009D6D77">
        <w:t xml:space="preserve"> FTE increase</w:t>
      </w:r>
      <w:r w:rsidRPr="009D6D77">
        <w:t xml:space="preserve"> is reflective </w:t>
      </w:r>
      <w:r w:rsidR="007506F6" w:rsidRPr="009D6D77">
        <w:t xml:space="preserve">of the 2018 </w:t>
      </w:r>
      <w:proofErr w:type="spellStart"/>
      <w:r w:rsidR="007506F6" w:rsidRPr="009D6D77">
        <w:t>Wholetime</w:t>
      </w:r>
      <w:proofErr w:type="spellEnd"/>
      <w:r w:rsidR="007506F6" w:rsidRPr="009D6D77">
        <w:t xml:space="preserve"> Recruitment campaign which saw a total of </w:t>
      </w:r>
      <w:r w:rsidR="009D6D77" w:rsidRPr="009D6D77">
        <w:t xml:space="preserve">2 squads of 12 and </w:t>
      </w:r>
      <w:r w:rsidR="001A5A58">
        <w:t>the final group of 5 on-call firefighters from the 2018 recruitment campaign moving into the whole time duty system.</w:t>
      </w:r>
      <w:r w:rsidR="00C61A78">
        <w:t xml:space="preserve"> </w:t>
      </w:r>
    </w:p>
    <w:p w:rsidR="000115A0" w:rsidRDefault="000115A0" w:rsidP="000E6986"/>
    <w:tbl>
      <w:tblPr>
        <w:tblStyle w:val="TableGrid"/>
        <w:tblW w:w="8743" w:type="dxa"/>
        <w:jc w:val="center"/>
        <w:tblLayout w:type="fixed"/>
        <w:tblLook w:val="04A0" w:firstRow="1" w:lastRow="0" w:firstColumn="1" w:lastColumn="0" w:noHBand="0" w:noVBand="1"/>
      </w:tblPr>
      <w:tblGrid>
        <w:gridCol w:w="1838"/>
        <w:gridCol w:w="1381"/>
        <w:gridCol w:w="1381"/>
        <w:gridCol w:w="1381"/>
        <w:gridCol w:w="1381"/>
        <w:gridCol w:w="1381"/>
      </w:tblGrid>
      <w:tr w:rsidR="00D97D6A" w:rsidRPr="005629D9" w:rsidTr="00FF0081">
        <w:trPr>
          <w:trHeight w:val="510"/>
          <w:jc w:val="center"/>
        </w:trPr>
        <w:tc>
          <w:tcPr>
            <w:tcW w:w="8743" w:type="dxa"/>
            <w:gridSpan w:val="6"/>
            <w:shd w:val="clear" w:color="auto" w:fill="0070C0"/>
            <w:vAlign w:val="center"/>
          </w:tcPr>
          <w:p w:rsidR="00D97D6A" w:rsidRDefault="00D97D6A" w:rsidP="004A4F49">
            <w:pPr>
              <w:jc w:val="center"/>
              <w:rPr>
                <w:rFonts w:asciiTheme="minorHAnsi" w:hAnsiTheme="minorHAnsi"/>
                <w:b/>
                <w:color w:val="FFFFFF" w:themeColor="background1"/>
              </w:rPr>
            </w:pPr>
            <w:r>
              <w:rPr>
                <w:rFonts w:asciiTheme="minorHAnsi" w:hAnsiTheme="minorHAnsi"/>
                <w:b/>
                <w:color w:val="FFFFFF" w:themeColor="background1"/>
              </w:rPr>
              <w:t xml:space="preserve">Table 1: </w:t>
            </w:r>
            <w:r w:rsidR="004A4F49">
              <w:rPr>
                <w:rFonts w:asciiTheme="minorHAnsi" w:hAnsiTheme="minorHAnsi"/>
                <w:b/>
                <w:color w:val="FFFFFF" w:themeColor="background1"/>
              </w:rPr>
              <w:t>Workforce Headcount / FTE</w:t>
            </w:r>
          </w:p>
        </w:tc>
      </w:tr>
      <w:tr w:rsidR="00985753" w:rsidRPr="005629D9" w:rsidTr="00985753">
        <w:trPr>
          <w:trHeight w:val="385"/>
          <w:jc w:val="center"/>
        </w:trPr>
        <w:tc>
          <w:tcPr>
            <w:tcW w:w="1838" w:type="dxa"/>
            <w:vMerge w:val="restart"/>
            <w:shd w:val="clear" w:color="auto" w:fill="0070C0"/>
            <w:vAlign w:val="center"/>
          </w:tcPr>
          <w:p w:rsidR="00985753" w:rsidRDefault="00985753" w:rsidP="00D97D6A">
            <w:pPr>
              <w:jc w:val="center"/>
              <w:rPr>
                <w:rFonts w:asciiTheme="minorHAnsi" w:hAnsiTheme="minorHAnsi"/>
              </w:rPr>
            </w:pPr>
            <w:r>
              <w:rPr>
                <w:rFonts w:asciiTheme="minorHAnsi" w:hAnsiTheme="minorHAnsi"/>
                <w:b/>
                <w:color w:val="FFFFFF" w:themeColor="background1"/>
              </w:rPr>
              <w:t>Employee Group</w:t>
            </w:r>
          </w:p>
        </w:tc>
        <w:tc>
          <w:tcPr>
            <w:tcW w:w="2762" w:type="dxa"/>
            <w:gridSpan w:val="2"/>
            <w:tcBorders>
              <w:right w:val="single" w:sz="12" w:space="0" w:color="auto"/>
            </w:tcBorders>
            <w:shd w:val="clear" w:color="auto" w:fill="0070C0"/>
            <w:vAlign w:val="center"/>
          </w:tcPr>
          <w:p w:rsidR="00985753" w:rsidRDefault="00985753" w:rsidP="00D97D6A">
            <w:pPr>
              <w:jc w:val="center"/>
              <w:rPr>
                <w:rFonts w:asciiTheme="minorHAnsi" w:hAnsiTheme="minorHAnsi"/>
                <w:b/>
                <w:color w:val="FFFFFF" w:themeColor="background1"/>
              </w:rPr>
            </w:pPr>
            <w:r>
              <w:rPr>
                <w:rFonts w:asciiTheme="minorHAnsi" w:hAnsiTheme="minorHAnsi"/>
                <w:b/>
                <w:color w:val="FFFFFF" w:themeColor="background1"/>
              </w:rPr>
              <w:t>2017</w:t>
            </w:r>
          </w:p>
        </w:tc>
        <w:tc>
          <w:tcPr>
            <w:tcW w:w="2762" w:type="dxa"/>
            <w:gridSpan w:val="2"/>
            <w:tcBorders>
              <w:left w:val="single" w:sz="12" w:space="0" w:color="auto"/>
              <w:right w:val="single" w:sz="12" w:space="0" w:color="auto"/>
            </w:tcBorders>
            <w:shd w:val="clear" w:color="auto" w:fill="0070C0"/>
            <w:vAlign w:val="center"/>
          </w:tcPr>
          <w:p w:rsidR="00985753" w:rsidRDefault="00985753" w:rsidP="00D97D6A">
            <w:pPr>
              <w:jc w:val="center"/>
              <w:rPr>
                <w:rFonts w:asciiTheme="minorHAnsi" w:hAnsiTheme="minorHAnsi"/>
                <w:b/>
                <w:color w:val="FFFFFF" w:themeColor="background1"/>
              </w:rPr>
            </w:pPr>
            <w:r>
              <w:rPr>
                <w:rFonts w:asciiTheme="minorHAnsi" w:hAnsiTheme="minorHAnsi"/>
                <w:b/>
                <w:color w:val="FFFFFF" w:themeColor="background1"/>
              </w:rPr>
              <w:t>2018</w:t>
            </w:r>
          </w:p>
        </w:tc>
        <w:tc>
          <w:tcPr>
            <w:tcW w:w="1381" w:type="dxa"/>
            <w:vMerge w:val="restart"/>
            <w:tcBorders>
              <w:left w:val="single" w:sz="12" w:space="0" w:color="auto"/>
            </w:tcBorders>
            <w:shd w:val="clear" w:color="auto" w:fill="0070C0"/>
            <w:vAlign w:val="center"/>
          </w:tcPr>
          <w:p w:rsidR="00985753" w:rsidRDefault="00985753" w:rsidP="00D97D6A">
            <w:pPr>
              <w:jc w:val="center"/>
              <w:rPr>
                <w:rFonts w:asciiTheme="minorHAnsi" w:hAnsiTheme="minorHAnsi"/>
                <w:b/>
                <w:color w:val="FFFFFF" w:themeColor="background1"/>
              </w:rPr>
            </w:pPr>
            <w:r>
              <w:rPr>
                <w:rFonts w:asciiTheme="minorHAnsi" w:hAnsiTheme="minorHAnsi"/>
                <w:b/>
                <w:color w:val="FFFFFF" w:themeColor="background1"/>
              </w:rPr>
              <w:t>FTE Variance</w:t>
            </w:r>
          </w:p>
        </w:tc>
      </w:tr>
      <w:tr w:rsidR="00985753" w:rsidRPr="005629D9" w:rsidTr="00985753">
        <w:trPr>
          <w:trHeight w:val="385"/>
          <w:jc w:val="center"/>
        </w:trPr>
        <w:tc>
          <w:tcPr>
            <w:tcW w:w="1838" w:type="dxa"/>
            <w:vMerge/>
            <w:shd w:val="clear" w:color="auto" w:fill="0070C0"/>
            <w:vAlign w:val="center"/>
          </w:tcPr>
          <w:p w:rsidR="00985753" w:rsidRDefault="00985753" w:rsidP="00D97D6A">
            <w:pPr>
              <w:jc w:val="center"/>
              <w:rPr>
                <w:rFonts w:asciiTheme="minorHAnsi" w:hAnsiTheme="minorHAnsi"/>
              </w:rPr>
            </w:pPr>
          </w:p>
        </w:tc>
        <w:tc>
          <w:tcPr>
            <w:tcW w:w="1381" w:type="dxa"/>
            <w:shd w:val="clear" w:color="auto" w:fill="0070C0"/>
            <w:vAlign w:val="center"/>
          </w:tcPr>
          <w:p w:rsidR="00985753" w:rsidRDefault="00985753" w:rsidP="00D97D6A">
            <w:pPr>
              <w:jc w:val="center"/>
              <w:rPr>
                <w:rFonts w:asciiTheme="minorHAnsi" w:hAnsiTheme="minorHAnsi"/>
              </w:rPr>
            </w:pPr>
            <w:r>
              <w:rPr>
                <w:rFonts w:asciiTheme="minorHAnsi" w:hAnsiTheme="minorHAnsi"/>
                <w:b/>
                <w:color w:val="FFFFFF" w:themeColor="background1"/>
              </w:rPr>
              <w:t>Headcount</w:t>
            </w:r>
          </w:p>
        </w:tc>
        <w:tc>
          <w:tcPr>
            <w:tcW w:w="1381" w:type="dxa"/>
            <w:tcBorders>
              <w:right w:val="single" w:sz="12" w:space="0" w:color="auto"/>
            </w:tcBorders>
            <w:shd w:val="clear" w:color="auto" w:fill="0070C0"/>
            <w:vAlign w:val="center"/>
          </w:tcPr>
          <w:p w:rsidR="00985753" w:rsidRDefault="00985753" w:rsidP="00D97D6A">
            <w:pPr>
              <w:jc w:val="center"/>
              <w:rPr>
                <w:rFonts w:asciiTheme="minorHAnsi" w:hAnsiTheme="minorHAnsi"/>
              </w:rPr>
            </w:pPr>
            <w:r>
              <w:rPr>
                <w:rFonts w:asciiTheme="minorHAnsi" w:hAnsiTheme="minorHAnsi"/>
                <w:b/>
                <w:color w:val="FFFFFF" w:themeColor="background1"/>
              </w:rPr>
              <w:t>FTE</w:t>
            </w:r>
          </w:p>
        </w:tc>
        <w:tc>
          <w:tcPr>
            <w:tcW w:w="1381" w:type="dxa"/>
            <w:tcBorders>
              <w:left w:val="single" w:sz="12" w:space="0" w:color="auto"/>
            </w:tcBorders>
            <w:shd w:val="clear" w:color="auto" w:fill="0070C0"/>
            <w:vAlign w:val="center"/>
          </w:tcPr>
          <w:p w:rsidR="00985753" w:rsidRDefault="00985753" w:rsidP="00D97D6A">
            <w:pPr>
              <w:jc w:val="center"/>
              <w:rPr>
                <w:rFonts w:asciiTheme="minorHAnsi" w:hAnsiTheme="minorHAnsi"/>
                <w:b/>
                <w:color w:val="FFFFFF" w:themeColor="background1"/>
              </w:rPr>
            </w:pPr>
            <w:r>
              <w:rPr>
                <w:rFonts w:asciiTheme="minorHAnsi" w:hAnsiTheme="minorHAnsi"/>
                <w:b/>
                <w:color w:val="FFFFFF" w:themeColor="background1"/>
              </w:rPr>
              <w:t>Headcount</w:t>
            </w:r>
          </w:p>
        </w:tc>
        <w:tc>
          <w:tcPr>
            <w:tcW w:w="1381" w:type="dxa"/>
            <w:tcBorders>
              <w:right w:val="single" w:sz="12" w:space="0" w:color="auto"/>
            </w:tcBorders>
            <w:shd w:val="clear" w:color="auto" w:fill="0070C0"/>
            <w:vAlign w:val="center"/>
          </w:tcPr>
          <w:p w:rsidR="00985753" w:rsidRDefault="00985753" w:rsidP="00D97D6A">
            <w:pPr>
              <w:jc w:val="center"/>
              <w:rPr>
                <w:rFonts w:asciiTheme="minorHAnsi" w:hAnsiTheme="minorHAnsi"/>
                <w:b/>
                <w:color w:val="FFFFFF" w:themeColor="background1"/>
              </w:rPr>
            </w:pPr>
            <w:r>
              <w:rPr>
                <w:rFonts w:asciiTheme="minorHAnsi" w:hAnsiTheme="minorHAnsi"/>
                <w:b/>
                <w:color w:val="FFFFFF" w:themeColor="background1"/>
              </w:rPr>
              <w:t>FTE</w:t>
            </w:r>
          </w:p>
        </w:tc>
        <w:tc>
          <w:tcPr>
            <w:tcW w:w="1381" w:type="dxa"/>
            <w:vMerge/>
            <w:tcBorders>
              <w:left w:val="single" w:sz="12" w:space="0" w:color="auto"/>
            </w:tcBorders>
            <w:shd w:val="clear" w:color="auto" w:fill="0070C0"/>
            <w:vAlign w:val="center"/>
          </w:tcPr>
          <w:p w:rsidR="00985753" w:rsidRDefault="00985753" w:rsidP="00D97D6A">
            <w:pPr>
              <w:jc w:val="center"/>
              <w:rPr>
                <w:rFonts w:asciiTheme="minorHAnsi" w:hAnsiTheme="minorHAnsi"/>
                <w:b/>
                <w:color w:val="FFFFFF" w:themeColor="background1"/>
              </w:rPr>
            </w:pPr>
          </w:p>
        </w:tc>
      </w:tr>
      <w:tr w:rsidR="00D97D6A" w:rsidRPr="005629D9" w:rsidTr="00985753">
        <w:trPr>
          <w:trHeight w:val="385"/>
          <w:jc w:val="center"/>
        </w:trPr>
        <w:tc>
          <w:tcPr>
            <w:tcW w:w="1838" w:type="dxa"/>
            <w:vAlign w:val="center"/>
          </w:tcPr>
          <w:p w:rsidR="00D97D6A" w:rsidRPr="005629D9" w:rsidRDefault="00D97D6A" w:rsidP="00D97D6A">
            <w:pPr>
              <w:rPr>
                <w:rFonts w:asciiTheme="minorHAnsi" w:hAnsiTheme="minorHAnsi"/>
              </w:rPr>
            </w:pPr>
            <w:proofErr w:type="spellStart"/>
            <w:r>
              <w:rPr>
                <w:rFonts w:asciiTheme="minorHAnsi" w:hAnsiTheme="minorHAnsi"/>
              </w:rPr>
              <w:t>Wholetime</w:t>
            </w:r>
            <w:proofErr w:type="spellEnd"/>
          </w:p>
        </w:tc>
        <w:tc>
          <w:tcPr>
            <w:tcW w:w="1381" w:type="dxa"/>
            <w:shd w:val="clear" w:color="auto" w:fill="auto"/>
            <w:vAlign w:val="center"/>
          </w:tcPr>
          <w:p w:rsidR="00D97D6A" w:rsidRPr="005629D9" w:rsidRDefault="00D97D6A" w:rsidP="00D97D6A">
            <w:pPr>
              <w:jc w:val="center"/>
              <w:rPr>
                <w:rFonts w:asciiTheme="minorHAnsi" w:hAnsiTheme="minorHAnsi"/>
              </w:rPr>
            </w:pPr>
            <w:r>
              <w:rPr>
                <w:rFonts w:asciiTheme="minorHAnsi" w:hAnsiTheme="minorHAnsi"/>
              </w:rPr>
              <w:t>600</w:t>
            </w:r>
          </w:p>
        </w:tc>
        <w:tc>
          <w:tcPr>
            <w:tcW w:w="1381" w:type="dxa"/>
            <w:tcBorders>
              <w:right w:val="single" w:sz="12" w:space="0" w:color="auto"/>
            </w:tcBorders>
            <w:vAlign w:val="center"/>
          </w:tcPr>
          <w:p w:rsidR="00D97D6A" w:rsidRDefault="00D97D6A" w:rsidP="00D97D6A">
            <w:pPr>
              <w:jc w:val="center"/>
              <w:rPr>
                <w:rFonts w:asciiTheme="minorHAnsi" w:hAnsiTheme="minorHAnsi"/>
              </w:rPr>
            </w:pPr>
            <w:r>
              <w:rPr>
                <w:rFonts w:asciiTheme="minorHAnsi" w:hAnsiTheme="minorHAnsi"/>
              </w:rPr>
              <w:t>600</w:t>
            </w:r>
            <w:r w:rsidR="00790D63">
              <w:rPr>
                <w:rFonts w:asciiTheme="minorHAnsi" w:hAnsiTheme="minorHAnsi"/>
              </w:rPr>
              <w:t>.0</w:t>
            </w:r>
          </w:p>
        </w:tc>
        <w:tc>
          <w:tcPr>
            <w:tcW w:w="1381" w:type="dxa"/>
            <w:tcBorders>
              <w:left w:val="single" w:sz="12" w:space="0" w:color="auto"/>
            </w:tcBorders>
            <w:vAlign w:val="center"/>
          </w:tcPr>
          <w:p w:rsidR="00D97D6A" w:rsidRDefault="00D97D6A" w:rsidP="00D97D6A">
            <w:pPr>
              <w:jc w:val="center"/>
              <w:rPr>
                <w:rFonts w:asciiTheme="minorHAnsi" w:hAnsiTheme="minorHAnsi"/>
              </w:rPr>
            </w:pPr>
            <w:r>
              <w:rPr>
                <w:rFonts w:asciiTheme="minorHAnsi" w:hAnsiTheme="minorHAnsi"/>
              </w:rPr>
              <w:t>622</w:t>
            </w:r>
          </w:p>
        </w:tc>
        <w:tc>
          <w:tcPr>
            <w:tcW w:w="1381" w:type="dxa"/>
            <w:tcBorders>
              <w:right w:val="single" w:sz="12" w:space="0" w:color="auto"/>
            </w:tcBorders>
            <w:vAlign w:val="center"/>
          </w:tcPr>
          <w:p w:rsidR="00D97D6A" w:rsidRDefault="00D97D6A" w:rsidP="00D97D6A">
            <w:pPr>
              <w:jc w:val="center"/>
              <w:rPr>
                <w:rFonts w:asciiTheme="minorHAnsi" w:hAnsiTheme="minorHAnsi"/>
              </w:rPr>
            </w:pPr>
            <w:r>
              <w:rPr>
                <w:rFonts w:asciiTheme="minorHAnsi" w:hAnsiTheme="minorHAnsi"/>
              </w:rPr>
              <w:t>621.00</w:t>
            </w:r>
          </w:p>
        </w:tc>
        <w:tc>
          <w:tcPr>
            <w:tcW w:w="1381" w:type="dxa"/>
            <w:tcBorders>
              <w:left w:val="single" w:sz="12" w:space="0" w:color="auto"/>
            </w:tcBorders>
            <w:vAlign w:val="center"/>
          </w:tcPr>
          <w:p w:rsidR="00D97D6A" w:rsidRDefault="00DA2FE2" w:rsidP="00985753">
            <w:pPr>
              <w:jc w:val="center"/>
              <w:rPr>
                <w:rFonts w:asciiTheme="minorHAnsi" w:hAnsiTheme="minorHAnsi"/>
              </w:rPr>
            </w:pPr>
            <w:r>
              <w:rPr>
                <w:rFonts w:asciiTheme="minorHAnsi" w:hAnsiTheme="minorHAnsi"/>
              </w:rPr>
              <w:t>+ 3.4%</w:t>
            </w:r>
          </w:p>
        </w:tc>
      </w:tr>
      <w:tr w:rsidR="00D97D6A" w:rsidRPr="005629D9" w:rsidTr="00985753">
        <w:trPr>
          <w:trHeight w:val="385"/>
          <w:jc w:val="center"/>
        </w:trPr>
        <w:tc>
          <w:tcPr>
            <w:tcW w:w="1838" w:type="dxa"/>
            <w:vAlign w:val="center"/>
          </w:tcPr>
          <w:p w:rsidR="00D97D6A" w:rsidRPr="005629D9" w:rsidRDefault="00D97D6A" w:rsidP="00D97D6A">
            <w:pPr>
              <w:rPr>
                <w:rFonts w:asciiTheme="minorHAnsi" w:hAnsiTheme="minorHAnsi"/>
              </w:rPr>
            </w:pPr>
            <w:r>
              <w:rPr>
                <w:rFonts w:asciiTheme="minorHAnsi" w:hAnsiTheme="minorHAnsi"/>
              </w:rPr>
              <w:t>On-Call</w:t>
            </w:r>
          </w:p>
        </w:tc>
        <w:tc>
          <w:tcPr>
            <w:tcW w:w="1381" w:type="dxa"/>
            <w:shd w:val="clear" w:color="auto" w:fill="auto"/>
            <w:vAlign w:val="center"/>
          </w:tcPr>
          <w:p w:rsidR="00D97D6A" w:rsidRPr="005629D9" w:rsidRDefault="00D97D6A" w:rsidP="00D97D6A">
            <w:pPr>
              <w:jc w:val="center"/>
              <w:rPr>
                <w:rFonts w:asciiTheme="minorHAnsi" w:hAnsiTheme="minorHAnsi"/>
              </w:rPr>
            </w:pPr>
            <w:r>
              <w:rPr>
                <w:rFonts w:asciiTheme="minorHAnsi" w:hAnsiTheme="minorHAnsi"/>
              </w:rPr>
              <w:t>509</w:t>
            </w:r>
          </w:p>
        </w:tc>
        <w:tc>
          <w:tcPr>
            <w:tcW w:w="1381" w:type="dxa"/>
            <w:tcBorders>
              <w:right w:val="single" w:sz="12" w:space="0" w:color="auto"/>
            </w:tcBorders>
            <w:vAlign w:val="center"/>
          </w:tcPr>
          <w:p w:rsidR="00D97D6A" w:rsidRDefault="00D97D6A" w:rsidP="00D97D6A">
            <w:pPr>
              <w:jc w:val="center"/>
              <w:rPr>
                <w:rFonts w:asciiTheme="minorHAnsi" w:hAnsiTheme="minorHAnsi"/>
              </w:rPr>
            </w:pPr>
            <w:r>
              <w:rPr>
                <w:rFonts w:asciiTheme="minorHAnsi" w:hAnsiTheme="minorHAnsi"/>
              </w:rPr>
              <w:t>407.5</w:t>
            </w:r>
          </w:p>
        </w:tc>
        <w:tc>
          <w:tcPr>
            <w:tcW w:w="1381" w:type="dxa"/>
            <w:tcBorders>
              <w:left w:val="single" w:sz="12" w:space="0" w:color="auto"/>
            </w:tcBorders>
            <w:vAlign w:val="center"/>
          </w:tcPr>
          <w:p w:rsidR="00D97D6A" w:rsidRDefault="00D97D6A" w:rsidP="00D97D6A">
            <w:pPr>
              <w:jc w:val="center"/>
              <w:rPr>
                <w:rFonts w:asciiTheme="minorHAnsi" w:hAnsiTheme="minorHAnsi"/>
              </w:rPr>
            </w:pPr>
            <w:r>
              <w:rPr>
                <w:rFonts w:asciiTheme="minorHAnsi" w:hAnsiTheme="minorHAnsi"/>
              </w:rPr>
              <w:t>497</w:t>
            </w:r>
          </w:p>
        </w:tc>
        <w:tc>
          <w:tcPr>
            <w:tcW w:w="1381" w:type="dxa"/>
            <w:tcBorders>
              <w:right w:val="single" w:sz="12" w:space="0" w:color="auto"/>
            </w:tcBorders>
            <w:vAlign w:val="center"/>
          </w:tcPr>
          <w:p w:rsidR="00D97D6A" w:rsidRDefault="00D97D6A" w:rsidP="00D97D6A">
            <w:pPr>
              <w:jc w:val="center"/>
              <w:rPr>
                <w:rFonts w:asciiTheme="minorHAnsi" w:hAnsiTheme="minorHAnsi"/>
              </w:rPr>
            </w:pPr>
            <w:r>
              <w:rPr>
                <w:rFonts w:asciiTheme="minorHAnsi" w:hAnsiTheme="minorHAnsi"/>
              </w:rPr>
              <w:t>395.00</w:t>
            </w:r>
          </w:p>
        </w:tc>
        <w:tc>
          <w:tcPr>
            <w:tcW w:w="1381" w:type="dxa"/>
            <w:tcBorders>
              <w:left w:val="single" w:sz="12" w:space="0" w:color="auto"/>
            </w:tcBorders>
            <w:vAlign w:val="center"/>
          </w:tcPr>
          <w:p w:rsidR="00D97D6A" w:rsidRDefault="000E69A5" w:rsidP="00985753">
            <w:pPr>
              <w:jc w:val="center"/>
              <w:rPr>
                <w:rFonts w:asciiTheme="minorHAnsi" w:hAnsiTheme="minorHAnsi"/>
              </w:rPr>
            </w:pPr>
            <w:r>
              <w:rPr>
                <w:rFonts w:asciiTheme="minorHAnsi" w:hAnsiTheme="minorHAnsi"/>
              </w:rPr>
              <w:t>- 3.1%</w:t>
            </w:r>
          </w:p>
        </w:tc>
      </w:tr>
      <w:tr w:rsidR="00D97D6A" w:rsidRPr="005629D9" w:rsidTr="00985753">
        <w:trPr>
          <w:trHeight w:val="385"/>
          <w:jc w:val="center"/>
        </w:trPr>
        <w:tc>
          <w:tcPr>
            <w:tcW w:w="1838" w:type="dxa"/>
            <w:vAlign w:val="center"/>
          </w:tcPr>
          <w:p w:rsidR="00D97D6A" w:rsidRPr="005629D9" w:rsidRDefault="00D97D6A" w:rsidP="00D97D6A">
            <w:pPr>
              <w:rPr>
                <w:rFonts w:asciiTheme="minorHAnsi" w:hAnsiTheme="minorHAnsi"/>
              </w:rPr>
            </w:pPr>
            <w:r>
              <w:rPr>
                <w:rFonts w:asciiTheme="minorHAnsi" w:hAnsiTheme="minorHAnsi"/>
              </w:rPr>
              <w:t>Support</w:t>
            </w:r>
          </w:p>
        </w:tc>
        <w:tc>
          <w:tcPr>
            <w:tcW w:w="1381" w:type="dxa"/>
            <w:shd w:val="clear" w:color="auto" w:fill="auto"/>
            <w:vAlign w:val="center"/>
          </w:tcPr>
          <w:p w:rsidR="00D97D6A" w:rsidRPr="005629D9" w:rsidRDefault="00985753" w:rsidP="00D97D6A">
            <w:pPr>
              <w:jc w:val="center"/>
              <w:rPr>
                <w:rFonts w:asciiTheme="minorHAnsi" w:hAnsiTheme="minorHAnsi"/>
              </w:rPr>
            </w:pPr>
            <w:r>
              <w:rPr>
                <w:rFonts w:asciiTheme="minorHAnsi" w:hAnsiTheme="minorHAnsi"/>
              </w:rPr>
              <w:t>302</w:t>
            </w:r>
          </w:p>
        </w:tc>
        <w:tc>
          <w:tcPr>
            <w:tcW w:w="1381" w:type="dxa"/>
            <w:tcBorders>
              <w:right w:val="single" w:sz="12" w:space="0" w:color="auto"/>
            </w:tcBorders>
            <w:vAlign w:val="center"/>
          </w:tcPr>
          <w:p w:rsidR="00D97D6A" w:rsidRDefault="00985753" w:rsidP="00D97D6A">
            <w:pPr>
              <w:jc w:val="center"/>
              <w:rPr>
                <w:rFonts w:asciiTheme="minorHAnsi" w:hAnsiTheme="minorHAnsi"/>
              </w:rPr>
            </w:pPr>
            <w:r>
              <w:rPr>
                <w:rFonts w:asciiTheme="minorHAnsi" w:hAnsiTheme="minorHAnsi"/>
              </w:rPr>
              <w:t>279.2</w:t>
            </w:r>
          </w:p>
        </w:tc>
        <w:tc>
          <w:tcPr>
            <w:tcW w:w="1381" w:type="dxa"/>
            <w:tcBorders>
              <w:left w:val="single" w:sz="12" w:space="0" w:color="auto"/>
            </w:tcBorders>
            <w:vAlign w:val="center"/>
          </w:tcPr>
          <w:p w:rsidR="00D97D6A" w:rsidRDefault="00D97D6A" w:rsidP="00D97D6A">
            <w:pPr>
              <w:jc w:val="center"/>
              <w:rPr>
                <w:rFonts w:asciiTheme="minorHAnsi" w:hAnsiTheme="minorHAnsi"/>
              </w:rPr>
            </w:pPr>
            <w:r>
              <w:rPr>
                <w:rFonts w:asciiTheme="minorHAnsi" w:hAnsiTheme="minorHAnsi"/>
              </w:rPr>
              <w:t>292</w:t>
            </w:r>
          </w:p>
        </w:tc>
        <w:tc>
          <w:tcPr>
            <w:tcW w:w="1381" w:type="dxa"/>
            <w:tcBorders>
              <w:right w:val="single" w:sz="12" w:space="0" w:color="auto"/>
            </w:tcBorders>
            <w:vAlign w:val="center"/>
          </w:tcPr>
          <w:p w:rsidR="00D97D6A" w:rsidRDefault="00D97D6A" w:rsidP="00D97D6A">
            <w:pPr>
              <w:jc w:val="center"/>
              <w:rPr>
                <w:rFonts w:asciiTheme="minorHAnsi" w:hAnsiTheme="minorHAnsi"/>
              </w:rPr>
            </w:pPr>
            <w:r>
              <w:rPr>
                <w:rFonts w:asciiTheme="minorHAnsi" w:hAnsiTheme="minorHAnsi"/>
              </w:rPr>
              <w:t>273.16</w:t>
            </w:r>
          </w:p>
        </w:tc>
        <w:tc>
          <w:tcPr>
            <w:tcW w:w="1381" w:type="dxa"/>
            <w:tcBorders>
              <w:left w:val="single" w:sz="12" w:space="0" w:color="auto"/>
            </w:tcBorders>
            <w:vAlign w:val="center"/>
          </w:tcPr>
          <w:p w:rsidR="00D97D6A" w:rsidRDefault="000E69A5" w:rsidP="00985753">
            <w:pPr>
              <w:jc w:val="center"/>
              <w:rPr>
                <w:rFonts w:asciiTheme="minorHAnsi" w:hAnsiTheme="minorHAnsi"/>
              </w:rPr>
            </w:pPr>
            <w:r>
              <w:rPr>
                <w:rFonts w:asciiTheme="minorHAnsi" w:hAnsiTheme="minorHAnsi"/>
              </w:rPr>
              <w:t>- 2.2%</w:t>
            </w:r>
          </w:p>
        </w:tc>
      </w:tr>
      <w:tr w:rsidR="00D97D6A" w:rsidRPr="005629D9" w:rsidTr="00985753">
        <w:trPr>
          <w:trHeight w:val="385"/>
          <w:jc w:val="center"/>
        </w:trPr>
        <w:tc>
          <w:tcPr>
            <w:tcW w:w="1838" w:type="dxa"/>
            <w:vAlign w:val="center"/>
          </w:tcPr>
          <w:p w:rsidR="00D97D6A" w:rsidRPr="005629D9" w:rsidRDefault="00D97D6A" w:rsidP="00D97D6A">
            <w:pPr>
              <w:rPr>
                <w:rFonts w:asciiTheme="minorHAnsi" w:hAnsiTheme="minorHAnsi"/>
              </w:rPr>
            </w:pPr>
            <w:r>
              <w:rPr>
                <w:rFonts w:asciiTheme="minorHAnsi" w:hAnsiTheme="minorHAnsi"/>
              </w:rPr>
              <w:t>Control</w:t>
            </w:r>
          </w:p>
        </w:tc>
        <w:tc>
          <w:tcPr>
            <w:tcW w:w="1381" w:type="dxa"/>
            <w:shd w:val="clear" w:color="auto" w:fill="auto"/>
            <w:vAlign w:val="center"/>
          </w:tcPr>
          <w:p w:rsidR="00D97D6A" w:rsidRPr="005629D9" w:rsidRDefault="00985753" w:rsidP="00D97D6A">
            <w:pPr>
              <w:jc w:val="center"/>
              <w:rPr>
                <w:rFonts w:asciiTheme="minorHAnsi" w:hAnsiTheme="minorHAnsi"/>
              </w:rPr>
            </w:pPr>
            <w:r>
              <w:rPr>
                <w:rFonts w:asciiTheme="minorHAnsi" w:hAnsiTheme="minorHAnsi"/>
              </w:rPr>
              <w:t>35</w:t>
            </w:r>
          </w:p>
        </w:tc>
        <w:tc>
          <w:tcPr>
            <w:tcW w:w="1381" w:type="dxa"/>
            <w:tcBorders>
              <w:right w:val="single" w:sz="12" w:space="0" w:color="auto"/>
            </w:tcBorders>
            <w:vAlign w:val="center"/>
          </w:tcPr>
          <w:p w:rsidR="00D97D6A" w:rsidRDefault="00985753" w:rsidP="00D97D6A">
            <w:pPr>
              <w:jc w:val="center"/>
              <w:rPr>
                <w:rFonts w:asciiTheme="minorHAnsi" w:hAnsiTheme="minorHAnsi"/>
              </w:rPr>
            </w:pPr>
            <w:r>
              <w:rPr>
                <w:rFonts w:asciiTheme="minorHAnsi" w:hAnsiTheme="minorHAnsi"/>
              </w:rPr>
              <w:t>32.3</w:t>
            </w:r>
          </w:p>
        </w:tc>
        <w:tc>
          <w:tcPr>
            <w:tcW w:w="1381" w:type="dxa"/>
            <w:tcBorders>
              <w:left w:val="single" w:sz="12" w:space="0" w:color="auto"/>
            </w:tcBorders>
            <w:vAlign w:val="center"/>
          </w:tcPr>
          <w:p w:rsidR="00D97D6A" w:rsidRDefault="00D97D6A" w:rsidP="00D97D6A">
            <w:pPr>
              <w:jc w:val="center"/>
              <w:rPr>
                <w:rFonts w:asciiTheme="minorHAnsi" w:hAnsiTheme="minorHAnsi"/>
              </w:rPr>
            </w:pPr>
            <w:r>
              <w:rPr>
                <w:rFonts w:asciiTheme="minorHAnsi" w:hAnsiTheme="minorHAnsi"/>
              </w:rPr>
              <w:t>37</w:t>
            </w:r>
          </w:p>
        </w:tc>
        <w:tc>
          <w:tcPr>
            <w:tcW w:w="1381" w:type="dxa"/>
            <w:tcBorders>
              <w:right w:val="single" w:sz="12" w:space="0" w:color="auto"/>
            </w:tcBorders>
            <w:vAlign w:val="center"/>
          </w:tcPr>
          <w:p w:rsidR="00D97D6A" w:rsidRDefault="00D97D6A" w:rsidP="00D97D6A">
            <w:pPr>
              <w:jc w:val="center"/>
              <w:rPr>
                <w:rFonts w:asciiTheme="minorHAnsi" w:hAnsiTheme="minorHAnsi"/>
              </w:rPr>
            </w:pPr>
            <w:r>
              <w:rPr>
                <w:rFonts w:asciiTheme="minorHAnsi" w:hAnsiTheme="minorHAnsi"/>
              </w:rPr>
              <w:t>34.16</w:t>
            </w:r>
          </w:p>
        </w:tc>
        <w:tc>
          <w:tcPr>
            <w:tcW w:w="1381" w:type="dxa"/>
            <w:tcBorders>
              <w:left w:val="single" w:sz="12" w:space="0" w:color="auto"/>
            </w:tcBorders>
            <w:vAlign w:val="center"/>
          </w:tcPr>
          <w:p w:rsidR="00D97D6A" w:rsidRDefault="000E69A5" w:rsidP="00985753">
            <w:pPr>
              <w:jc w:val="center"/>
              <w:rPr>
                <w:rFonts w:asciiTheme="minorHAnsi" w:hAnsiTheme="minorHAnsi"/>
              </w:rPr>
            </w:pPr>
            <w:r>
              <w:rPr>
                <w:rFonts w:asciiTheme="minorHAnsi" w:hAnsiTheme="minorHAnsi"/>
              </w:rPr>
              <w:t>+ 5.8%</w:t>
            </w:r>
          </w:p>
        </w:tc>
      </w:tr>
      <w:tr w:rsidR="00D97D6A" w:rsidRPr="005629D9" w:rsidTr="00985753">
        <w:trPr>
          <w:trHeight w:val="385"/>
          <w:jc w:val="center"/>
        </w:trPr>
        <w:tc>
          <w:tcPr>
            <w:tcW w:w="1838" w:type="dxa"/>
            <w:vAlign w:val="center"/>
          </w:tcPr>
          <w:p w:rsidR="00D97D6A" w:rsidRPr="005629D9" w:rsidRDefault="00D97D6A" w:rsidP="00D97D6A">
            <w:pPr>
              <w:rPr>
                <w:rFonts w:asciiTheme="minorHAnsi" w:hAnsiTheme="minorHAnsi"/>
                <w:b/>
              </w:rPr>
            </w:pPr>
            <w:r>
              <w:rPr>
                <w:rFonts w:asciiTheme="minorHAnsi" w:hAnsiTheme="minorHAnsi"/>
                <w:b/>
              </w:rPr>
              <w:t>OVERALL</w:t>
            </w:r>
          </w:p>
        </w:tc>
        <w:tc>
          <w:tcPr>
            <w:tcW w:w="1381" w:type="dxa"/>
            <w:shd w:val="clear" w:color="auto" w:fill="auto"/>
            <w:vAlign w:val="center"/>
          </w:tcPr>
          <w:p w:rsidR="00D97D6A" w:rsidRPr="005629D9" w:rsidRDefault="00985753" w:rsidP="00D97D6A">
            <w:pPr>
              <w:jc w:val="center"/>
              <w:rPr>
                <w:rFonts w:asciiTheme="minorHAnsi" w:hAnsiTheme="minorHAnsi"/>
                <w:b/>
              </w:rPr>
            </w:pPr>
            <w:r>
              <w:rPr>
                <w:rFonts w:asciiTheme="minorHAnsi" w:hAnsiTheme="minorHAnsi"/>
                <w:b/>
              </w:rPr>
              <w:t>1446</w:t>
            </w:r>
          </w:p>
        </w:tc>
        <w:tc>
          <w:tcPr>
            <w:tcW w:w="1381" w:type="dxa"/>
            <w:tcBorders>
              <w:right w:val="single" w:sz="12" w:space="0" w:color="auto"/>
            </w:tcBorders>
            <w:vAlign w:val="center"/>
          </w:tcPr>
          <w:p w:rsidR="00D97D6A" w:rsidRDefault="00E8235F" w:rsidP="00D97D6A">
            <w:pPr>
              <w:jc w:val="center"/>
              <w:rPr>
                <w:rFonts w:asciiTheme="minorHAnsi" w:hAnsiTheme="minorHAnsi"/>
                <w:b/>
              </w:rPr>
            </w:pPr>
            <w:r>
              <w:rPr>
                <w:rFonts w:asciiTheme="minorHAnsi" w:hAnsiTheme="minorHAnsi"/>
                <w:b/>
              </w:rPr>
              <w:t>1319.0</w:t>
            </w:r>
          </w:p>
        </w:tc>
        <w:tc>
          <w:tcPr>
            <w:tcW w:w="1381" w:type="dxa"/>
            <w:tcBorders>
              <w:left w:val="single" w:sz="12" w:space="0" w:color="auto"/>
            </w:tcBorders>
            <w:vAlign w:val="center"/>
          </w:tcPr>
          <w:p w:rsidR="00D97D6A" w:rsidRDefault="00D97D6A" w:rsidP="00D97D6A">
            <w:pPr>
              <w:jc w:val="center"/>
              <w:rPr>
                <w:rFonts w:asciiTheme="minorHAnsi" w:hAnsiTheme="minorHAnsi"/>
                <w:b/>
              </w:rPr>
            </w:pPr>
            <w:r>
              <w:rPr>
                <w:rFonts w:asciiTheme="minorHAnsi" w:hAnsiTheme="minorHAnsi"/>
                <w:b/>
              </w:rPr>
              <w:t>1448</w:t>
            </w:r>
          </w:p>
        </w:tc>
        <w:tc>
          <w:tcPr>
            <w:tcW w:w="1381" w:type="dxa"/>
            <w:tcBorders>
              <w:right w:val="single" w:sz="12" w:space="0" w:color="auto"/>
            </w:tcBorders>
            <w:vAlign w:val="center"/>
          </w:tcPr>
          <w:p w:rsidR="00D97D6A" w:rsidRDefault="00D97D6A" w:rsidP="00D97D6A">
            <w:pPr>
              <w:jc w:val="center"/>
              <w:rPr>
                <w:rFonts w:asciiTheme="minorHAnsi" w:hAnsiTheme="minorHAnsi"/>
                <w:b/>
              </w:rPr>
            </w:pPr>
            <w:r>
              <w:rPr>
                <w:rFonts w:asciiTheme="minorHAnsi" w:hAnsiTheme="minorHAnsi"/>
                <w:b/>
              </w:rPr>
              <w:t>1323.32</w:t>
            </w:r>
          </w:p>
        </w:tc>
        <w:tc>
          <w:tcPr>
            <w:tcW w:w="1381" w:type="dxa"/>
            <w:tcBorders>
              <w:left w:val="single" w:sz="12" w:space="0" w:color="auto"/>
            </w:tcBorders>
            <w:vAlign w:val="center"/>
          </w:tcPr>
          <w:p w:rsidR="00D97D6A" w:rsidRDefault="000E69A5" w:rsidP="00985753">
            <w:pPr>
              <w:jc w:val="center"/>
              <w:rPr>
                <w:rFonts w:asciiTheme="minorHAnsi" w:hAnsiTheme="minorHAnsi"/>
                <w:b/>
              </w:rPr>
            </w:pPr>
            <w:r>
              <w:rPr>
                <w:rFonts w:asciiTheme="minorHAnsi" w:hAnsiTheme="minorHAnsi"/>
                <w:b/>
              </w:rPr>
              <w:t>+ 0.3%</w:t>
            </w:r>
          </w:p>
        </w:tc>
      </w:tr>
    </w:tbl>
    <w:p w:rsidR="000E6986" w:rsidRDefault="000E6986" w:rsidP="000E6986"/>
    <w:p w:rsidR="00790D63" w:rsidRPr="000E6986" w:rsidRDefault="00790D63" w:rsidP="000E6986"/>
    <w:p w:rsidR="00A924A7" w:rsidRDefault="00A924A7" w:rsidP="008C28CF">
      <w:pPr>
        <w:pStyle w:val="Heading1"/>
        <w:numPr>
          <w:ilvl w:val="0"/>
          <w:numId w:val="24"/>
        </w:numPr>
        <w:spacing w:after="0" w:line="600" w:lineRule="auto"/>
        <w:jc w:val="both"/>
      </w:pPr>
      <w:r>
        <w:t>workforce composition by protected characteristics</w:t>
      </w:r>
    </w:p>
    <w:p w:rsidR="005A24A7" w:rsidRDefault="005A24A7" w:rsidP="00886E62">
      <w:pPr>
        <w:ind w:left="142"/>
        <w:jc w:val="both"/>
      </w:pPr>
      <w:r>
        <w:t>This section covers information on five diversity characteristics – age, gender, ethnicity, disability and sexual orientation.</w:t>
      </w:r>
    </w:p>
    <w:p w:rsidR="005A24A7" w:rsidRDefault="005A24A7" w:rsidP="008C28CF">
      <w:pPr>
        <w:ind w:left="360"/>
        <w:jc w:val="both"/>
      </w:pPr>
    </w:p>
    <w:p w:rsidR="00CE1D76" w:rsidRPr="005A24A7" w:rsidRDefault="00CE1D76" w:rsidP="008C28CF">
      <w:pPr>
        <w:ind w:left="360"/>
        <w:jc w:val="both"/>
      </w:pPr>
    </w:p>
    <w:p w:rsidR="00A924A7" w:rsidRDefault="00A924A7" w:rsidP="008C28CF">
      <w:pPr>
        <w:pStyle w:val="ListParagraph"/>
        <w:numPr>
          <w:ilvl w:val="1"/>
          <w:numId w:val="24"/>
        </w:numPr>
        <w:jc w:val="both"/>
        <w:rPr>
          <w:b/>
        </w:rPr>
      </w:pPr>
      <w:r w:rsidRPr="002F7488">
        <w:rPr>
          <w:b/>
        </w:rPr>
        <w:t>Age Profile</w:t>
      </w:r>
    </w:p>
    <w:p w:rsidR="00114758" w:rsidRDefault="00114758" w:rsidP="008C28CF">
      <w:pPr>
        <w:ind w:left="360"/>
        <w:jc w:val="both"/>
        <w:rPr>
          <w:b/>
        </w:rPr>
      </w:pPr>
    </w:p>
    <w:p w:rsidR="00E57A6C" w:rsidRDefault="00E57A6C" w:rsidP="008C28CF">
      <w:pPr>
        <w:ind w:left="360"/>
        <w:jc w:val="both"/>
      </w:pPr>
      <w:r>
        <w:t>As at 31 December 2018, the Age profile of the organisation was as follows:</w:t>
      </w:r>
    </w:p>
    <w:p w:rsidR="00E57A6C" w:rsidRDefault="00E57A6C" w:rsidP="008C28CF">
      <w:pPr>
        <w:ind w:left="360"/>
        <w:jc w:val="both"/>
      </w:pPr>
    </w:p>
    <w:tbl>
      <w:tblPr>
        <w:tblStyle w:val="TableGrid"/>
        <w:tblW w:w="7362" w:type="dxa"/>
        <w:jc w:val="center"/>
        <w:tblLayout w:type="fixed"/>
        <w:tblLook w:val="04A0" w:firstRow="1" w:lastRow="0" w:firstColumn="1" w:lastColumn="0" w:noHBand="0" w:noVBand="1"/>
      </w:tblPr>
      <w:tblGrid>
        <w:gridCol w:w="1838"/>
        <w:gridCol w:w="1381"/>
        <w:gridCol w:w="1381"/>
        <w:gridCol w:w="1381"/>
        <w:gridCol w:w="1381"/>
      </w:tblGrid>
      <w:tr w:rsidR="00064316" w:rsidRPr="005629D9" w:rsidTr="00FF0081">
        <w:trPr>
          <w:trHeight w:val="510"/>
          <w:jc w:val="center"/>
        </w:trPr>
        <w:tc>
          <w:tcPr>
            <w:tcW w:w="7362" w:type="dxa"/>
            <w:gridSpan w:val="5"/>
            <w:shd w:val="clear" w:color="auto" w:fill="0070C0"/>
            <w:vAlign w:val="center"/>
          </w:tcPr>
          <w:p w:rsidR="00064316" w:rsidRDefault="00064316" w:rsidP="00064316">
            <w:pPr>
              <w:jc w:val="center"/>
              <w:rPr>
                <w:rFonts w:asciiTheme="minorHAnsi" w:hAnsiTheme="minorHAnsi"/>
                <w:b/>
                <w:color w:val="FFFFFF" w:themeColor="background1"/>
              </w:rPr>
            </w:pPr>
            <w:r>
              <w:rPr>
                <w:rFonts w:asciiTheme="minorHAnsi" w:hAnsiTheme="minorHAnsi"/>
                <w:b/>
                <w:color w:val="FFFFFF" w:themeColor="background1"/>
              </w:rPr>
              <w:t>Table 2: Age Profile</w:t>
            </w:r>
          </w:p>
        </w:tc>
      </w:tr>
      <w:tr w:rsidR="00985753" w:rsidRPr="005629D9" w:rsidTr="00985753">
        <w:trPr>
          <w:trHeight w:val="385"/>
          <w:jc w:val="center"/>
        </w:trPr>
        <w:tc>
          <w:tcPr>
            <w:tcW w:w="1838" w:type="dxa"/>
            <w:shd w:val="clear" w:color="auto" w:fill="0070C0"/>
            <w:vAlign w:val="center"/>
          </w:tcPr>
          <w:p w:rsidR="00985753" w:rsidRDefault="00064316" w:rsidP="00AB47F7">
            <w:pPr>
              <w:jc w:val="center"/>
              <w:rPr>
                <w:rFonts w:asciiTheme="minorHAnsi" w:hAnsiTheme="minorHAnsi"/>
              </w:rPr>
            </w:pPr>
            <w:r>
              <w:rPr>
                <w:rFonts w:asciiTheme="minorHAnsi" w:hAnsiTheme="minorHAnsi"/>
                <w:b/>
                <w:color w:val="FFFFFF" w:themeColor="background1"/>
              </w:rPr>
              <w:t>Employee Group</w:t>
            </w:r>
          </w:p>
        </w:tc>
        <w:tc>
          <w:tcPr>
            <w:tcW w:w="1381" w:type="dxa"/>
            <w:shd w:val="clear" w:color="auto" w:fill="0070C0"/>
            <w:vAlign w:val="center"/>
          </w:tcPr>
          <w:p w:rsidR="00985753" w:rsidRDefault="00064316" w:rsidP="00AB47F7">
            <w:pPr>
              <w:jc w:val="center"/>
              <w:rPr>
                <w:rFonts w:asciiTheme="minorHAnsi" w:hAnsiTheme="minorHAnsi"/>
              </w:rPr>
            </w:pPr>
            <w:r>
              <w:rPr>
                <w:rFonts w:asciiTheme="minorHAnsi" w:hAnsiTheme="minorHAnsi"/>
                <w:b/>
                <w:color w:val="FFFFFF" w:themeColor="background1"/>
              </w:rPr>
              <w:t>Mean</w:t>
            </w:r>
          </w:p>
        </w:tc>
        <w:tc>
          <w:tcPr>
            <w:tcW w:w="1381" w:type="dxa"/>
            <w:shd w:val="clear" w:color="auto" w:fill="0070C0"/>
            <w:vAlign w:val="center"/>
          </w:tcPr>
          <w:p w:rsidR="00985753" w:rsidRDefault="00064316" w:rsidP="00AB47F7">
            <w:pPr>
              <w:jc w:val="center"/>
              <w:rPr>
                <w:rFonts w:asciiTheme="minorHAnsi" w:hAnsiTheme="minorHAnsi"/>
              </w:rPr>
            </w:pPr>
            <w:r>
              <w:rPr>
                <w:rFonts w:asciiTheme="minorHAnsi" w:hAnsiTheme="minorHAnsi"/>
                <w:b/>
                <w:color w:val="FFFFFF" w:themeColor="background1"/>
              </w:rPr>
              <w:t>Median</w:t>
            </w:r>
          </w:p>
        </w:tc>
        <w:tc>
          <w:tcPr>
            <w:tcW w:w="1381" w:type="dxa"/>
            <w:shd w:val="clear" w:color="auto" w:fill="0070C0"/>
            <w:vAlign w:val="center"/>
          </w:tcPr>
          <w:p w:rsidR="00985753" w:rsidRDefault="00064316" w:rsidP="00AB47F7">
            <w:pPr>
              <w:jc w:val="center"/>
              <w:rPr>
                <w:rFonts w:asciiTheme="minorHAnsi" w:hAnsiTheme="minorHAnsi"/>
                <w:b/>
                <w:color w:val="FFFFFF" w:themeColor="background1"/>
              </w:rPr>
            </w:pPr>
            <w:r>
              <w:rPr>
                <w:rFonts w:asciiTheme="minorHAnsi" w:hAnsiTheme="minorHAnsi"/>
                <w:b/>
                <w:color w:val="FFFFFF" w:themeColor="background1"/>
              </w:rPr>
              <w:t>Min</w:t>
            </w:r>
          </w:p>
        </w:tc>
        <w:tc>
          <w:tcPr>
            <w:tcW w:w="1381" w:type="dxa"/>
            <w:shd w:val="clear" w:color="auto" w:fill="0070C0"/>
            <w:vAlign w:val="center"/>
          </w:tcPr>
          <w:p w:rsidR="00985753" w:rsidRDefault="00064316" w:rsidP="00AB47F7">
            <w:pPr>
              <w:jc w:val="center"/>
              <w:rPr>
                <w:rFonts w:asciiTheme="minorHAnsi" w:hAnsiTheme="minorHAnsi"/>
                <w:b/>
                <w:color w:val="FFFFFF" w:themeColor="background1"/>
              </w:rPr>
            </w:pPr>
            <w:r>
              <w:rPr>
                <w:rFonts w:asciiTheme="minorHAnsi" w:hAnsiTheme="minorHAnsi"/>
                <w:b/>
                <w:color w:val="FFFFFF" w:themeColor="background1"/>
              </w:rPr>
              <w:t>Max</w:t>
            </w:r>
          </w:p>
        </w:tc>
      </w:tr>
      <w:tr w:rsidR="00985753" w:rsidRPr="005629D9" w:rsidTr="00985753">
        <w:trPr>
          <w:trHeight w:val="385"/>
          <w:jc w:val="center"/>
        </w:trPr>
        <w:tc>
          <w:tcPr>
            <w:tcW w:w="1838" w:type="dxa"/>
            <w:vAlign w:val="center"/>
          </w:tcPr>
          <w:p w:rsidR="00985753" w:rsidRPr="005629D9" w:rsidRDefault="00985753" w:rsidP="00AB47F7">
            <w:pPr>
              <w:rPr>
                <w:rFonts w:asciiTheme="minorHAnsi" w:hAnsiTheme="minorHAnsi"/>
              </w:rPr>
            </w:pPr>
            <w:proofErr w:type="spellStart"/>
            <w:r>
              <w:rPr>
                <w:rFonts w:asciiTheme="minorHAnsi" w:hAnsiTheme="minorHAnsi"/>
              </w:rPr>
              <w:t>Wholetime</w:t>
            </w:r>
            <w:proofErr w:type="spellEnd"/>
          </w:p>
        </w:tc>
        <w:tc>
          <w:tcPr>
            <w:tcW w:w="1381" w:type="dxa"/>
            <w:shd w:val="clear" w:color="auto" w:fill="auto"/>
            <w:vAlign w:val="center"/>
          </w:tcPr>
          <w:p w:rsidR="00985753" w:rsidRPr="005629D9" w:rsidRDefault="00471842" w:rsidP="00AB47F7">
            <w:pPr>
              <w:jc w:val="center"/>
              <w:rPr>
                <w:rFonts w:asciiTheme="minorHAnsi" w:hAnsiTheme="minorHAnsi"/>
              </w:rPr>
            </w:pPr>
            <w:r>
              <w:rPr>
                <w:rFonts w:asciiTheme="minorHAnsi" w:hAnsiTheme="minorHAnsi"/>
              </w:rPr>
              <w:t>44.4</w:t>
            </w:r>
          </w:p>
        </w:tc>
        <w:tc>
          <w:tcPr>
            <w:tcW w:w="1381" w:type="dxa"/>
            <w:vAlign w:val="center"/>
          </w:tcPr>
          <w:p w:rsidR="00985753" w:rsidRDefault="00AC55C6" w:rsidP="00AB47F7">
            <w:pPr>
              <w:jc w:val="center"/>
              <w:rPr>
                <w:rFonts w:asciiTheme="minorHAnsi" w:hAnsiTheme="minorHAnsi"/>
              </w:rPr>
            </w:pPr>
            <w:r>
              <w:rPr>
                <w:rFonts w:asciiTheme="minorHAnsi" w:hAnsiTheme="minorHAnsi"/>
              </w:rPr>
              <w:t>45.6</w:t>
            </w:r>
          </w:p>
        </w:tc>
        <w:tc>
          <w:tcPr>
            <w:tcW w:w="1381" w:type="dxa"/>
            <w:vAlign w:val="center"/>
          </w:tcPr>
          <w:p w:rsidR="00985753" w:rsidRDefault="00471842" w:rsidP="00AB47F7">
            <w:pPr>
              <w:jc w:val="center"/>
              <w:rPr>
                <w:rFonts w:asciiTheme="minorHAnsi" w:hAnsiTheme="minorHAnsi"/>
              </w:rPr>
            </w:pPr>
            <w:r>
              <w:rPr>
                <w:rFonts w:asciiTheme="minorHAnsi" w:hAnsiTheme="minorHAnsi"/>
              </w:rPr>
              <w:t>22.3</w:t>
            </w:r>
          </w:p>
        </w:tc>
        <w:tc>
          <w:tcPr>
            <w:tcW w:w="1381" w:type="dxa"/>
            <w:vAlign w:val="center"/>
          </w:tcPr>
          <w:p w:rsidR="00985753" w:rsidRDefault="00471842" w:rsidP="00AB47F7">
            <w:pPr>
              <w:jc w:val="center"/>
              <w:rPr>
                <w:rFonts w:asciiTheme="minorHAnsi" w:hAnsiTheme="minorHAnsi"/>
              </w:rPr>
            </w:pPr>
            <w:r>
              <w:rPr>
                <w:rFonts w:asciiTheme="minorHAnsi" w:hAnsiTheme="minorHAnsi"/>
              </w:rPr>
              <w:t>61.4</w:t>
            </w:r>
          </w:p>
        </w:tc>
      </w:tr>
      <w:tr w:rsidR="00985753" w:rsidRPr="005629D9" w:rsidTr="00985753">
        <w:trPr>
          <w:trHeight w:val="385"/>
          <w:jc w:val="center"/>
        </w:trPr>
        <w:tc>
          <w:tcPr>
            <w:tcW w:w="1838" w:type="dxa"/>
            <w:vAlign w:val="center"/>
          </w:tcPr>
          <w:p w:rsidR="00985753" w:rsidRPr="005629D9" w:rsidRDefault="00985753" w:rsidP="00AB47F7">
            <w:pPr>
              <w:rPr>
                <w:rFonts w:asciiTheme="minorHAnsi" w:hAnsiTheme="minorHAnsi"/>
              </w:rPr>
            </w:pPr>
            <w:r>
              <w:rPr>
                <w:rFonts w:asciiTheme="minorHAnsi" w:hAnsiTheme="minorHAnsi"/>
              </w:rPr>
              <w:t>On-Call</w:t>
            </w:r>
          </w:p>
        </w:tc>
        <w:tc>
          <w:tcPr>
            <w:tcW w:w="1381" w:type="dxa"/>
            <w:shd w:val="clear" w:color="auto" w:fill="auto"/>
            <w:vAlign w:val="center"/>
          </w:tcPr>
          <w:p w:rsidR="00985753" w:rsidRPr="005629D9" w:rsidRDefault="00471842" w:rsidP="00AB47F7">
            <w:pPr>
              <w:jc w:val="center"/>
              <w:rPr>
                <w:rFonts w:asciiTheme="minorHAnsi" w:hAnsiTheme="minorHAnsi"/>
              </w:rPr>
            </w:pPr>
            <w:r>
              <w:rPr>
                <w:rFonts w:asciiTheme="minorHAnsi" w:hAnsiTheme="minorHAnsi"/>
              </w:rPr>
              <w:t>38.4</w:t>
            </w:r>
          </w:p>
        </w:tc>
        <w:tc>
          <w:tcPr>
            <w:tcW w:w="1381" w:type="dxa"/>
            <w:vAlign w:val="center"/>
          </w:tcPr>
          <w:p w:rsidR="00985753" w:rsidRDefault="00AC55C6" w:rsidP="00AB47F7">
            <w:pPr>
              <w:jc w:val="center"/>
              <w:rPr>
                <w:rFonts w:asciiTheme="minorHAnsi" w:hAnsiTheme="minorHAnsi"/>
              </w:rPr>
            </w:pPr>
            <w:r>
              <w:rPr>
                <w:rFonts w:asciiTheme="minorHAnsi" w:hAnsiTheme="minorHAnsi"/>
              </w:rPr>
              <w:t>36.7</w:t>
            </w:r>
          </w:p>
        </w:tc>
        <w:tc>
          <w:tcPr>
            <w:tcW w:w="1381" w:type="dxa"/>
            <w:vAlign w:val="center"/>
          </w:tcPr>
          <w:p w:rsidR="00985753" w:rsidRDefault="00471842" w:rsidP="00AB47F7">
            <w:pPr>
              <w:jc w:val="center"/>
              <w:rPr>
                <w:rFonts w:asciiTheme="minorHAnsi" w:hAnsiTheme="minorHAnsi"/>
              </w:rPr>
            </w:pPr>
            <w:r>
              <w:rPr>
                <w:rFonts w:asciiTheme="minorHAnsi" w:hAnsiTheme="minorHAnsi"/>
              </w:rPr>
              <w:t>18.7</w:t>
            </w:r>
          </w:p>
        </w:tc>
        <w:tc>
          <w:tcPr>
            <w:tcW w:w="1381" w:type="dxa"/>
            <w:vAlign w:val="center"/>
          </w:tcPr>
          <w:p w:rsidR="00985753" w:rsidRDefault="00471842" w:rsidP="00AB47F7">
            <w:pPr>
              <w:jc w:val="center"/>
              <w:rPr>
                <w:rFonts w:asciiTheme="minorHAnsi" w:hAnsiTheme="minorHAnsi"/>
              </w:rPr>
            </w:pPr>
            <w:r>
              <w:rPr>
                <w:rFonts w:asciiTheme="minorHAnsi" w:hAnsiTheme="minorHAnsi"/>
              </w:rPr>
              <w:t>69.0</w:t>
            </w:r>
          </w:p>
        </w:tc>
      </w:tr>
      <w:tr w:rsidR="00985753" w:rsidRPr="005629D9" w:rsidTr="00985753">
        <w:trPr>
          <w:trHeight w:val="385"/>
          <w:jc w:val="center"/>
        </w:trPr>
        <w:tc>
          <w:tcPr>
            <w:tcW w:w="1838" w:type="dxa"/>
            <w:vAlign w:val="center"/>
          </w:tcPr>
          <w:p w:rsidR="00985753" w:rsidRPr="005629D9" w:rsidRDefault="00985753" w:rsidP="00AB47F7">
            <w:pPr>
              <w:rPr>
                <w:rFonts w:asciiTheme="minorHAnsi" w:hAnsiTheme="minorHAnsi"/>
              </w:rPr>
            </w:pPr>
            <w:r>
              <w:rPr>
                <w:rFonts w:asciiTheme="minorHAnsi" w:hAnsiTheme="minorHAnsi"/>
              </w:rPr>
              <w:t>Support</w:t>
            </w:r>
          </w:p>
        </w:tc>
        <w:tc>
          <w:tcPr>
            <w:tcW w:w="1381" w:type="dxa"/>
            <w:shd w:val="clear" w:color="auto" w:fill="auto"/>
            <w:vAlign w:val="center"/>
          </w:tcPr>
          <w:p w:rsidR="00985753" w:rsidRPr="005629D9" w:rsidRDefault="00471842" w:rsidP="00AB47F7">
            <w:pPr>
              <w:jc w:val="center"/>
              <w:rPr>
                <w:rFonts w:asciiTheme="minorHAnsi" w:hAnsiTheme="minorHAnsi"/>
              </w:rPr>
            </w:pPr>
            <w:r>
              <w:rPr>
                <w:rFonts w:asciiTheme="minorHAnsi" w:hAnsiTheme="minorHAnsi"/>
              </w:rPr>
              <w:t>47.2</w:t>
            </w:r>
          </w:p>
        </w:tc>
        <w:tc>
          <w:tcPr>
            <w:tcW w:w="1381" w:type="dxa"/>
            <w:vAlign w:val="center"/>
          </w:tcPr>
          <w:p w:rsidR="00985753" w:rsidRDefault="00AC55C6" w:rsidP="00AB47F7">
            <w:pPr>
              <w:jc w:val="center"/>
              <w:rPr>
                <w:rFonts w:asciiTheme="minorHAnsi" w:hAnsiTheme="minorHAnsi"/>
              </w:rPr>
            </w:pPr>
            <w:r>
              <w:rPr>
                <w:rFonts w:asciiTheme="minorHAnsi" w:hAnsiTheme="minorHAnsi"/>
              </w:rPr>
              <w:t>49.3</w:t>
            </w:r>
          </w:p>
        </w:tc>
        <w:tc>
          <w:tcPr>
            <w:tcW w:w="1381" w:type="dxa"/>
            <w:vAlign w:val="center"/>
          </w:tcPr>
          <w:p w:rsidR="00985753" w:rsidRDefault="00471842" w:rsidP="00AB47F7">
            <w:pPr>
              <w:jc w:val="center"/>
              <w:rPr>
                <w:rFonts w:asciiTheme="minorHAnsi" w:hAnsiTheme="minorHAnsi"/>
              </w:rPr>
            </w:pPr>
            <w:r>
              <w:rPr>
                <w:rFonts w:asciiTheme="minorHAnsi" w:hAnsiTheme="minorHAnsi"/>
              </w:rPr>
              <w:t>17.8</w:t>
            </w:r>
          </w:p>
        </w:tc>
        <w:tc>
          <w:tcPr>
            <w:tcW w:w="1381" w:type="dxa"/>
            <w:vAlign w:val="center"/>
          </w:tcPr>
          <w:p w:rsidR="00985753" w:rsidRDefault="00471842" w:rsidP="00985753">
            <w:pPr>
              <w:jc w:val="center"/>
              <w:rPr>
                <w:rFonts w:asciiTheme="minorHAnsi" w:hAnsiTheme="minorHAnsi"/>
              </w:rPr>
            </w:pPr>
            <w:r>
              <w:rPr>
                <w:rFonts w:asciiTheme="minorHAnsi" w:hAnsiTheme="minorHAnsi"/>
              </w:rPr>
              <w:t>74.4</w:t>
            </w:r>
          </w:p>
        </w:tc>
      </w:tr>
      <w:tr w:rsidR="00985753" w:rsidRPr="005629D9" w:rsidTr="00985753">
        <w:trPr>
          <w:trHeight w:val="385"/>
          <w:jc w:val="center"/>
        </w:trPr>
        <w:tc>
          <w:tcPr>
            <w:tcW w:w="1838" w:type="dxa"/>
            <w:vAlign w:val="center"/>
          </w:tcPr>
          <w:p w:rsidR="00985753" w:rsidRPr="005629D9" w:rsidRDefault="00985753" w:rsidP="00AB47F7">
            <w:pPr>
              <w:rPr>
                <w:rFonts w:asciiTheme="minorHAnsi" w:hAnsiTheme="minorHAnsi"/>
              </w:rPr>
            </w:pPr>
            <w:r>
              <w:rPr>
                <w:rFonts w:asciiTheme="minorHAnsi" w:hAnsiTheme="minorHAnsi"/>
              </w:rPr>
              <w:t>Control</w:t>
            </w:r>
          </w:p>
        </w:tc>
        <w:tc>
          <w:tcPr>
            <w:tcW w:w="1381" w:type="dxa"/>
            <w:shd w:val="clear" w:color="auto" w:fill="auto"/>
            <w:vAlign w:val="center"/>
          </w:tcPr>
          <w:p w:rsidR="00985753" w:rsidRPr="005629D9" w:rsidRDefault="00471842" w:rsidP="00AB47F7">
            <w:pPr>
              <w:jc w:val="center"/>
              <w:rPr>
                <w:rFonts w:asciiTheme="minorHAnsi" w:hAnsiTheme="minorHAnsi"/>
              </w:rPr>
            </w:pPr>
            <w:r>
              <w:rPr>
                <w:rFonts w:asciiTheme="minorHAnsi" w:hAnsiTheme="minorHAnsi"/>
              </w:rPr>
              <w:t>41.0</w:t>
            </w:r>
          </w:p>
        </w:tc>
        <w:tc>
          <w:tcPr>
            <w:tcW w:w="1381" w:type="dxa"/>
            <w:vAlign w:val="center"/>
          </w:tcPr>
          <w:p w:rsidR="00985753" w:rsidRDefault="00AC55C6" w:rsidP="00AB47F7">
            <w:pPr>
              <w:jc w:val="center"/>
              <w:rPr>
                <w:rFonts w:asciiTheme="minorHAnsi" w:hAnsiTheme="minorHAnsi"/>
              </w:rPr>
            </w:pPr>
            <w:r>
              <w:rPr>
                <w:rFonts w:asciiTheme="minorHAnsi" w:hAnsiTheme="minorHAnsi"/>
              </w:rPr>
              <w:t>39.5</w:t>
            </w:r>
          </w:p>
        </w:tc>
        <w:tc>
          <w:tcPr>
            <w:tcW w:w="1381" w:type="dxa"/>
            <w:vAlign w:val="center"/>
          </w:tcPr>
          <w:p w:rsidR="00985753" w:rsidRDefault="00471842" w:rsidP="00AB47F7">
            <w:pPr>
              <w:jc w:val="center"/>
              <w:rPr>
                <w:rFonts w:asciiTheme="minorHAnsi" w:hAnsiTheme="minorHAnsi"/>
              </w:rPr>
            </w:pPr>
            <w:r>
              <w:rPr>
                <w:rFonts w:asciiTheme="minorHAnsi" w:hAnsiTheme="minorHAnsi"/>
              </w:rPr>
              <w:t>21.0</w:t>
            </w:r>
          </w:p>
        </w:tc>
        <w:tc>
          <w:tcPr>
            <w:tcW w:w="1381" w:type="dxa"/>
            <w:vAlign w:val="center"/>
          </w:tcPr>
          <w:p w:rsidR="00985753" w:rsidRDefault="00471842" w:rsidP="00985753">
            <w:pPr>
              <w:jc w:val="center"/>
              <w:rPr>
                <w:rFonts w:asciiTheme="minorHAnsi" w:hAnsiTheme="minorHAnsi"/>
              </w:rPr>
            </w:pPr>
            <w:r>
              <w:rPr>
                <w:rFonts w:asciiTheme="minorHAnsi" w:hAnsiTheme="minorHAnsi"/>
              </w:rPr>
              <w:t>61.1</w:t>
            </w:r>
          </w:p>
        </w:tc>
      </w:tr>
      <w:tr w:rsidR="00985753" w:rsidRPr="005629D9" w:rsidTr="00064316">
        <w:trPr>
          <w:trHeight w:val="385"/>
          <w:jc w:val="center"/>
        </w:trPr>
        <w:tc>
          <w:tcPr>
            <w:tcW w:w="1838" w:type="dxa"/>
            <w:shd w:val="clear" w:color="auto" w:fill="E7E6E6" w:themeFill="background2"/>
            <w:vAlign w:val="center"/>
          </w:tcPr>
          <w:p w:rsidR="00985753" w:rsidRPr="005629D9" w:rsidRDefault="00985753" w:rsidP="00AB47F7">
            <w:pPr>
              <w:rPr>
                <w:rFonts w:asciiTheme="minorHAnsi" w:hAnsiTheme="minorHAnsi"/>
                <w:b/>
              </w:rPr>
            </w:pPr>
            <w:r>
              <w:rPr>
                <w:rFonts w:asciiTheme="minorHAnsi" w:hAnsiTheme="minorHAnsi"/>
                <w:b/>
              </w:rPr>
              <w:t>OVERALL</w:t>
            </w:r>
          </w:p>
        </w:tc>
        <w:tc>
          <w:tcPr>
            <w:tcW w:w="1381" w:type="dxa"/>
            <w:shd w:val="clear" w:color="auto" w:fill="E7E6E6" w:themeFill="background2"/>
            <w:vAlign w:val="center"/>
          </w:tcPr>
          <w:p w:rsidR="00985753" w:rsidRPr="005629D9" w:rsidRDefault="00471842" w:rsidP="00AB47F7">
            <w:pPr>
              <w:jc w:val="center"/>
              <w:rPr>
                <w:rFonts w:asciiTheme="minorHAnsi" w:hAnsiTheme="minorHAnsi"/>
                <w:b/>
              </w:rPr>
            </w:pPr>
            <w:r>
              <w:rPr>
                <w:rFonts w:asciiTheme="minorHAnsi" w:hAnsiTheme="minorHAnsi"/>
                <w:b/>
              </w:rPr>
              <w:t>42.8</w:t>
            </w:r>
          </w:p>
        </w:tc>
        <w:tc>
          <w:tcPr>
            <w:tcW w:w="1381" w:type="dxa"/>
            <w:shd w:val="clear" w:color="auto" w:fill="E7E6E6" w:themeFill="background2"/>
            <w:vAlign w:val="center"/>
          </w:tcPr>
          <w:p w:rsidR="00985753" w:rsidRDefault="00AC55C6" w:rsidP="00AB47F7">
            <w:pPr>
              <w:jc w:val="center"/>
              <w:rPr>
                <w:rFonts w:asciiTheme="minorHAnsi" w:hAnsiTheme="minorHAnsi"/>
                <w:b/>
              </w:rPr>
            </w:pPr>
            <w:r>
              <w:rPr>
                <w:rFonts w:asciiTheme="minorHAnsi" w:hAnsiTheme="minorHAnsi"/>
                <w:b/>
              </w:rPr>
              <w:t>43.5</w:t>
            </w:r>
          </w:p>
        </w:tc>
        <w:tc>
          <w:tcPr>
            <w:tcW w:w="1381" w:type="dxa"/>
            <w:shd w:val="clear" w:color="auto" w:fill="E7E6E6" w:themeFill="background2"/>
            <w:vAlign w:val="center"/>
          </w:tcPr>
          <w:p w:rsidR="00985753" w:rsidRDefault="00471842" w:rsidP="00AB47F7">
            <w:pPr>
              <w:jc w:val="center"/>
              <w:rPr>
                <w:rFonts w:asciiTheme="minorHAnsi" w:hAnsiTheme="minorHAnsi"/>
                <w:b/>
              </w:rPr>
            </w:pPr>
            <w:r>
              <w:rPr>
                <w:rFonts w:asciiTheme="minorHAnsi" w:hAnsiTheme="minorHAnsi"/>
                <w:b/>
              </w:rPr>
              <w:t>17.8</w:t>
            </w:r>
          </w:p>
        </w:tc>
        <w:tc>
          <w:tcPr>
            <w:tcW w:w="1381" w:type="dxa"/>
            <w:shd w:val="clear" w:color="auto" w:fill="E7E6E6" w:themeFill="background2"/>
            <w:vAlign w:val="center"/>
          </w:tcPr>
          <w:p w:rsidR="00985753" w:rsidRDefault="00471842" w:rsidP="00985753">
            <w:pPr>
              <w:jc w:val="center"/>
              <w:rPr>
                <w:rFonts w:asciiTheme="minorHAnsi" w:hAnsiTheme="minorHAnsi"/>
                <w:b/>
              </w:rPr>
            </w:pPr>
            <w:r>
              <w:rPr>
                <w:rFonts w:asciiTheme="minorHAnsi" w:hAnsiTheme="minorHAnsi"/>
                <w:b/>
              </w:rPr>
              <w:t>74.4</w:t>
            </w:r>
          </w:p>
        </w:tc>
      </w:tr>
    </w:tbl>
    <w:p w:rsidR="00E57A6C" w:rsidRDefault="00E57A6C" w:rsidP="008C28CF">
      <w:pPr>
        <w:ind w:left="360"/>
        <w:jc w:val="both"/>
      </w:pPr>
    </w:p>
    <w:p w:rsidR="00CE1D76" w:rsidRDefault="00CE1D76" w:rsidP="008C28CF">
      <w:pPr>
        <w:ind w:left="360"/>
        <w:jc w:val="both"/>
      </w:pPr>
    </w:p>
    <w:p w:rsidR="00E57A6C" w:rsidRDefault="00E57A6C" w:rsidP="008C28CF">
      <w:pPr>
        <w:ind w:left="360"/>
        <w:jc w:val="both"/>
      </w:pPr>
      <w:r>
        <w:t xml:space="preserve">The age profile of the workforce remains largely unchanged with the majority of the workforce </w:t>
      </w:r>
      <w:r w:rsidRPr="00A71B90">
        <w:t xml:space="preserve">falling in the </w:t>
      </w:r>
      <w:r w:rsidR="00A71B90" w:rsidRPr="00596CDD">
        <w:t>46-55</w:t>
      </w:r>
      <w:r w:rsidRPr="00596CDD">
        <w:t xml:space="preserve"> </w:t>
      </w:r>
      <w:r w:rsidRPr="00A71B90">
        <w:t>age group.</w:t>
      </w:r>
      <w:r w:rsidR="00F5492D">
        <w:t xml:space="preserve"> Table 3 shows a full breakdown by employee groups.</w:t>
      </w:r>
    </w:p>
    <w:p w:rsidR="00E8235F" w:rsidRDefault="00E8235F" w:rsidP="008C28CF">
      <w:pPr>
        <w:ind w:left="360"/>
        <w:jc w:val="both"/>
      </w:pPr>
    </w:p>
    <w:p w:rsidR="00E57A6C" w:rsidRDefault="00E57A6C" w:rsidP="008C28CF">
      <w:pPr>
        <w:ind w:left="360"/>
        <w:jc w:val="both"/>
      </w:pPr>
    </w:p>
    <w:tbl>
      <w:tblPr>
        <w:tblStyle w:val="TableGrid"/>
        <w:tblW w:w="7362" w:type="dxa"/>
        <w:jc w:val="center"/>
        <w:tblLayout w:type="fixed"/>
        <w:tblLook w:val="04A0" w:firstRow="1" w:lastRow="0" w:firstColumn="1" w:lastColumn="0" w:noHBand="0" w:noVBand="1"/>
      </w:tblPr>
      <w:tblGrid>
        <w:gridCol w:w="1838"/>
        <w:gridCol w:w="1381"/>
        <w:gridCol w:w="1381"/>
        <w:gridCol w:w="1381"/>
        <w:gridCol w:w="1381"/>
      </w:tblGrid>
      <w:tr w:rsidR="00A82CBA" w:rsidRPr="005629D9" w:rsidTr="00B46015">
        <w:trPr>
          <w:trHeight w:val="510"/>
          <w:jc w:val="center"/>
        </w:trPr>
        <w:tc>
          <w:tcPr>
            <w:tcW w:w="7362" w:type="dxa"/>
            <w:gridSpan w:val="5"/>
            <w:shd w:val="clear" w:color="auto" w:fill="0070C0"/>
            <w:vAlign w:val="center"/>
          </w:tcPr>
          <w:p w:rsidR="00A82CBA" w:rsidRDefault="00A82CBA" w:rsidP="00B46015">
            <w:pPr>
              <w:jc w:val="center"/>
              <w:rPr>
                <w:rFonts w:asciiTheme="minorHAnsi" w:hAnsiTheme="minorHAnsi"/>
                <w:b/>
                <w:color w:val="FFFFFF" w:themeColor="background1"/>
              </w:rPr>
            </w:pPr>
            <w:r>
              <w:rPr>
                <w:rFonts w:asciiTheme="minorHAnsi" w:hAnsiTheme="minorHAnsi"/>
                <w:b/>
                <w:color w:val="FFFFFF" w:themeColor="background1"/>
              </w:rPr>
              <w:t>Table 3: Majority Age Group</w:t>
            </w:r>
          </w:p>
        </w:tc>
      </w:tr>
      <w:tr w:rsidR="00A82CBA" w:rsidRPr="005629D9" w:rsidTr="00867C06">
        <w:trPr>
          <w:trHeight w:val="385"/>
          <w:jc w:val="center"/>
        </w:trPr>
        <w:tc>
          <w:tcPr>
            <w:tcW w:w="1838" w:type="dxa"/>
            <w:vMerge w:val="restart"/>
            <w:shd w:val="clear" w:color="auto" w:fill="0070C0"/>
            <w:vAlign w:val="center"/>
          </w:tcPr>
          <w:p w:rsidR="00A82CBA" w:rsidRDefault="00A82CBA" w:rsidP="00B46015">
            <w:pPr>
              <w:jc w:val="center"/>
              <w:rPr>
                <w:rFonts w:asciiTheme="minorHAnsi" w:hAnsiTheme="minorHAnsi"/>
                <w:b/>
                <w:color w:val="FFFFFF" w:themeColor="background1"/>
              </w:rPr>
            </w:pPr>
            <w:r>
              <w:rPr>
                <w:rFonts w:asciiTheme="minorHAnsi" w:hAnsiTheme="minorHAnsi"/>
                <w:b/>
                <w:color w:val="FFFFFF" w:themeColor="background1"/>
              </w:rPr>
              <w:t>Employee Group</w:t>
            </w:r>
          </w:p>
        </w:tc>
        <w:tc>
          <w:tcPr>
            <w:tcW w:w="2762" w:type="dxa"/>
            <w:gridSpan w:val="2"/>
            <w:tcBorders>
              <w:right w:val="single" w:sz="12" w:space="0" w:color="auto"/>
            </w:tcBorders>
            <w:shd w:val="clear" w:color="auto" w:fill="0070C0"/>
            <w:vAlign w:val="center"/>
          </w:tcPr>
          <w:p w:rsidR="00A82CBA" w:rsidRDefault="00A82CBA" w:rsidP="00B46015">
            <w:pPr>
              <w:jc w:val="center"/>
              <w:rPr>
                <w:rFonts w:asciiTheme="minorHAnsi" w:hAnsiTheme="minorHAnsi"/>
                <w:b/>
                <w:color w:val="FFFFFF" w:themeColor="background1"/>
              </w:rPr>
            </w:pPr>
            <w:r>
              <w:rPr>
                <w:rFonts w:asciiTheme="minorHAnsi" w:hAnsiTheme="minorHAnsi"/>
                <w:b/>
                <w:color w:val="FFFFFF" w:themeColor="background1"/>
              </w:rPr>
              <w:t>2017</w:t>
            </w:r>
          </w:p>
        </w:tc>
        <w:tc>
          <w:tcPr>
            <w:tcW w:w="2762" w:type="dxa"/>
            <w:gridSpan w:val="2"/>
            <w:tcBorders>
              <w:left w:val="single" w:sz="12" w:space="0" w:color="auto"/>
            </w:tcBorders>
            <w:shd w:val="clear" w:color="auto" w:fill="0070C0"/>
            <w:vAlign w:val="center"/>
          </w:tcPr>
          <w:p w:rsidR="00A82CBA" w:rsidRDefault="00A82CBA" w:rsidP="00B46015">
            <w:pPr>
              <w:jc w:val="center"/>
              <w:rPr>
                <w:rFonts w:asciiTheme="minorHAnsi" w:hAnsiTheme="minorHAnsi"/>
                <w:b/>
                <w:color w:val="FFFFFF" w:themeColor="background1"/>
              </w:rPr>
            </w:pPr>
            <w:r>
              <w:rPr>
                <w:rFonts w:asciiTheme="minorHAnsi" w:hAnsiTheme="minorHAnsi"/>
                <w:b/>
                <w:color w:val="FFFFFF" w:themeColor="background1"/>
              </w:rPr>
              <w:t>2018</w:t>
            </w:r>
          </w:p>
        </w:tc>
      </w:tr>
      <w:tr w:rsidR="00A82CBA" w:rsidRPr="005629D9" w:rsidTr="00867C06">
        <w:trPr>
          <w:trHeight w:val="385"/>
          <w:jc w:val="center"/>
        </w:trPr>
        <w:tc>
          <w:tcPr>
            <w:tcW w:w="1838" w:type="dxa"/>
            <w:vMerge/>
            <w:shd w:val="clear" w:color="auto" w:fill="0070C0"/>
            <w:vAlign w:val="center"/>
          </w:tcPr>
          <w:p w:rsidR="00A82CBA" w:rsidRDefault="00A82CBA" w:rsidP="00B46015">
            <w:pPr>
              <w:jc w:val="center"/>
              <w:rPr>
                <w:rFonts w:asciiTheme="minorHAnsi" w:hAnsiTheme="minorHAnsi"/>
              </w:rPr>
            </w:pPr>
          </w:p>
        </w:tc>
        <w:tc>
          <w:tcPr>
            <w:tcW w:w="1381" w:type="dxa"/>
            <w:shd w:val="clear" w:color="auto" w:fill="0070C0"/>
            <w:vAlign w:val="center"/>
          </w:tcPr>
          <w:p w:rsidR="00A82CBA" w:rsidRDefault="00A82CBA" w:rsidP="00B46015">
            <w:pPr>
              <w:jc w:val="center"/>
              <w:rPr>
                <w:rFonts w:asciiTheme="minorHAnsi" w:hAnsiTheme="minorHAnsi"/>
              </w:rPr>
            </w:pPr>
            <w:r>
              <w:rPr>
                <w:rFonts w:asciiTheme="minorHAnsi" w:hAnsiTheme="minorHAnsi"/>
                <w:b/>
                <w:color w:val="FFFFFF" w:themeColor="background1"/>
              </w:rPr>
              <w:t>Majority Group</w:t>
            </w:r>
          </w:p>
        </w:tc>
        <w:tc>
          <w:tcPr>
            <w:tcW w:w="1381" w:type="dxa"/>
            <w:tcBorders>
              <w:right w:val="single" w:sz="12" w:space="0" w:color="auto"/>
            </w:tcBorders>
            <w:shd w:val="clear" w:color="auto" w:fill="0070C0"/>
            <w:vAlign w:val="center"/>
          </w:tcPr>
          <w:p w:rsidR="00A82CBA" w:rsidRDefault="00A82CBA" w:rsidP="00B46015">
            <w:pPr>
              <w:jc w:val="center"/>
              <w:rPr>
                <w:rFonts w:asciiTheme="minorHAnsi" w:hAnsiTheme="minorHAnsi"/>
              </w:rPr>
            </w:pPr>
            <w:r>
              <w:rPr>
                <w:rFonts w:asciiTheme="minorHAnsi" w:hAnsiTheme="minorHAnsi"/>
                <w:b/>
                <w:color w:val="FFFFFF" w:themeColor="background1"/>
              </w:rPr>
              <w:t>% of Employees in Group</w:t>
            </w:r>
          </w:p>
        </w:tc>
        <w:tc>
          <w:tcPr>
            <w:tcW w:w="1381" w:type="dxa"/>
            <w:tcBorders>
              <w:left w:val="single" w:sz="12" w:space="0" w:color="auto"/>
            </w:tcBorders>
            <w:shd w:val="clear" w:color="auto" w:fill="0070C0"/>
            <w:vAlign w:val="center"/>
          </w:tcPr>
          <w:p w:rsidR="00A82CBA" w:rsidRDefault="00A82CBA" w:rsidP="00B46015">
            <w:pPr>
              <w:jc w:val="center"/>
              <w:rPr>
                <w:rFonts w:asciiTheme="minorHAnsi" w:hAnsiTheme="minorHAnsi"/>
                <w:b/>
                <w:color w:val="FFFFFF" w:themeColor="background1"/>
              </w:rPr>
            </w:pPr>
            <w:r>
              <w:rPr>
                <w:rFonts w:asciiTheme="minorHAnsi" w:hAnsiTheme="minorHAnsi"/>
                <w:b/>
                <w:color w:val="FFFFFF" w:themeColor="background1"/>
              </w:rPr>
              <w:t>Majority Group</w:t>
            </w:r>
          </w:p>
        </w:tc>
        <w:tc>
          <w:tcPr>
            <w:tcW w:w="1381" w:type="dxa"/>
            <w:shd w:val="clear" w:color="auto" w:fill="0070C0"/>
            <w:vAlign w:val="center"/>
          </w:tcPr>
          <w:p w:rsidR="00A82CBA" w:rsidRDefault="00A82CBA" w:rsidP="00B46015">
            <w:pPr>
              <w:jc w:val="center"/>
              <w:rPr>
                <w:rFonts w:asciiTheme="minorHAnsi" w:hAnsiTheme="minorHAnsi"/>
                <w:b/>
                <w:color w:val="FFFFFF" w:themeColor="background1"/>
              </w:rPr>
            </w:pPr>
            <w:r>
              <w:rPr>
                <w:rFonts w:asciiTheme="minorHAnsi" w:hAnsiTheme="minorHAnsi"/>
                <w:b/>
                <w:color w:val="FFFFFF" w:themeColor="background1"/>
              </w:rPr>
              <w:t>% of Employees in Group</w:t>
            </w:r>
          </w:p>
        </w:tc>
      </w:tr>
      <w:tr w:rsidR="00A82CBA" w:rsidRPr="005629D9" w:rsidTr="00867C06">
        <w:trPr>
          <w:trHeight w:val="385"/>
          <w:jc w:val="center"/>
        </w:trPr>
        <w:tc>
          <w:tcPr>
            <w:tcW w:w="1838" w:type="dxa"/>
            <w:vAlign w:val="center"/>
          </w:tcPr>
          <w:p w:rsidR="00A82CBA" w:rsidRPr="005629D9" w:rsidRDefault="00A82CBA" w:rsidP="00A82CBA">
            <w:pPr>
              <w:rPr>
                <w:rFonts w:asciiTheme="minorHAnsi" w:hAnsiTheme="minorHAnsi"/>
              </w:rPr>
            </w:pPr>
            <w:proofErr w:type="spellStart"/>
            <w:r>
              <w:rPr>
                <w:rFonts w:asciiTheme="minorHAnsi" w:hAnsiTheme="minorHAnsi"/>
              </w:rPr>
              <w:t>Wholetime</w:t>
            </w:r>
            <w:proofErr w:type="spellEnd"/>
          </w:p>
        </w:tc>
        <w:tc>
          <w:tcPr>
            <w:tcW w:w="1381" w:type="dxa"/>
            <w:shd w:val="clear" w:color="auto" w:fill="auto"/>
            <w:vAlign w:val="center"/>
          </w:tcPr>
          <w:p w:rsidR="00A82CBA" w:rsidRPr="005629D9" w:rsidRDefault="00A82CBA" w:rsidP="00A82CBA">
            <w:pPr>
              <w:jc w:val="center"/>
              <w:rPr>
                <w:rFonts w:asciiTheme="minorHAnsi" w:hAnsiTheme="minorHAnsi"/>
              </w:rPr>
            </w:pPr>
            <w:r>
              <w:rPr>
                <w:rFonts w:asciiTheme="minorHAnsi" w:hAnsiTheme="minorHAnsi"/>
              </w:rPr>
              <w:t>46-55</w:t>
            </w:r>
          </w:p>
        </w:tc>
        <w:tc>
          <w:tcPr>
            <w:tcW w:w="1381" w:type="dxa"/>
            <w:tcBorders>
              <w:right w:val="single" w:sz="12" w:space="0" w:color="auto"/>
            </w:tcBorders>
            <w:vAlign w:val="center"/>
          </w:tcPr>
          <w:p w:rsidR="00A82CBA" w:rsidRDefault="00A82CBA" w:rsidP="00A82CBA">
            <w:pPr>
              <w:jc w:val="center"/>
              <w:rPr>
                <w:rFonts w:asciiTheme="minorHAnsi" w:hAnsiTheme="minorHAnsi"/>
              </w:rPr>
            </w:pPr>
            <w:r>
              <w:rPr>
                <w:rFonts w:asciiTheme="minorHAnsi" w:hAnsiTheme="minorHAnsi"/>
              </w:rPr>
              <w:t>48.5%</w:t>
            </w:r>
          </w:p>
        </w:tc>
        <w:tc>
          <w:tcPr>
            <w:tcW w:w="1381" w:type="dxa"/>
            <w:tcBorders>
              <w:left w:val="single" w:sz="12" w:space="0" w:color="auto"/>
            </w:tcBorders>
            <w:vAlign w:val="center"/>
          </w:tcPr>
          <w:p w:rsidR="00A82CBA" w:rsidRDefault="00A82CBA" w:rsidP="00A82CBA">
            <w:pPr>
              <w:jc w:val="center"/>
              <w:rPr>
                <w:rFonts w:asciiTheme="minorHAnsi" w:hAnsiTheme="minorHAnsi"/>
              </w:rPr>
            </w:pPr>
            <w:r>
              <w:rPr>
                <w:rFonts w:asciiTheme="minorHAnsi" w:hAnsiTheme="minorHAnsi"/>
              </w:rPr>
              <w:t>46-55</w:t>
            </w:r>
          </w:p>
        </w:tc>
        <w:tc>
          <w:tcPr>
            <w:tcW w:w="1381" w:type="dxa"/>
            <w:vAlign w:val="center"/>
          </w:tcPr>
          <w:p w:rsidR="00A82CBA" w:rsidRDefault="00A82CBA" w:rsidP="00A82CBA">
            <w:pPr>
              <w:jc w:val="center"/>
              <w:rPr>
                <w:rFonts w:asciiTheme="minorHAnsi" w:hAnsiTheme="minorHAnsi"/>
              </w:rPr>
            </w:pPr>
            <w:r>
              <w:rPr>
                <w:rFonts w:asciiTheme="minorHAnsi" w:hAnsiTheme="minorHAnsi"/>
              </w:rPr>
              <w:t>45.5%</w:t>
            </w:r>
          </w:p>
        </w:tc>
      </w:tr>
      <w:tr w:rsidR="00A82CBA" w:rsidRPr="005629D9" w:rsidTr="00867C06">
        <w:trPr>
          <w:trHeight w:val="385"/>
          <w:jc w:val="center"/>
        </w:trPr>
        <w:tc>
          <w:tcPr>
            <w:tcW w:w="1838" w:type="dxa"/>
            <w:vAlign w:val="center"/>
          </w:tcPr>
          <w:p w:rsidR="00A82CBA" w:rsidRPr="005629D9" w:rsidRDefault="00A82CBA" w:rsidP="00A82CBA">
            <w:pPr>
              <w:rPr>
                <w:rFonts w:asciiTheme="minorHAnsi" w:hAnsiTheme="minorHAnsi"/>
              </w:rPr>
            </w:pPr>
            <w:r>
              <w:rPr>
                <w:rFonts w:asciiTheme="minorHAnsi" w:hAnsiTheme="minorHAnsi"/>
              </w:rPr>
              <w:t>On-Call</w:t>
            </w:r>
          </w:p>
        </w:tc>
        <w:tc>
          <w:tcPr>
            <w:tcW w:w="1381" w:type="dxa"/>
            <w:shd w:val="clear" w:color="auto" w:fill="auto"/>
            <w:vAlign w:val="center"/>
          </w:tcPr>
          <w:p w:rsidR="00A82CBA" w:rsidRPr="005629D9" w:rsidRDefault="004B5E3E" w:rsidP="00A82CBA">
            <w:pPr>
              <w:jc w:val="center"/>
              <w:rPr>
                <w:rFonts w:asciiTheme="minorHAnsi" w:hAnsiTheme="minorHAnsi"/>
              </w:rPr>
            </w:pPr>
            <w:r>
              <w:rPr>
                <w:rFonts w:asciiTheme="minorHAnsi" w:hAnsiTheme="minorHAnsi"/>
              </w:rPr>
              <w:t>23-3</w:t>
            </w:r>
            <w:r w:rsidR="00A82CBA">
              <w:rPr>
                <w:rFonts w:asciiTheme="minorHAnsi" w:hAnsiTheme="minorHAnsi"/>
              </w:rPr>
              <w:t>5</w:t>
            </w:r>
          </w:p>
        </w:tc>
        <w:tc>
          <w:tcPr>
            <w:tcW w:w="1381" w:type="dxa"/>
            <w:tcBorders>
              <w:right w:val="single" w:sz="12" w:space="0" w:color="auto"/>
            </w:tcBorders>
            <w:vAlign w:val="center"/>
          </w:tcPr>
          <w:p w:rsidR="00A82CBA" w:rsidRDefault="00A82CBA" w:rsidP="00A82CBA">
            <w:pPr>
              <w:jc w:val="center"/>
              <w:rPr>
                <w:rFonts w:asciiTheme="minorHAnsi" w:hAnsiTheme="minorHAnsi"/>
              </w:rPr>
            </w:pPr>
            <w:r>
              <w:rPr>
                <w:rFonts w:asciiTheme="minorHAnsi" w:hAnsiTheme="minorHAnsi"/>
              </w:rPr>
              <w:t>36.5%</w:t>
            </w:r>
          </w:p>
        </w:tc>
        <w:tc>
          <w:tcPr>
            <w:tcW w:w="1381" w:type="dxa"/>
            <w:tcBorders>
              <w:left w:val="single" w:sz="12" w:space="0" w:color="auto"/>
            </w:tcBorders>
            <w:vAlign w:val="center"/>
          </w:tcPr>
          <w:p w:rsidR="00A82CBA" w:rsidRDefault="00A82CBA" w:rsidP="00A82CBA">
            <w:pPr>
              <w:jc w:val="center"/>
              <w:rPr>
                <w:rFonts w:asciiTheme="minorHAnsi" w:hAnsiTheme="minorHAnsi"/>
              </w:rPr>
            </w:pPr>
            <w:r>
              <w:rPr>
                <w:rFonts w:asciiTheme="minorHAnsi" w:hAnsiTheme="minorHAnsi"/>
              </w:rPr>
              <w:t>25-35</w:t>
            </w:r>
          </w:p>
        </w:tc>
        <w:tc>
          <w:tcPr>
            <w:tcW w:w="1381" w:type="dxa"/>
            <w:vAlign w:val="center"/>
          </w:tcPr>
          <w:p w:rsidR="00A82CBA" w:rsidRDefault="00A82CBA" w:rsidP="00A82CBA">
            <w:pPr>
              <w:jc w:val="center"/>
              <w:rPr>
                <w:rFonts w:asciiTheme="minorHAnsi" w:hAnsiTheme="minorHAnsi"/>
              </w:rPr>
            </w:pPr>
            <w:r>
              <w:rPr>
                <w:rFonts w:asciiTheme="minorHAnsi" w:hAnsiTheme="minorHAnsi"/>
              </w:rPr>
              <w:t>38.9%</w:t>
            </w:r>
          </w:p>
        </w:tc>
      </w:tr>
      <w:tr w:rsidR="00A82CBA" w:rsidRPr="005629D9" w:rsidTr="00867C06">
        <w:trPr>
          <w:trHeight w:val="385"/>
          <w:jc w:val="center"/>
        </w:trPr>
        <w:tc>
          <w:tcPr>
            <w:tcW w:w="1838" w:type="dxa"/>
            <w:vAlign w:val="center"/>
          </w:tcPr>
          <w:p w:rsidR="00A82CBA" w:rsidRPr="005629D9" w:rsidRDefault="00A82CBA" w:rsidP="00A82CBA">
            <w:pPr>
              <w:rPr>
                <w:rFonts w:asciiTheme="minorHAnsi" w:hAnsiTheme="minorHAnsi"/>
              </w:rPr>
            </w:pPr>
            <w:r>
              <w:rPr>
                <w:rFonts w:asciiTheme="minorHAnsi" w:hAnsiTheme="minorHAnsi"/>
              </w:rPr>
              <w:t>Support</w:t>
            </w:r>
          </w:p>
        </w:tc>
        <w:tc>
          <w:tcPr>
            <w:tcW w:w="1381" w:type="dxa"/>
            <w:shd w:val="clear" w:color="auto" w:fill="auto"/>
            <w:vAlign w:val="center"/>
          </w:tcPr>
          <w:p w:rsidR="00A82CBA" w:rsidRPr="005629D9" w:rsidRDefault="00A82CBA" w:rsidP="00A82CBA">
            <w:pPr>
              <w:jc w:val="center"/>
              <w:rPr>
                <w:rFonts w:asciiTheme="minorHAnsi" w:hAnsiTheme="minorHAnsi"/>
              </w:rPr>
            </w:pPr>
            <w:r>
              <w:rPr>
                <w:rFonts w:asciiTheme="minorHAnsi" w:hAnsiTheme="minorHAnsi"/>
              </w:rPr>
              <w:t>46-55</w:t>
            </w:r>
          </w:p>
        </w:tc>
        <w:tc>
          <w:tcPr>
            <w:tcW w:w="1381" w:type="dxa"/>
            <w:tcBorders>
              <w:right w:val="single" w:sz="12" w:space="0" w:color="auto"/>
            </w:tcBorders>
            <w:vAlign w:val="center"/>
          </w:tcPr>
          <w:p w:rsidR="00A82CBA" w:rsidRDefault="00A82CBA" w:rsidP="00A82CBA">
            <w:pPr>
              <w:jc w:val="center"/>
              <w:rPr>
                <w:rFonts w:asciiTheme="minorHAnsi" w:hAnsiTheme="minorHAnsi"/>
              </w:rPr>
            </w:pPr>
            <w:r>
              <w:rPr>
                <w:rFonts w:asciiTheme="minorHAnsi" w:hAnsiTheme="minorHAnsi"/>
              </w:rPr>
              <w:t>28.8%</w:t>
            </w:r>
          </w:p>
        </w:tc>
        <w:tc>
          <w:tcPr>
            <w:tcW w:w="1381" w:type="dxa"/>
            <w:tcBorders>
              <w:left w:val="single" w:sz="12" w:space="0" w:color="auto"/>
            </w:tcBorders>
            <w:vAlign w:val="center"/>
          </w:tcPr>
          <w:p w:rsidR="00A82CBA" w:rsidRDefault="00A82CBA" w:rsidP="00A82CBA">
            <w:pPr>
              <w:jc w:val="center"/>
              <w:rPr>
                <w:rFonts w:asciiTheme="minorHAnsi" w:hAnsiTheme="minorHAnsi"/>
              </w:rPr>
            </w:pPr>
            <w:r>
              <w:rPr>
                <w:rFonts w:asciiTheme="minorHAnsi" w:hAnsiTheme="minorHAnsi"/>
              </w:rPr>
              <w:t>46-55</w:t>
            </w:r>
          </w:p>
        </w:tc>
        <w:tc>
          <w:tcPr>
            <w:tcW w:w="1381" w:type="dxa"/>
            <w:vAlign w:val="center"/>
          </w:tcPr>
          <w:p w:rsidR="00A82CBA" w:rsidRDefault="00A82CBA" w:rsidP="00A82CBA">
            <w:pPr>
              <w:jc w:val="center"/>
              <w:rPr>
                <w:rFonts w:asciiTheme="minorHAnsi" w:hAnsiTheme="minorHAnsi"/>
              </w:rPr>
            </w:pPr>
            <w:r>
              <w:rPr>
                <w:rFonts w:asciiTheme="minorHAnsi" w:hAnsiTheme="minorHAnsi"/>
              </w:rPr>
              <w:t>31.4%</w:t>
            </w:r>
          </w:p>
        </w:tc>
      </w:tr>
      <w:tr w:rsidR="00A82CBA" w:rsidRPr="005629D9" w:rsidTr="00867C06">
        <w:trPr>
          <w:trHeight w:val="385"/>
          <w:jc w:val="center"/>
        </w:trPr>
        <w:tc>
          <w:tcPr>
            <w:tcW w:w="1838" w:type="dxa"/>
            <w:vAlign w:val="center"/>
          </w:tcPr>
          <w:p w:rsidR="00A82CBA" w:rsidRPr="005629D9" w:rsidRDefault="00A82CBA" w:rsidP="00A82CBA">
            <w:pPr>
              <w:rPr>
                <w:rFonts w:asciiTheme="minorHAnsi" w:hAnsiTheme="minorHAnsi"/>
              </w:rPr>
            </w:pPr>
            <w:r>
              <w:rPr>
                <w:rFonts w:asciiTheme="minorHAnsi" w:hAnsiTheme="minorHAnsi"/>
              </w:rPr>
              <w:t>Control</w:t>
            </w:r>
          </w:p>
        </w:tc>
        <w:tc>
          <w:tcPr>
            <w:tcW w:w="1381" w:type="dxa"/>
            <w:shd w:val="clear" w:color="auto" w:fill="auto"/>
            <w:vAlign w:val="center"/>
          </w:tcPr>
          <w:p w:rsidR="00A82CBA" w:rsidRPr="005629D9" w:rsidRDefault="00A82CBA" w:rsidP="00A82CBA">
            <w:pPr>
              <w:jc w:val="center"/>
              <w:rPr>
                <w:rFonts w:asciiTheme="minorHAnsi" w:hAnsiTheme="minorHAnsi"/>
              </w:rPr>
            </w:pPr>
            <w:r>
              <w:rPr>
                <w:rFonts w:asciiTheme="minorHAnsi" w:hAnsiTheme="minorHAnsi"/>
              </w:rPr>
              <w:t>25-35</w:t>
            </w:r>
          </w:p>
        </w:tc>
        <w:tc>
          <w:tcPr>
            <w:tcW w:w="1381" w:type="dxa"/>
            <w:tcBorders>
              <w:right w:val="single" w:sz="12" w:space="0" w:color="auto"/>
            </w:tcBorders>
            <w:vAlign w:val="center"/>
          </w:tcPr>
          <w:p w:rsidR="00A82CBA" w:rsidRDefault="00A82CBA" w:rsidP="00A82CBA">
            <w:pPr>
              <w:jc w:val="center"/>
              <w:rPr>
                <w:rFonts w:asciiTheme="minorHAnsi" w:hAnsiTheme="minorHAnsi"/>
              </w:rPr>
            </w:pPr>
            <w:r>
              <w:rPr>
                <w:rFonts w:asciiTheme="minorHAnsi" w:hAnsiTheme="minorHAnsi"/>
              </w:rPr>
              <w:t>34.3%</w:t>
            </w:r>
          </w:p>
        </w:tc>
        <w:tc>
          <w:tcPr>
            <w:tcW w:w="1381" w:type="dxa"/>
            <w:tcBorders>
              <w:left w:val="single" w:sz="12" w:space="0" w:color="auto"/>
            </w:tcBorders>
            <w:vAlign w:val="center"/>
          </w:tcPr>
          <w:p w:rsidR="00A82CBA" w:rsidRDefault="00A82CBA" w:rsidP="00A82CBA">
            <w:pPr>
              <w:jc w:val="center"/>
              <w:rPr>
                <w:rFonts w:asciiTheme="minorHAnsi" w:hAnsiTheme="minorHAnsi"/>
              </w:rPr>
            </w:pPr>
            <w:r>
              <w:rPr>
                <w:rFonts w:asciiTheme="minorHAnsi" w:hAnsiTheme="minorHAnsi"/>
              </w:rPr>
              <w:t>25-35</w:t>
            </w:r>
          </w:p>
        </w:tc>
        <w:tc>
          <w:tcPr>
            <w:tcW w:w="1381" w:type="dxa"/>
            <w:vAlign w:val="center"/>
          </w:tcPr>
          <w:p w:rsidR="00A82CBA" w:rsidRDefault="00A82CBA" w:rsidP="00A82CBA">
            <w:pPr>
              <w:jc w:val="center"/>
              <w:rPr>
                <w:rFonts w:asciiTheme="minorHAnsi" w:hAnsiTheme="minorHAnsi"/>
              </w:rPr>
            </w:pPr>
            <w:r>
              <w:rPr>
                <w:rFonts w:asciiTheme="minorHAnsi" w:hAnsiTheme="minorHAnsi"/>
              </w:rPr>
              <w:t>35.1%</w:t>
            </w:r>
          </w:p>
        </w:tc>
      </w:tr>
      <w:tr w:rsidR="00A82CBA" w:rsidRPr="005629D9" w:rsidTr="00867C06">
        <w:trPr>
          <w:trHeight w:val="385"/>
          <w:jc w:val="center"/>
        </w:trPr>
        <w:tc>
          <w:tcPr>
            <w:tcW w:w="1838" w:type="dxa"/>
            <w:shd w:val="clear" w:color="auto" w:fill="E7E6E6" w:themeFill="background2"/>
            <w:vAlign w:val="center"/>
          </w:tcPr>
          <w:p w:rsidR="00A82CBA" w:rsidRPr="005629D9" w:rsidRDefault="00A82CBA" w:rsidP="00A82CBA">
            <w:pPr>
              <w:rPr>
                <w:rFonts w:asciiTheme="minorHAnsi" w:hAnsiTheme="minorHAnsi"/>
                <w:b/>
              </w:rPr>
            </w:pPr>
            <w:r>
              <w:rPr>
                <w:rFonts w:asciiTheme="minorHAnsi" w:hAnsiTheme="minorHAnsi"/>
                <w:b/>
              </w:rPr>
              <w:t>OVERALL</w:t>
            </w:r>
          </w:p>
        </w:tc>
        <w:tc>
          <w:tcPr>
            <w:tcW w:w="1381" w:type="dxa"/>
            <w:shd w:val="clear" w:color="auto" w:fill="E7E6E6" w:themeFill="background2"/>
            <w:vAlign w:val="center"/>
          </w:tcPr>
          <w:p w:rsidR="00A82CBA" w:rsidRPr="005629D9" w:rsidRDefault="00A82CBA" w:rsidP="00A82CBA">
            <w:pPr>
              <w:jc w:val="center"/>
              <w:rPr>
                <w:rFonts w:asciiTheme="minorHAnsi" w:hAnsiTheme="minorHAnsi"/>
                <w:b/>
              </w:rPr>
            </w:pPr>
            <w:r>
              <w:rPr>
                <w:rFonts w:asciiTheme="minorHAnsi" w:hAnsiTheme="minorHAnsi"/>
                <w:b/>
              </w:rPr>
              <w:t>46-55</w:t>
            </w:r>
          </w:p>
        </w:tc>
        <w:tc>
          <w:tcPr>
            <w:tcW w:w="1381" w:type="dxa"/>
            <w:tcBorders>
              <w:right w:val="single" w:sz="12" w:space="0" w:color="auto"/>
            </w:tcBorders>
            <w:shd w:val="clear" w:color="auto" w:fill="E7E6E6" w:themeFill="background2"/>
            <w:vAlign w:val="center"/>
          </w:tcPr>
          <w:p w:rsidR="00A82CBA" w:rsidRDefault="00A82CBA" w:rsidP="00A82CBA">
            <w:pPr>
              <w:jc w:val="center"/>
              <w:rPr>
                <w:rFonts w:asciiTheme="minorHAnsi" w:hAnsiTheme="minorHAnsi"/>
                <w:b/>
              </w:rPr>
            </w:pPr>
            <w:r>
              <w:rPr>
                <w:rFonts w:asciiTheme="minorHAnsi" w:hAnsiTheme="minorHAnsi"/>
                <w:b/>
              </w:rPr>
              <w:t>35.0%</w:t>
            </w:r>
          </w:p>
        </w:tc>
        <w:tc>
          <w:tcPr>
            <w:tcW w:w="1381" w:type="dxa"/>
            <w:tcBorders>
              <w:left w:val="single" w:sz="12" w:space="0" w:color="auto"/>
            </w:tcBorders>
            <w:shd w:val="clear" w:color="auto" w:fill="E7E6E6" w:themeFill="background2"/>
            <w:vAlign w:val="center"/>
          </w:tcPr>
          <w:p w:rsidR="00A82CBA" w:rsidRDefault="00A82CBA" w:rsidP="00A82CBA">
            <w:pPr>
              <w:jc w:val="center"/>
              <w:rPr>
                <w:rFonts w:asciiTheme="minorHAnsi" w:hAnsiTheme="minorHAnsi"/>
                <w:b/>
              </w:rPr>
            </w:pPr>
            <w:r>
              <w:rPr>
                <w:rFonts w:asciiTheme="minorHAnsi" w:hAnsiTheme="minorHAnsi"/>
                <w:b/>
              </w:rPr>
              <w:t>46-55</w:t>
            </w:r>
          </w:p>
        </w:tc>
        <w:tc>
          <w:tcPr>
            <w:tcW w:w="1381" w:type="dxa"/>
            <w:shd w:val="clear" w:color="auto" w:fill="E7E6E6" w:themeFill="background2"/>
            <w:vAlign w:val="center"/>
          </w:tcPr>
          <w:p w:rsidR="00A82CBA" w:rsidRDefault="00A82CBA" w:rsidP="00A82CBA">
            <w:pPr>
              <w:jc w:val="center"/>
              <w:rPr>
                <w:rFonts w:asciiTheme="minorHAnsi" w:hAnsiTheme="minorHAnsi"/>
                <w:b/>
              </w:rPr>
            </w:pPr>
            <w:r>
              <w:rPr>
                <w:rFonts w:asciiTheme="minorHAnsi" w:hAnsiTheme="minorHAnsi"/>
                <w:b/>
              </w:rPr>
              <w:t>33.8%</w:t>
            </w:r>
          </w:p>
        </w:tc>
      </w:tr>
    </w:tbl>
    <w:p w:rsidR="00A82CBA" w:rsidRDefault="00A82CBA" w:rsidP="008C28CF">
      <w:pPr>
        <w:ind w:left="360"/>
        <w:jc w:val="both"/>
      </w:pPr>
    </w:p>
    <w:p w:rsidR="00A82CBA" w:rsidRDefault="00A82CBA" w:rsidP="008C28CF">
      <w:pPr>
        <w:ind w:left="360"/>
        <w:jc w:val="both"/>
      </w:pPr>
    </w:p>
    <w:p w:rsidR="00114758" w:rsidRDefault="00114758" w:rsidP="008C28CF">
      <w:pPr>
        <w:ind w:left="360"/>
        <w:jc w:val="both"/>
      </w:pPr>
      <w:r>
        <w:t>Nationally the age of firefighters has been gradually increasing. In 2011 it was 40, moving to 41 in 2013 and to 42 in 2017 and 2018</w:t>
      </w:r>
      <w:r w:rsidR="00596CDD">
        <w:t xml:space="preserve"> (Source: Fire and Rescue Workforce and Pension Statistics: England, April 2017 to March 2018)</w:t>
      </w:r>
      <w:r w:rsidR="004B6E99">
        <w:t xml:space="preserve">, </w:t>
      </w:r>
      <w:r w:rsidR="00B938C9">
        <w:t>the Service</w:t>
      </w:r>
      <w:r w:rsidR="004B6E99">
        <w:t xml:space="preserve"> </w:t>
      </w:r>
      <w:r w:rsidR="00997FF1">
        <w:t xml:space="preserve">is </w:t>
      </w:r>
      <w:r w:rsidR="004B6E99">
        <w:t>reflect</w:t>
      </w:r>
      <w:r w:rsidR="00997FF1">
        <w:t>ive of</w:t>
      </w:r>
      <w:r w:rsidR="004B6E99">
        <w:t xml:space="preserve"> th</w:t>
      </w:r>
      <w:r w:rsidR="00997FF1">
        <w:t>e</w:t>
      </w:r>
      <w:r w:rsidR="004B6E99">
        <w:t xml:space="preserve"> national trend</w:t>
      </w:r>
      <w:r w:rsidR="00F455AB">
        <w:t xml:space="preserve"> </w:t>
      </w:r>
      <w:r w:rsidR="005915B0">
        <w:t xml:space="preserve">with majority age group of 46-55 </w:t>
      </w:r>
      <w:r w:rsidR="00F455AB">
        <w:t>as does Support staff with 46-55 majority age group</w:t>
      </w:r>
      <w:r>
        <w:t>.</w:t>
      </w:r>
      <w:r w:rsidR="00F455AB">
        <w:t xml:space="preserve"> However, nationally the average age of Control staff is </w:t>
      </w:r>
      <w:proofErr w:type="gramStart"/>
      <w:r w:rsidR="00F455AB">
        <w:t>between</w:t>
      </w:r>
      <w:r w:rsidR="00E43213">
        <w:t xml:space="preserve"> </w:t>
      </w:r>
      <w:r w:rsidR="00F455AB">
        <w:t>46-55</w:t>
      </w:r>
      <w:proofErr w:type="gramEnd"/>
      <w:r w:rsidR="00F455AB">
        <w:t xml:space="preserve"> whereas </w:t>
      </w:r>
      <w:r w:rsidR="00B938C9">
        <w:t>the Service</w:t>
      </w:r>
      <w:r w:rsidR="00F455AB">
        <w:t xml:space="preserve"> majority age group for Control is 25-35.  </w:t>
      </w:r>
    </w:p>
    <w:p w:rsidR="00114758" w:rsidRPr="00114758" w:rsidRDefault="00114758" w:rsidP="008C28CF">
      <w:pPr>
        <w:ind w:left="360"/>
        <w:jc w:val="both"/>
      </w:pPr>
    </w:p>
    <w:p w:rsidR="00A924A7" w:rsidRPr="002F7488" w:rsidRDefault="00A924A7" w:rsidP="008C28CF">
      <w:pPr>
        <w:pStyle w:val="ListParagraph"/>
        <w:numPr>
          <w:ilvl w:val="1"/>
          <w:numId w:val="24"/>
        </w:numPr>
        <w:jc w:val="both"/>
        <w:rPr>
          <w:b/>
        </w:rPr>
      </w:pPr>
      <w:r w:rsidRPr="002F7488">
        <w:rPr>
          <w:b/>
        </w:rPr>
        <w:t>Gender distribution</w:t>
      </w:r>
    </w:p>
    <w:p w:rsidR="00F20055" w:rsidRDefault="00F20055" w:rsidP="008C28CF">
      <w:pPr>
        <w:jc w:val="both"/>
      </w:pPr>
    </w:p>
    <w:p w:rsidR="00622082" w:rsidRPr="003F1E63" w:rsidRDefault="00622082" w:rsidP="008C28CF">
      <w:pPr>
        <w:ind w:left="360"/>
        <w:jc w:val="both"/>
      </w:pPr>
      <w:r w:rsidRPr="003F1E63">
        <w:t xml:space="preserve">Of the 31 December 2018 headcount, </w:t>
      </w:r>
      <w:r w:rsidR="003A1A55" w:rsidRPr="003F1E63">
        <w:t>225</w:t>
      </w:r>
      <w:r w:rsidRPr="003F1E63">
        <w:t xml:space="preserve"> are female and </w:t>
      </w:r>
      <w:r w:rsidR="003A1A55" w:rsidRPr="003F1E63">
        <w:t>1226</w:t>
      </w:r>
      <w:r w:rsidRPr="003F1E63">
        <w:t xml:space="preserve"> male; an increase of </w:t>
      </w:r>
      <w:r w:rsidR="003A1A55" w:rsidRPr="003F1E63">
        <w:t>8</w:t>
      </w:r>
      <w:r w:rsidRPr="003F1E63">
        <w:t xml:space="preserve"> for the overall female headcount.</w:t>
      </w:r>
      <w:r w:rsidR="00AB11BB">
        <w:t xml:space="preserve"> Table 4 shows the gender distribution across employee groups.</w:t>
      </w:r>
    </w:p>
    <w:p w:rsidR="00E8235F" w:rsidRDefault="00E8235F" w:rsidP="008C28CF">
      <w:pPr>
        <w:ind w:left="360"/>
        <w:jc w:val="both"/>
      </w:pPr>
    </w:p>
    <w:tbl>
      <w:tblPr>
        <w:tblStyle w:val="TableGrid"/>
        <w:tblW w:w="7362" w:type="dxa"/>
        <w:jc w:val="center"/>
        <w:tblLayout w:type="fixed"/>
        <w:tblLook w:val="04A0" w:firstRow="1" w:lastRow="0" w:firstColumn="1" w:lastColumn="0" w:noHBand="0" w:noVBand="1"/>
      </w:tblPr>
      <w:tblGrid>
        <w:gridCol w:w="1838"/>
        <w:gridCol w:w="1381"/>
        <w:gridCol w:w="1381"/>
        <w:gridCol w:w="1381"/>
        <w:gridCol w:w="1381"/>
      </w:tblGrid>
      <w:tr w:rsidR="00E041D2" w:rsidRPr="005629D9" w:rsidTr="00E60198">
        <w:trPr>
          <w:trHeight w:val="510"/>
          <w:jc w:val="center"/>
        </w:trPr>
        <w:tc>
          <w:tcPr>
            <w:tcW w:w="7362" w:type="dxa"/>
            <w:gridSpan w:val="5"/>
            <w:shd w:val="clear" w:color="auto" w:fill="0070C0"/>
            <w:vAlign w:val="center"/>
          </w:tcPr>
          <w:p w:rsidR="00E041D2" w:rsidRDefault="00E041D2" w:rsidP="00E60198">
            <w:pPr>
              <w:jc w:val="center"/>
              <w:rPr>
                <w:rFonts w:asciiTheme="minorHAnsi" w:hAnsiTheme="minorHAnsi"/>
                <w:b/>
                <w:color w:val="FFFFFF" w:themeColor="background1"/>
              </w:rPr>
            </w:pPr>
            <w:r>
              <w:rPr>
                <w:rFonts w:asciiTheme="minorHAnsi" w:hAnsiTheme="minorHAnsi"/>
                <w:b/>
                <w:color w:val="FFFFFF" w:themeColor="background1"/>
              </w:rPr>
              <w:t>Table 4: Gender Distribution</w:t>
            </w:r>
          </w:p>
        </w:tc>
      </w:tr>
      <w:tr w:rsidR="00E041D2" w:rsidRPr="005629D9" w:rsidTr="00E60198">
        <w:trPr>
          <w:trHeight w:val="385"/>
          <w:jc w:val="center"/>
        </w:trPr>
        <w:tc>
          <w:tcPr>
            <w:tcW w:w="1838" w:type="dxa"/>
            <w:vMerge w:val="restart"/>
            <w:shd w:val="clear" w:color="auto" w:fill="0070C0"/>
            <w:vAlign w:val="center"/>
          </w:tcPr>
          <w:p w:rsidR="00E041D2" w:rsidRDefault="00E041D2" w:rsidP="00E60198">
            <w:pPr>
              <w:jc w:val="center"/>
              <w:rPr>
                <w:rFonts w:asciiTheme="minorHAnsi" w:hAnsiTheme="minorHAnsi"/>
                <w:b/>
                <w:color w:val="FFFFFF" w:themeColor="background1"/>
              </w:rPr>
            </w:pPr>
            <w:r>
              <w:rPr>
                <w:rFonts w:asciiTheme="minorHAnsi" w:hAnsiTheme="minorHAnsi"/>
                <w:b/>
                <w:color w:val="FFFFFF" w:themeColor="background1"/>
              </w:rPr>
              <w:t>Employee Group</w:t>
            </w:r>
          </w:p>
        </w:tc>
        <w:tc>
          <w:tcPr>
            <w:tcW w:w="2762" w:type="dxa"/>
            <w:gridSpan w:val="2"/>
            <w:shd w:val="clear" w:color="auto" w:fill="0070C0"/>
            <w:vAlign w:val="center"/>
          </w:tcPr>
          <w:p w:rsidR="00E041D2" w:rsidRDefault="00E041D2" w:rsidP="00E60198">
            <w:pPr>
              <w:jc w:val="center"/>
              <w:rPr>
                <w:rFonts w:asciiTheme="minorHAnsi" w:hAnsiTheme="minorHAnsi"/>
                <w:b/>
                <w:color w:val="FFFFFF" w:themeColor="background1"/>
              </w:rPr>
            </w:pPr>
            <w:r>
              <w:rPr>
                <w:rFonts w:asciiTheme="minorHAnsi" w:hAnsiTheme="minorHAnsi"/>
                <w:b/>
                <w:color w:val="FFFFFF" w:themeColor="background1"/>
              </w:rPr>
              <w:t>2017</w:t>
            </w:r>
          </w:p>
        </w:tc>
        <w:tc>
          <w:tcPr>
            <w:tcW w:w="2762" w:type="dxa"/>
            <w:gridSpan w:val="2"/>
            <w:shd w:val="clear" w:color="auto" w:fill="0070C0"/>
            <w:vAlign w:val="center"/>
          </w:tcPr>
          <w:p w:rsidR="00E041D2" w:rsidRDefault="00E041D2" w:rsidP="00E60198">
            <w:pPr>
              <w:jc w:val="center"/>
              <w:rPr>
                <w:rFonts w:asciiTheme="minorHAnsi" w:hAnsiTheme="minorHAnsi"/>
                <w:b/>
                <w:color w:val="FFFFFF" w:themeColor="background1"/>
              </w:rPr>
            </w:pPr>
            <w:r>
              <w:rPr>
                <w:rFonts w:asciiTheme="minorHAnsi" w:hAnsiTheme="minorHAnsi"/>
                <w:b/>
                <w:color w:val="FFFFFF" w:themeColor="background1"/>
              </w:rPr>
              <w:t>2018</w:t>
            </w:r>
          </w:p>
        </w:tc>
      </w:tr>
      <w:tr w:rsidR="00E041D2" w:rsidRPr="005629D9" w:rsidTr="00E60198">
        <w:trPr>
          <w:trHeight w:val="385"/>
          <w:jc w:val="center"/>
        </w:trPr>
        <w:tc>
          <w:tcPr>
            <w:tcW w:w="1838" w:type="dxa"/>
            <w:vMerge/>
            <w:shd w:val="clear" w:color="auto" w:fill="0070C0"/>
            <w:vAlign w:val="center"/>
          </w:tcPr>
          <w:p w:rsidR="00E041D2" w:rsidRDefault="00E041D2" w:rsidP="00E60198">
            <w:pPr>
              <w:jc w:val="center"/>
              <w:rPr>
                <w:rFonts w:asciiTheme="minorHAnsi" w:hAnsiTheme="minorHAnsi"/>
              </w:rPr>
            </w:pPr>
          </w:p>
        </w:tc>
        <w:tc>
          <w:tcPr>
            <w:tcW w:w="1381" w:type="dxa"/>
            <w:shd w:val="clear" w:color="auto" w:fill="0070C0"/>
            <w:vAlign w:val="center"/>
          </w:tcPr>
          <w:p w:rsidR="00E041D2" w:rsidRDefault="00E041D2" w:rsidP="00E60198">
            <w:pPr>
              <w:jc w:val="center"/>
              <w:rPr>
                <w:rFonts w:asciiTheme="minorHAnsi" w:hAnsiTheme="minorHAnsi"/>
              </w:rPr>
            </w:pPr>
            <w:r>
              <w:rPr>
                <w:rFonts w:asciiTheme="minorHAnsi" w:hAnsiTheme="minorHAnsi"/>
                <w:b/>
                <w:color w:val="FFFFFF" w:themeColor="background1"/>
              </w:rPr>
              <w:t>Male</w:t>
            </w:r>
          </w:p>
        </w:tc>
        <w:tc>
          <w:tcPr>
            <w:tcW w:w="1381" w:type="dxa"/>
            <w:shd w:val="clear" w:color="auto" w:fill="0070C0"/>
            <w:vAlign w:val="center"/>
          </w:tcPr>
          <w:p w:rsidR="00E041D2" w:rsidRDefault="00E041D2" w:rsidP="00E60198">
            <w:pPr>
              <w:jc w:val="center"/>
              <w:rPr>
                <w:rFonts w:asciiTheme="minorHAnsi" w:hAnsiTheme="minorHAnsi"/>
              </w:rPr>
            </w:pPr>
            <w:r>
              <w:rPr>
                <w:rFonts w:asciiTheme="minorHAnsi" w:hAnsiTheme="minorHAnsi"/>
                <w:b/>
                <w:color w:val="FFFFFF" w:themeColor="background1"/>
              </w:rPr>
              <w:t>Female</w:t>
            </w:r>
          </w:p>
        </w:tc>
        <w:tc>
          <w:tcPr>
            <w:tcW w:w="1381" w:type="dxa"/>
            <w:shd w:val="clear" w:color="auto" w:fill="0070C0"/>
            <w:vAlign w:val="center"/>
          </w:tcPr>
          <w:p w:rsidR="00E041D2" w:rsidRDefault="00E041D2" w:rsidP="00E60198">
            <w:pPr>
              <w:jc w:val="center"/>
              <w:rPr>
                <w:rFonts w:asciiTheme="minorHAnsi" w:hAnsiTheme="minorHAnsi"/>
                <w:b/>
                <w:color w:val="FFFFFF" w:themeColor="background1"/>
              </w:rPr>
            </w:pPr>
            <w:r>
              <w:rPr>
                <w:rFonts w:asciiTheme="minorHAnsi" w:hAnsiTheme="minorHAnsi"/>
                <w:b/>
                <w:color w:val="FFFFFF" w:themeColor="background1"/>
              </w:rPr>
              <w:t>Male</w:t>
            </w:r>
          </w:p>
        </w:tc>
        <w:tc>
          <w:tcPr>
            <w:tcW w:w="1381" w:type="dxa"/>
            <w:shd w:val="clear" w:color="auto" w:fill="0070C0"/>
            <w:vAlign w:val="center"/>
          </w:tcPr>
          <w:p w:rsidR="00E041D2" w:rsidRDefault="00E041D2" w:rsidP="00E60198">
            <w:pPr>
              <w:jc w:val="center"/>
              <w:rPr>
                <w:rFonts w:asciiTheme="minorHAnsi" w:hAnsiTheme="minorHAnsi"/>
                <w:b/>
                <w:color w:val="FFFFFF" w:themeColor="background1"/>
              </w:rPr>
            </w:pPr>
            <w:r>
              <w:rPr>
                <w:rFonts w:asciiTheme="minorHAnsi" w:hAnsiTheme="minorHAnsi"/>
                <w:b/>
                <w:color w:val="FFFFFF" w:themeColor="background1"/>
              </w:rPr>
              <w:t>Female</w:t>
            </w:r>
          </w:p>
        </w:tc>
      </w:tr>
      <w:tr w:rsidR="00E041D2" w:rsidRPr="005629D9" w:rsidTr="00E60198">
        <w:trPr>
          <w:trHeight w:val="385"/>
          <w:jc w:val="center"/>
        </w:trPr>
        <w:tc>
          <w:tcPr>
            <w:tcW w:w="1838" w:type="dxa"/>
            <w:vAlign w:val="center"/>
          </w:tcPr>
          <w:p w:rsidR="00E041D2" w:rsidRPr="005629D9" w:rsidRDefault="00E041D2" w:rsidP="00E60198">
            <w:pPr>
              <w:rPr>
                <w:rFonts w:asciiTheme="minorHAnsi" w:hAnsiTheme="minorHAnsi"/>
              </w:rPr>
            </w:pPr>
            <w:proofErr w:type="spellStart"/>
            <w:r>
              <w:rPr>
                <w:rFonts w:asciiTheme="minorHAnsi" w:hAnsiTheme="minorHAnsi"/>
              </w:rPr>
              <w:t>Wholetime</w:t>
            </w:r>
            <w:proofErr w:type="spellEnd"/>
          </w:p>
        </w:tc>
        <w:tc>
          <w:tcPr>
            <w:tcW w:w="1381" w:type="dxa"/>
            <w:shd w:val="clear" w:color="auto" w:fill="auto"/>
            <w:vAlign w:val="center"/>
          </w:tcPr>
          <w:p w:rsidR="00E041D2" w:rsidRPr="005629D9" w:rsidRDefault="00E041D2" w:rsidP="00E60198">
            <w:pPr>
              <w:jc w:val="center"/>
              <w:rPr>
                <w:rFonts w:asciiTheme="minorHAnsi" w:hAnsiTheme="minorHAnsi"/>
              </w:rPr>
            </w:pPr>
            <w:r>
              <w:rPr>
                <w:rFonts w:asciiTheme="minorHAnsi" w:hAnsiTheme="minorHAnsi"/>
              </w:rPr>
              <w:t>94.3%</w:t>
            </w:r>
          </w:p>
        </w:tc>
        <w:tc>
          <w:tcPr>
            <w:tcW w:w="1381" w:type="dxa"/>
            <w:vAlign w:val="center"/>
          </w:tcPr>
          <w:p w:rsidR="00E041D2" w:rsidRDefault="00E041D2" w:rsidP="00E60198">
            <w:pPr>
              <w:jc w:val="center"/>
              <w:rPr>
                <w:rFonts w:asciiTheme="minorHAnsi" w:hAnsiTheme="minorHAnsi"/>
              </w:rPr>
            </w:pPr>
            <w:r>
              <w:rPr>
                <w:rFonts w:asciiTheme="minorHAnsi" w:hAnsiTheme="minorHAnsi"/>
              </w:rPr>
              <w:t>5.7%</w:t>
            </w:r>
          </w:p>
        </w:tc>
        <w:tc>
          <w:tcPr>
            <w:tcW w:w="1381" w:type="dxa"/>
            <w:vAlign w:val="center"/>
          </w:tcPr>
          <w:p w:rsidR="00E041D2" w:rsidRDefault="00E041D2" w:rsidP="00E60198">
            <w:pPr>
              <w:jc w:val="center"/>
              <w:rPr>
                <w:rFonts w:asciiTheme="minorHAnsi" w:hAnsiTheme="minorHAnsi"/>
              </w:rPr>
            </w:pPr>
            <w:r>
              <w:rPr>
                <w:rFonts w:asciiTheme="minorHAnsi" w:hAnsiTheme="minorHAnsi"/>
              </w:rPr>
              <w:t>94.2%</w:t>
            </w:r>
          </w:p>
        </w:tc>
        <w:tc>
          <w:tcPr>
            <w:tcW w:w="1381" w:type="dxa"/>
            <w:vAlign w:val="center"/>
          </w:tcPr>
          <w:p w:rsidR="00E041D2" w:rsidRDefault="00E041D2" w:rsidP="00E60198">
            <w:pPr>
              <w:jc w:val="center"/>
              <w:rPr>
                <w:rFonts w:asciiTheme="minorHAnsi" w:hAnsiTheme="minorHAnsi"/>
              </w:rPr>
            </w:pPr>
            <w:r>
              <w:rPr>
                <w:rFonts w:asciiTheme="minorHAnsi" w:hAnsiTheme="minorHAnsi"/>
              </w:rPr>
              <w:t>5.8%</w:t>
            </w:r>
          </w:p>
        </w:tc>
      </w:tr>
      <w:tr w:rsidR="00E041D2" w:rsidRPr="005629D9" w:rsidTr="00E60198">
        <w:trPr>
          <w:trHeight w:val="385"/>
          <w:jc w:val="center"/>
        </w:trPr>
        <w:tc>
          <w:tcPr>
            <w:tcW w:w="1838" w:type="dxa"/>
            <w:vAlign w:val="center"/>
          </w:tcPr>
          <w:p w:rsidR="00E041D2" w:rsidRPr="005629D9" w:rsidRDefault="00E041D2" w:rsidP="00E60198">
            <w:pPr>
              <w:rPr>
                <w:rFonts w:asciiTheme="minorHAnsi" w:hAnsiTheme="minorHAnsi"/>
              </w:rPr>
            </w:pPr>
            <w:r>
              <w:rPr>
                <w:rFonts w:asciiTheme="minorHAnsi" w:hAnsiTheme="minorHAnsi"/>
              </w:rPr>
              <w:t>On-Call</w:t>
            </w:r>
          </w:p>
        </w:tc>
        <w:tc>
          <w:tcPr>
            <w:tcW w:w="1381" w:type="dxa"/>
            <w:shd w:val="clear" w:color="auto" w:fill="auto"/>
            <w:vAlign w:val="center"/>
          </w:tcPr>
          <w:p w:rsidR="00E041D2" w:rsidRPr="005629D9" w:rsidRDefault="00E041D2" w:rsidP="00E60198">
            <w:pPr>
              <w:jc w:val="center"/>
              <w:rPr>
                <w:rFonts w:asciiTheme="minorHAnsi" w:hAnsiTheme="minorHAnsi"/>
              </w:rPr>
            </w:pPr>
            <w:r>
              <w:rPr>
                <w:rFonts w:asciiTheme="minorHAnsi" w:hAnsiTheme="minorHAnsi"/>
              </w:rPr>
              <w:t>99.4%</w:t>
            </w:r>
          </w:p>
        </w:tc>
        <w:tc>
          <w:tcPr>
            <w:tcW w:w="1381" w:type="dxa"/>
            <w:vAlign w:val="center"/>
          </w:tcPr>
          <w:p w:rsidR="00E041D2" w:rsidRDefault="00E041D2" w:rsidP="00E60198">
            <w:pPr>
              <w:jc w:val="center"/>
              <w:rPr>
                <w:rFonts w:asciiTheme="minorHAnsi" w:hAnsiTheme="minorHAnsi"/>
              </w:rPr>
            </w:pPr>
            <w:r>
              <w:rPr>
                <w:rFonts w:asciiTheme="minorHAnsi" w:hAnsiTheme="minorHAnsi"/>
              </w:rPr>
              <w:t>0.6%</w:t>
            </w:r>
          </w:p>
        </w:tc>
        <w:tc>
          <w:tcPr>
            <w:tcW w:w="1381" w:type="dxa"/>
            <w:vAlign w:val="center"/>
          </w:tcPr>
          <w:p w:rsidR="00E041D2" w:rsidRDefault="00E041D2" w:rsidP="00E60198">
            <w:pPr>
              <w:jc w:val="center"/>
              <w:rPr>
                <w:rFonts w:asciiTheme="minorHAnsi" w:hAnsiTheme="minorHAnsi"/>
              </w:rPr>
            </w:pPr>
            <w:r>
              <w:rPr>
                <w:rFonts w:asciiTheme="minorHAnsi" w:hAnsiTheme="minorHAnsi"/>
              </w:rPr>
              <w:t>99.0%</w:t>
            </w:r>
          </w:p>
        </w:tc>
        <w:tc>
          <w:tcPr>
            <w:tcW w:w="1381" w:type="dxa"/>
            <w:vAlign w:val="center"/>
          </w:tcPr>
          <w:p w:rsidR="00E041D2" w:rsidRDefault="00E041D2" w:rsidP="00E60198">
            <w:pPr>
              <w:jc w:val="center"/>
              <w:rPr>
                <w:rFonts w:asciiTheme="minorHAnsi" w:hAnsiTheme="minorHAnsi"/>
              </w:rPr>
            </w:pPr>
            <w:r>
              <w:rPr>
                <w:rFonts w:asciiTheme="minorHAnsi" w:hAnsiTheme="minorHAnsi"/>
              </w:rPr>
              <w:t>1.0%</w:t>
            </w:r>
          </w:p>
        </w:tc>
      </w:tr>
      <w:tr w:rsidR="00E041D2" w:rsidRPr="005629D9" w:rsidTr="00E60198">
        <w:trPr>
          <w:trHeight w:val="385"/>
          <w:jc w:val="center"/>
        </w:trPr>
        <w:tc>
          <w:tcPr>
            <w:tcW w:w="1838" w:type="dxa"/>
            <w:vAlign w:val="center"/>
          </w:tcPr>
          <w:p w:rsidR="00E041D2" w:rsidRPr="005629D9" w:rsidRDefault="00E041D2" w:rsidP="00E60198">
            <w:pPr>
              <w:rPr>
                <w:rFonts w:asciiTheme="minorHAnsi" w:hAnsiTheme="minorHAnsi"/>
              </w:rPr>
            </w:pPr>
            <w:r>
              <w:rPr>
                <w:rFonts w:asciiTheme="minorHAnsi" w:hAnsiTheme="minorHAnsi"/>
              </w:rPr>
              <w:t>Support</w:t>
            </w:r>
          </w:p>
        </w:tc>
        <w:tc>
          <w:tcPr>
            <w:tcW w:w="1381" w:type="dxa"/>
            <w:shd w:val="clear" w:color="auto" w:fill="auto"/>
            <w:vAlign w:val="center"/>
          </w:tcPr>
          <w:p w:rsidR="00E041D2" w:rsidRPr="005629D9" w:rsidRDefault="00E041D2" w:rsidP="00E60198">
            <w:pPr>
              <w:jc w:val="center"/>
              <w:rPr>
                <w:rFonts w:asciiTheme="minorHAnsi" w:hAnsiTheme="minorHAnsi"/>
              </w:rPr>
            </w:pPr>
            <w:r>
              <w:rPr>
                <w:rFonts w:asciiTheme="minorHAnsi" w:hAnsiTheme="minorHAnsi"/>
              </w:rPr>
              <w:t>49.7%</w:t>
            </w:r>
          </w:p>
        </w:tc>
        <w:tc>
          <w:tcPr>
            <w:tcW w:w="1381" w:type="dxa"/>
            <w:vAlign w:val="center"/>
          </w:tcPr>
          <w:p w:rsidR="00E041D2" w:rsidRDefault="00E041D2" w:rsidP="00E60198">
            <w:pPr>
              <w:jc w:val="center"/>
              <w:rPr>
                <w:rFonts w:asciiTheme="minorHAnsi" w:hAnsiTheme="minorHAnsi"/>
              </w:rPr>
            </w:pPr>
            <w:r>
              <w:rPr>
                <w:rFonts w:asciiTheme="minorHAnsi" w:hAnsiTheme="minorHAnsi"/>
              </w:rPr>
              <w:t>50.3%</w:t>
            </w:r>
          </w:p>
        </w:tc>
        <w:tc>
          <w:tcPr>
            <w:tcW w:w="1381" w:type="dxa"/>
            <w:vAlign w:val="center"/>
          </w:tcPr>
          <w:p w:rsidR="00E041D2" w:rsidRDefault="00E041D2" w:rsidP="00E60198">
            <w:pPr>
              <w:jc w:val="center"/>
              <w:rPr>
                <w:rFonts w:asciiTheme="minorHAnsi" w:hAnsiTheme="minorHAnsi"/>
              </w:rPr>
            </w:pPr>
            <w:r>
              <w:rPr>
                <w:rFonts w:asciiTheme="minorHAnsi" w:hAnsiTheme="minorHAnsi"/>
              </w:rPr>
              <w:t>47.8%</w:t>
            </w:r>
          </w:p>
        </w:tc>
        <w:tc>
          <w:tcPr>
            <w:tcW w:w="1381" w:type="dxa"/>
            <w:vAlign w:val="center"/>
          </w:tcPr>
          <w:p w:rsidR="00E041D2" w:rsidRDefault="00E041D2" w:rsidP="00E60198">
            <w:pPr>
              <w:jc w:val="center"/>
              <w:rPr>
                <w:rFonts w:asciiTheme="minorHAnsi" w:hAnsiTheme="minorHAnsi"/>
              </w:rPr>
            </w:pPr>
            <w:r>
              <w:rPr>
                <w:rFonts w:asciiTheme="minorHAnsi" w:hAnsiTheme="minorHAnsi"/>
              </w:rPr>
              <w:t>52.2%</w:t>
            </w:r>
          </w:p>
        </w:tc>
      </w:tr>
      <w:tr w:rsidR="00E041D2" w:rsidRPr="005629D9" w:rsidTr="00E60198">
        <w:trPr>
          <w:trHeight w:val="385"/>
          <w:jc w:val="center"/>
        </w:trPr>
        <w:tc>
          <w:tcPr>
            <w:tcW w:w="1838" w:type="dxa"/>
            <w:vAlign w:val="center"/>
          </w:tcPr>
          <w:p w:rsidR="00E041D2" w:rsidRPr="005629D9" w:rsidRDefault="00E041D2" w:rsidP="00E60198">
            <w:pPr>
              <w:rPr>
                <w:rFonts w:asciiTheme="minorHAnsi" w:hAnsiTheme="minorHAnsi"/>
              </w:rPr>
            </w:pPr>
            <w:r>
              <w:rPr>
                <w:rFonts w:asciiTheme="minorHAnsi" w:hAnsiTheme="minorHAnsi"/>
              </w:rPr>
              <w:t>Control</w:t>
            </w:r>
          </w:p>
        </w:tc>
        <w:tc>
          <w:tcPr>
            <w:tcW w:w="1381" w:type="dxa"/>
            <w:shd w:val="clear" w:color="auto" w:fill="auto"/>
            <w:vAlign w:val="center"/>
          </w:tcPr>
          <w:p w:rsidR="00E041D2" w:rsidRPr="005629D9" w:rsidRDefault="00E041D2" w:rsidP="00E60198">
            <w:pPr>
              <w:jc w:val="center"/>
              <w:rPr>
                <w:rFonts w:asciiTheme="minorHAnsi" w:hAnsiTheme="minorHAnsi"/>
              </w:rPr>
            </w:pPr>
            <w:r>
              <w:rPr>
                <w:rFonts w:asciiTheme="minorHAnsi" w:hAnsiTheme="minorHAnsi"/>
              </w:rPr>
              <w:t>20%</w:t>
            </w:r>
          </w:p>
        </w:tc>
        <w:tc>
          <w:tcPr>
            <w:tcW w:w="1381" w:type="dxa"/>
            <w:vAlign w:val="center"/>
          </w:tcPr>
          <w:p w:rsidR="00E041D2" w:rsidRDefault="00E041D2" w:rsidP="00E60198">
            <w:pPr>
              <w:jc w:val="center"/>
              <w:rPr>
                <w:rFonts w:asciiTheme="minorHAnsi" w:hAnsiTheme="minorHAnsi"/>
              </w:rPr>
            </w:pPr>
            <w:r>
              <w:rPr>
                <w:rFonts w:asciiTheme="minorHAnsi" w:hAnsiTheme="minorHAnsi"/>
              </w:rPr>
              <w:t>80%</w:t>
            </w:r>
          </w:p>
        </w:tc>
        <w:tc>
          <w:tcPr>
            <w:tcW w:w="1381" w:type="dxa"/>
            <w:vAlign w:val="center"/>
          </w:tcPr>
          <w:p w:rsidR="00E041D2" w:rsidRDefault="00E041D2" w:rsidP="00E60198">
            <w:pPr>
              <w:jc w:val="center"/>
              <w:rPr>
                <w:rFonts w:asciiTheme="minorHAnsi" w:hAnsiTheme="minorHAnsi"/>
              </w:rPr>
            </w:pPr>
            <w:r>
              <w:rPr>
                <w:rFonts w:asciiTheme="minorHAnsi" w:hAnsiTheme="minorHAnsi"/>
              </w:rPr>
              <w:t>16.2%</w:t>
            </w:r>
          </w:p>
        </w:tc>
        <w:tc>
          <w:tcPr>
            <w:tcW w:w="1381" w:type="dxa"/>
            <w:vAlign w:val="center"/>
          </w:tcPr>
          <w:p w:rsidR="00E041D2" w:rsidRDefault="00E041D2" w:rsidP="00E60198">
            <w:pPr>
              <w:jc w:val="center"/>
              <w:rPr>
                <w:rFonts w:asciiTheme="minorHAnsi" w:hAnsiTheme="minorHAnsi"/>
              </w:rPr>
            </w:pPr>
            <w:r>
              <w:rPr>
                <w:rFonts w:asciiTheme="minorHAnsi" w:hAnsiTheme="minorHAnsi"/>
              </w:rPr>
              <w:t>83.8%</w:t>
            </w:r>
          </w:p>
        </w:tc>
      </w:tr>
      <w:tr w:rsidR="00E041D2" w:rsidRPr="005629D9" w:rsidTr="00E60198">
        <w:trPr>
          <w:trHeight w:val="385"/>
          <w:jc w:val="center"/>
        </w:trPr>
        <w:tc>
          <w:tcPr>
            <w:tcW w:w="1838" w:type="dxa"/>
            <w:shd w:val="clear" w:color="auto" w:fill="E7E6E6" w:themeFill="background2"/>
            <w:vAlign w:val="center"/>
          </w:tcPr>
          <w:p w:rsidR="00E041D2" w:rsidRPr="005629D9" w:rsidRDefault="00E041D2" w:rsidP="00E60198">
            <w:pPr>
              <w:rPr>
                <w:rFonts w:asciiTheme="minorHAnsi" w:hAnsiTheme="minorHAnsi"/>
                <w:b/>
              </w:rPr>
            </w:pPr>
            <w:r>
              <w:rPr>
                <w:rFonts w:asciiTheme="minorHAnsi" w:hAnsiTheme="minorHAnsi"/>
                <w:b/>
              </w:rPr>
              <w:t>OVERALL</w:t>
            </w:r>
          </w:p>
        </w:tc>
        <w:tc>
          <w:tcPr>
            <w:tcW w:w="1381" w:type="dxa"/>
            <w:shd w:val="clear" w:color="auto" w:fill="E7E6E6" w:themeFill="background2"/>
            <w:vAlign w:val="center"/>
          </w:tcPr>
          <w:p w:rsidR="00E041D2" w:rsidRPr="005629D9" w:rsidRDefault="00E041D2" w:rsidP="00E60198">
            <w:pPr>
              <w:jc w:val="center"/>
              <w:rPr>
                <w:rFonts w:asciiTheme="minorHAnsi" w:hAnsiTheme="minorHAnsi"/>
                <w:b/>
              </w:rPr>
            </w:pPr>
            <w:r>
              <w:rPr>
                <w:rFonts w:asciiTheme="minorHAnsi" w:hAnsiTheme="minorHAnsi"/>
                <w:b/>
              </w:rPr>
              <w:t>85%</w:t>
            </w:r>
          </w:p>
        </w:tc>
        <w:tc>
          <w:tcPr>
            <w:tcW w:w="1381" w:type="dxa"/>
            <w:shd w:val="clear" w:color="auto" w:fill="E7E6E6" w:themeFill="background2"/>
            <w:vAlign w:val="center"/>
          </w:tcPr>
          <w:p w:rsidR="00E041D2" w:rsidRDefault="00E041D2" w:rsidP="00E60198">
            <w:pPr>
              <w:jc w:val="center"/>
              <w:rPr>
                <w:rFonts w:asciiTheme="minorHAnsi" w:hAnsiTheme="minorHAnsi"/>
                <w:b/>
              </w:rPr>
            </w:pPr>
            <w:r>
              <w:rPr>
                <w:rFonts w:asciiTheme="minorHAnsi" w:hAnsiTheme="minorHAnsi"/>
                <w:b/>
              </w:rPr>
              <w:t>15%</w:t>
            </w:r>
          </w:p>
        </w:tc>
        <w:tc>
          <w:tcPr>
            <w:tcW w:w="1381" w:type="dxa"/>
            <w:shd w:val="clear" w:color="auto" w:fill="E7E6E6" w:themeFill="background2"/>
            <w:vAlign w:val="center"/>
          </w:tcPr>
          <w:p w:rsidR="00E041D2" w:rsidRDefault="00E041D2" w:rsidP="00E60198">
            <w:pPr>
              <w:jc w:val="center"/>
              <w:rPr>
                <w:rFonts w:asciiTheme="minorHAnsi" w:hAnsiTheme="minorHAnsi"/>
                <w:b/>
              </w:rPr>
            </w:pPr>
            <w:r>
              <w:rPr>
                <w:rFonts w:asciiTheme="minorHAnsi" w:hAnsiTheme="minorHAnsi"/>
                <w:b/>
              </w:rPr>
              <w:t>84.5%</w:t>
            </w:r>
          </w:p>
        </w:tc>
        <w:tc>
          <w:tcPr>
            <w:tcW w:w="1381" w:type="dxa"/>
            <w:shd w:val="clear" w:color="auto" w:fill="E7E6E6" w:themeFill="background2"/>
            <w:vAlign w:val="center"/>
          </w:tcPr>
          <w:p w:rsidR="00E041D2" w:rsidRDefault="00E041D2" w:rsidP="00E60198">
            <w:pPr>
              <w:jc w:val="center"/>
              <w:rPr>
                <w:rFonts w:asciiTheme="minorHAnsi" w:hAnsiTheme="minorHAnsi"/>
                <w:b/>
              </w:rPr>
            </w:pPr>
            <w:r>
              <w:rPr>
                <w:rFonts w:asciiTheme="minorHAnsi" w:hAnsiTheme="minorHAnsi"/>
                <w:b/>
              </w:rPr>
              <w:t>15.5%</w:t>
            </w:r>
          </w:p>
        </w:tc>
      </w:tr>
    </w:tbl>
    <w:p w:rsidR="00622082" w:rsidRDefault="00622082" w:rsidP="003A1A55">
      <w:pPr>
        <w:jc w:val="both"/>
      </w:pPr>
    </w:p>
    <w:p w:rsidR="003A1A55" w:rsidRDefault="003A1A55" w:rsidP="003A1A55">
      <w:pPr>
        <w:jc w:val="both"/>
      </w:pPr>
    </w:p>
    <w:p w:rsidR="00AB11BB" w:rsidRDefault="00E57A6C" w:rsidP="008C28CF">
      <w:pPr>
        <w:ind w:left="360"/>
        <w:jc w:val="both"/>
      </w:pPr>
      <w:r>
        <w:t xml:space="preserve">Nationally </w:t>
      </w:r>
      <w:r w:rsidR="002F7488">
        <w:t>5.7 per cent of firefighters were women in England in 2018. This compares with 5.2 per cent in the previous year</w:t>
      </w:r>
      <w:r w:rsidR="008A29D0">
        <w:t>. Since 2010 the main cause in the increase in the proportion of women firefighters has been a decrease in the number of men firefighters (</w:t>
      </w:r>
      <w:r w:rsidR="008A29D0" w:rsidRPr="003F1E63">
        <w:t xml:space="preserve">Source: Fire and </w:t>
      </w:r>
      <w:r w:rsidR="00035EBA" w:rsidRPr="003F1E63">
        <w:t>R</w:t>
      </w:r>
      <w:r w:rsidR="008A29D0" w:rsidRPr="003F1E63">
        <w:t xml:space="preserve">escue </w:t>
      </w:r>
      <w:r w:rsidR="00035EBA" w:rsidRPr="003F1E63">
        <w:t>W</w:t>
      </w:r>
      <w:r w:rsidR="008A29D0" w:rsidRPr="003F1E63">
        <w:t xml:space="preserve">orkforce and </w:t>
      </w:r>
      <w:r w:rsidR="00035EBA" w:rsidRPr="003F1E63">
        <w:t>P</w:t>
      </w:r>
      <w:r w:rsidR="008A29D0" w:rsidRPr="003F1E63">
        <w:t>ensions statistics: England, April 2017 to March 2018).</w:t>
      </w:r>
      <w:r w:rsidR="003F1E63">
        <w:t xml:space="preserve"> 5.8 per cent of </w:t>
      </w:r>
      <w:proofErr w:type="spellStart"/>
      <w:r w:rsidR="003F1E63">
        <w:t>Wholetime</w:t>
      </w:r>
      <w:proofErr w:type="spellEnd"/>
      <w:r w:rsidR="003F1E63">
        <w:t xml:space="preserve"> firefighters in ECFRS were women and 1.0 per cent of On-Call firefighters were women </w:t>
      </w:r>
      <w:r w:rsidR="004866FE">
        <w:t>whereas nationally this is 4.9 per cent</w:t>
      </w:r>
      <w:r w:rsidR="003F1E63">
        <w:t>.</w:t>
      </w:r>
      <w:r w:rsidR="009F40D1">
        <w:t xml:space="preserve"> </w:t>
      </w:r>
      <w:r w:rsidR="00AB11BB">
        <w:t xml:space="preserve">Across a 10 year period from 2008 to 2018 ECFRS percentage of </w:t>
      </w:r>
      <w:r w:rsidR="00AB11BB">
        <w:lastRenderedPageBreak/>
        <w:t>firefighters that are women has increased from 2.2 per cent to 3.3 per cent (Source: Home Office Operational Statistics Data Collection Autumn 2018).</w:t>
      </w:r>
    </w:p>
    <w:p w:rsidR="00AB11BB" w:rsidRDefault="00AB11BB" w:rsidP="008C28CF">
      <w:pPr>
        <w:ind w:left="360"/>
        <w:jc w:val="both"/>
      </w:pPr>
    </w:p>
    <w:p w:rsidR="00F20055" w:rsidRDefault="009F40D1" w:rsidP="008C28CF">
      <w:pPr>
        <w:ind w:left="360"/>
        <w:jc w:val="both"/>
      </w:pPr>
      <w:r>
        <w:t>Nationally the percentage of support staff that are female is 52.8 percent which is reflected in ECFRS with 52.2 per cent.</w:t>
      </w:r>
    </w:p>
    <w:p w:rsidR="00857BCD" w:rsidRDefault="00857BCD" w:rsidP="008C28CF">
      <w:pPr>
        <w:ind w:left="360"/>
        <w:jc w:val="both"/>
      </w:pPr>
    </w:p>
    <w:p w:rsidR="00AB11BB" w:rsidRDefault="00857BCD" w:rsidP="008C28CF">
      <w:pPr>
        <w:ind w:left="360"/>
        <w:jc w:val="both"/>
      </w:pPr>
      <w:r>
        <w:t xml:space="preserve">Gender data from the last census states that for the county of Essex shows that 51 per cent females and 49 per cent (2011 Census Data – Office of National Statistics). Therefore, based on current reporting the Service </w:t>
      </w:r>
      <w:r w:rsidR="00B61BD6">
        <w:t xml:space="preserve">operational group </w:t>
      </w:r>
      <w:r>
        <w:t xml:space="preserve">is not representative of the community it serves. </w:t>
      </w:r>
    </w:p>
    <w:p w:rsidR="00AB11BB" w:rsidRDefault="00AB11BB" w:rsidP="008C28CF">
      <w:pPr>
        <w:ind w:left="360"/>
        <w:jc w:val="both"/>
      </w:pPr>
    </w:p>
    <w:p w:rsidR="00857BCD" w:rsidRDefault="00857BCD" w:rsidP="008C28CF">
      <w:pPr>
        <w:ind w:left="360"/>
        <w:jc w:val="both"/>
      </w:pPr>
      <w:r>
        <w:t>Our firefighter recruitment strategy includes a range of positive action to address this</w:t>
      </w:r>
      <w:r w:rsidR="00877E00">
        <w:t>,</w:t>
      </w:r>
      <w:r w:rsidR="00F150C6">
        <w:t xml:space="preserve"> further details can be found in Section 8 of this report</w:t>
      </w:r>
      <w:r>
        <w:t>.</w:t>
      </w:r>
      <w:r w:rsidR="00A224D1">
        <w:t xml:space="preserve"> There has been an overall increase of female </w:t>
      </w:r>
      <w:proofErr w:type="spellStart"/>
      <w:r w:rsidR="00A224D1">
        <w:t>Wholetime</w:t>
      </w:r>
      <w:proofErr w:type="spellEnd"/>
      <w:r w:rsidR="00A224D1">
        <w:t xml:space="preserve"> firefighters by 0.1 per cent from 2017 to 2018 and an overall increase of female On-call firefighters by 0.4 per cent from 2017 to 2018.</w:t>
      </w:r>
      <w:r w:rsidR="00BE5CA6">
        <w:t xml:space="preserve">  </w:t>
      </w:r>
    </w:p>
    <w:p w:rsidR="002F7488" w:rsidRDefault="002F7488" w:rsidP="008C28CF">
      <w:pPr>
        <w:ind w:left="360"/>
        <w:jc w:val="both"/>
      </w:pPr>
    </w:p>
    <w:p w:rsidR="00A924A7" w:rsidRDefault="00A924A7" w:rsidP="008C28CF">
      <w:pPr>
        <w:pStyle w:val="ListParagraph"/>
        <w:numPr>
          <w:ilvl w:val="1"/>
          <w:numId w:val="24"/>
        </w:numPr>
        <w:jc w:val="both"/>
        <w:rPr>
          <w:b/>
        </w:rPr>
      </w:pPr>
      <w:r w:rsidRPr="002F7488">
        <w:rPr>
          <w:b/>
        </w:rPr>
        <w:t>Ethnicity</w:t>
      </w:r>
    </w:p>
    <w:p w:rsidR="008A29D0" w:rsidRDefault="008A29D0" w:rsidP="008C28CF">
      <w:pPr>
        <w:pStyle w:val="ListParagraph"/>
        <w:ind w:left="360"/>
        <w:jc w:val="both"/>
        <w:rPr>
          <w:b/>
        </w:rPr>
      </w:pPr>
    </w:p>
    <w:p w:rsidR="008A29D0" w:rsidRDefault="001A7C3C" w:rsidP="008C28CF">
      <w:pPr>
        <w:pStyle w:val="ListParagraph"/>
        <w:ind w:left="360"/>
        <w:jc w:val="both"/>
      </w:pPr>
      <w:r>
        <w:t xml:space="preserve">There remains a lack of monitoring data available and it should be noted that it is not mandatory for employees to provide this information.  </w:t>
      </w:r>
      <w:r w:rsidR="00FD6AC5">
        <w:t>Never</w:t>
      </w:r>
      <w:r w:rsidR="00A57146">
        <w:t>theless, based on current data the Service is not representative of the community which it serves.</w:t>
      </w:r>
      <w:r w:rsidR="00DF6431">
        <w:t xml:space="preserve"> </w:t>
      </w:r>
      <w:r w:rsidR="00AA0CDF">
        <w:t>Of the 47.7 per cent of employees who have provided this information 97.0 per cent self-identified as White British with 3.9 per cent identifying as another ethnic grouping.</w:t>
      </w:r>
    </w:p>
    <w:p w:rsidR="00FF0081" w:rsidRDefault="00FF0081" w:rsidP="008C28CF">
      <w:pPr>
        <w:pStyle w:val="ListParagraph"/>
        <w:ind w:left="360"/>
        <w:jc w:val="both"/>
      </w:pPr>
    </w:p>
    <w:tbl>
      <w:tblPr>
        <w:tblStyle w:val="TableGrid"/>
        <w:tblW w:w="7532" w:type="dxa"/>
        <w:jc w:val="center"/>
        <w:tblLayout w:type="fixed"/>
        <w:tblLook w:val="04A0" w:firstRow="1" w:lastRow="0" w:firstColumn="1" w:lastColumn="0" w:noHBand="0" w:noVBand="1"/>
      </w:tblPr>
      <w:tblGrid>
        <w:gridCol w:w="1980"/>
        <w:gridCol w:w="1850"/>
        <w:gridCol w:w="1851"/>
        <w:gridCol w:w="1851"/>
      </w:tblGrid>
      <w:tr w:rsidR="00FF0081" w:rsidRPr="005629D9" w:rsidTr="00FF0081">
        <w:trPr>
          <w:trHeight w:val="510"/>
          <w:jc w:val="center"/>
        </w:trPr>
        <w:tc>
          <w:tcPr>
            <w:tcW w:w="7532" w:type="dxa"/>
            <w:gridSpan w:val="4"/>
            <w:shd w:val="clear" w:color="auto" w:fill="0070C0"/>
            <w:vAlign w:val="center"/>
          </w:tcPr>
          <w:p w:rsidR="00FF0081" w:rsidRDefault="00FF0081" w:rsidP="00496E13">
            <w:pPr>
              <w:jc w:val="center"/>
              <w:rPr>
                <w:rFonts w:asciiTheme="minorHAnsi" w:hAnsiTheme="minorHAnsi"/>
                <w:b/>
                <w:color w:val="FFFFFF" w:themeColor="background1"/>
              </w:rPr>
            </w:pPr>
            <w:r>
              <w:rPr>
                <w:rFonts w:asciiTheme="minorHAnsi" w:hAnsiTheme="minorHAnsi"/>
                <w:b/>
                <w:color w:val="FFFFFF" w:themeColor="background1"/>
              </w:rPr>
              <w:t>Table 5: Ethnicity</w:t>
            </w:r>
          </w:p>
        </w:tc>
      </w:tr>
      <w:tr w:rsidR="00FF0081" w:rsidRPr="005629D9" w:rsidTr="00FF0081">
        <w:trPr>
          <w:trHeight w:val="405"/>
          <w:jc w:val="center"/>
        </w:trPr>
        <w:tc>
          <w:tcPr>
            <w:tcW w:w="1980" w:type="dxa"/>
            <w:shd w:val="clear" w:color="auto" w:fill="0070C0"/>
            <w:vAlign w:val="center"/>
          </w:tcPr>
          <w:p w:rsidR="00764CC1" w:rsidRDefault="00764CC1" w:rsidP="00764CC1">
            <w:pPr>
              <w:jc w:val="center"/>
              <w:rPr>
                <w:rFonts w:asciiTheme="minorHAnsi" w:hAnsiTheme="minorHAnsi"/>
                <w:b/>
                <w:color w:val="FFFFFF" w:themeColor="background1"/>
              </w:rPr>
            </w:pPr>
            <w:r w:rsidRPr="00764CC1">
              <w:rPr>
                <w:rFonts w:asciiTheme="minorHAnsi" w:hAnsiTheme="minorHAnsi"/>
                <w:b/>
                <w:color w:val="FFFFFF" w:themeColor="background1"/>
              </w:rPr>
              <w:t>Employee</w:t>
            </w:r>
          </w:p>
          <w:p w:rsidR="00FF0081" w:rsidRPr="00764CC1" w:rsidRDefault="00764CC1" w:rsidP="00764CC1">
            <w:pPr>
              <w:jc w:val="center"/>
              <w:rPr>
                <w:rFonts w:asciiTheme="minorHAnsi" w:hAnsiTheme="minorHAnsi"/>
                <w:b/>
              </w:rPr>
            </w:pPr>
            <w:r w:rsidRPr="00764CC1">
              <w:rPr>
                <w:rFonts w:asciiTheme="minorHAnsi" w:hAnsiTheme="minorHAnsi"/>
                <w:b/>
                <w:color w:val="FFFFFF" w:themeColor="background1"/>
              </w:rPr>
              <w:t>Group</w:t>
            </w:r>
          </w:p>
        </w:tc>
        <w:tc>
          <w:tcPr>
            <w:tcW w:w="1850" w:type="dxa"/>
            <w:shd w:val="clear" w:color="auto" w:fill="0070C0"/>
            <w:vAlign w:val="center"/>
          </w:tcPr>
          <w:p w:rsidR="00FF0081" w:rsidRDefault="00FF0081" w:rsidP="00AB47F7">
            <w:pPr>
              <w:jc w:val="center"/>
              <w:rPr>
                <w:rFonts w:asciiTheme="minorHAnsi" w:hAnsiTheme="minorHAnsi"/>
              </w:rPr>
            </w:pPr>
            <w:r>
              <w:rPr>
                <w:rFonts w:asciiTheme="minorHAnsi" w:hAnsiTheme="minorHAnsi"/>
                <w:b/>
                <w:color w:val="FFFFFF" w:themeColor="background1"/>
              </w:rPr>
              <w:t>White British</w:t>
            </w:r>
          </w:p>
        </w:tc>
        <w:tc>
          <w:tcPr>
            <w:tcW w:w="1851" w:type="dxa"/>
            <w:shd w:val="clear" w:color="auto" w:fill="0070C0"/>
            <w:vAlign w:val="center"/>
          </w:tcPr>
          <w:p w:rsidR="00FF0081" w:rsidRDefault="00FF0081" w:rsidP="00AB47F7">
            <w:pPr>
              <w:jc w:val="center"/>
              <w:rPr>
                <w:rFonts w:asciiTheme="minorHAnsi" w:hAnsiTheme="minorHAnsi"/>
              </w:rPr>
            </w:pPr>
            <w:r>
              <w:rPr>
                <w:rFonts w:asciiTheme="minorHAnsi" w:hAnsiTheme="minorHAnsi"/>
                <w:b/>
                <w:color w:val="FFFFFF" w:themeColor="background1"/>
              </w:rPr>
              <w:t>Other</w:t>
            </w:r>
          </w:p>
        </w:tc>
        <w:tc>
          <w:tcPr>
            <w:tcW w:w="1851" w:type="dxa"/>
            <w:shd w:val="clear" w:color="auto" w:fill="0070C0"/>
            <w:vAlign w:val="center"/>
          </w:tcPr>
          <w:p w:rsidR="00FF0081" w:rsidRDefault="00FF0081" w:rsidP="00AB47F7">
            <w:pPr>
              <w:jc w:val="center"/>
              <w:rPr>
                <w:rFonts w:asciiTheme="minorHAnsi" w:hAnsiTheme="minorHAnsi"/>
                <w:b/>
                <w:color w:val="FFFFFF" w:themeColor="background1"/>
              </w:rPr>
            </w:pPr>
            <w:r>
              <w:rPr>
                <w:rFonts w:asciiTheme="minorHAnsi" w:hAnsiTheme="minorHAnsi"/>
                <w:b/>
                <w:color w:val="FFFFFF" w:themeColor="background1"/>
              </w:rPr>
              <w:t>Not Recorded</w:t>
            </w:r>
          </w:p>
        </w:tc>
      </w:tr>
      <w:tr w:rsidR="00FF0081" w:rsidRPr="005629D9" w:rsidTr="00FF0081">
        <w:trPr>
          <w:trHeight w:val="405"/>
          <w:jc w:val="center"/>
        </w:trPr>
        <w:tc>
          <w:tcPr>
            <w:tcW w:w="1980" w:type="dxa"/>
            <w:vAlign w:val="center"/>
          </w:tcPr>
          <w:p w:rsidR="00FF0081" w:rsidRPr="005629D9" w:rsidRDefault="00FF0081" w:rsidP="00AB47F7">
            <w:pPr>
              <w:rPr>
                <w:rFonts w:asciiTheme="minorHAnsi" w:hAnsiTheme="minorHAnsi"/>
              </w:rPr>
            </w:pPr>
            <w:proofErr w:type="spellStart"/>
            <w:r>
              <w:rPr>
                <w:rFonts w:asciiTheme="minorHAnsi" w:hAnsiTheme="minorHAnsi"/>
              </w:rPr>
              <w:t>Wholetime</w:t>
            </w:r>
            <w:proofErr w:type="spellEnd"/>
          </w:p>
        </w:tc>
        <w:tc>
          <w:tcPr>
            <w:tcW w:w="1850" w:type="dxa"/>
            <w:shd w:val="clear" w:color="auto" w:fill="auto"/>
            <w:vAlign w:val="center"/>
          </w:tcPr>
          <w:p w:rsidR="00FF0081" w:rsidRPr="005629D9" w:rsidRDefault="00F05F58" w:rsidP="00AB47F7">
            <w:pPr>
              <w:jc w:val="center"/>
              <w:rPr>
                <w:rFonts w:asciiTheme="minorHAnsi" w:hAnsiTheme="minorHAnsi"/>
              </w:rPr>
            </w:pPr>
            <w:r>
              <w:rPr>
                <w:rFonts w:asciiTheme="minorHAnsi" w:hAnsiTheme="minorHAnsi"/>
              </w:rPr>
              <w:t>39.5%</w:t>
            </w:r>
          </w:p>
        </w:tc>
        <w:tc>
          <w:tcPr>
            <w:tcW w:w="1851" w:type="dxa"/>
            <w:vAlign w:val="center"/>
          </w:tcPr>
          <w:p w:rsidR="00FF0081" w:rsidRDefault="00F05F58" w:rsidP="00AB47F7">
            <w:pPr>
              <w:jc w:val="center"/>
              <w:rPr>
                <w:rFonts w:asciiTheme="minorHAnsi" w:hAnsiTheme="minorHAnsi"/>
              </w:rPr>
            </w:pPr>
            <w:r>
              <w:rPr>
                <w:rFonts w:asciiTheme="minorHAnsi" w:hAnsiTheme="minorHAnsi"/>
              </w:rPr>
              <w:t>1.9%</w:t>
            </w:r>
          </w:p>
        </w:tc>
        <w:tc>
          <w:tcPr>
            <w:tcW w:w="1851" w:type="dxa"/>
            <w:vAlign w:val="center"/>
          </w:tcPr>
          <w:p w:rsidR="00FF0081" w:rsidRDefault="00F05F58" w:rsidP="00AB47F7">
            <w:pPr>
              <w:jc w:val="center"/>
              <w:rPr>
                <w:rFonts w:asciiTheme="minorHAnsi" w:hAnsiTheme="minorHAnsi"/>
              </w:rPr>
            </w:pPr>
            <w:r>
              <w:rPr>
                <w:rFonts w:asciiTheme="minorHAnsi" w:hAnsiTheme="minorHAnsi"/>
              </w:rPr>
              <w:t>58.5%</w:t>
            </w:r>
          </w:p>
        </w:tc>
      </w:tr>
      <w:tr w:rsidR="00FF0081" w:rsidRPr="005629D9" w:rsidTr="00FF0081">
        <w:trPr>
          <w:trHeight w:val="405"/>
          <w:jc w:val="center"/>
        </w:trPr>
        <w:tc>
          <w:tcPr>
            <w:tcW w:w="1980" w:type="dxa"/>
            <w:vAlign w:val="center"/>
          </w:tcPr>
          <w:p w:rsidR="00FF0081" w:rsidRPr="005629D9" w:rsidRDefault="00FF0081" w:rsidP="00AB47F7">
            <w:pPr>
              <w:rPr>
                <w:rFonts w:asciiTheme="minorHAnsi" w:hAnsiTheme="minorHAnsi"/>
              </w:rPr>
            </w:pPr>
            <w:r>
              <w:rPr>
                <w:rFonts w:asciiTheme="minorHAnsi" w:hAnsiTheme="minorHAnsi"/>
              </w:rPr>
              <w:t>On-Call</w:t>
            </w:r>
          </w:p>
        </w:tc>
        <w:tc>
          <w:tcPr>
            <w:tcW w:w="1850" w:type="dxa"/>
            <w:shd w:val="clear" w:color="auto" w:fill="auto"/>
            <w:vAlign w:val="center"/>
          </w:tcPr>
          <w:p w:rsidR="00FF0081" w:rsidRPr="005629D9" w:rsidRDefault="00F05F58" w:rsidP="00AB47F7">
            <w:pPr>
              <w:jc w:val="center"/>
              <w:rPr>
                <w:rFonts w:asciiTheme="minorHAnsi" w:hAnsiTheme="minorHAnsi"/>
              </w:rPr>
            </w:pPr>
            <w:r>
              <w:rPr>
                <w:rFonts w:asciiTheme="minorHAnsi" w:hAnsiTheme="minorHAnsi"/>
              </w:rPr>
              <w:t>48.3%</w:t>
            </w:r>
          </w:p>
        </w:tc>
        <w:tc>
          <w:tcPr>
            <w:tcW w:w="1851" w:type="dxa"/>
            <w:vAlign w:val="center"/>
          </w:tcPr>
          <w:p w:rsidR="00FF0081" w:rsidRDefault="00F05F58" w:rsidP="00AB47F7">
            <w:pPr>
              <w:jc w:val="center"/>
              <w:rPr>
                <w:rFonts w:asciiTheme="minorHAnsi" w:hAnsiTheme="minorHAnsi"/>
              </w:rPr>
            </w:pPr>
            <w:r>
              <w:rPr>
                <w:rFonts w:asciiTheme="minorHAnsi" w:hAnsiTheme="minorHAnsi"/>
              </w:rPr>
              <w:t>2.0%</w:t>
            </w:r>
          </w:p>
        </w:tc>
        <w:tc>
          <w:tcPr>
            <w:tcW w:w="1851" w:type="dxa"/>
            <w:vAlign w:val="center"/>
          </w:tcPr>
          <w:p w:rsidR="00FF0081" w:rsidRDefault="00F05F58" w:rsidP="00AB47F7">
            <w:pPr>
              <w:jc w:val="center"/>
              <w:rPr>
                <w:rFonts w:asciiTheme="minorHAnsi" w:hAnsiTheme="minorHAnsi"/>
              </w:rPr>
            </w:pPr>
            <w:r>
              <w:rPr>
                <w:rFonts w:asciiTheme="minorHAnsi" w:hAnsiTheme="minorHAnsi"/>
              </w:rPr>
              <w:t>49.7%</w:t>
            </w:r>
          </w:p>
        </w:tc>
      </w:tr>
      <w:tr w:rsidR="00FF0081" w:rsidRPr="005629D9" w:rsidTr="00FF0081">
        <w:trPr>
          <w:trHeight w:val="405"/>
          <w:jc w:val="center"/>
        </w:trPr>
        <w:tc>
          <w:tcPr>
            <w:tcW w:w="1980" w:type="dxa"/>
            <w:vAlign w:val="center"/>
          </w:tcPr>
          <w:p w:rsidR="00FF0081" w:rsidRPr="005629D9" w:rsidRDefault="00FF0081" w:rsidP="00AB47F7">
            <w:pPr>
              <w:rPr>
                <w:rFonts w:asciiTheme="minorHAnsi" w:hAnsiTheme="minorHAnsi"/>
              </w:rPr>
            </w:pPr>
            <w:r>
              <w:rPr>
                <w:rFonts w:asciiTheme="minorHAnsi" w:hAnsiTheme="minorHAnsi"/>
              </w:rPr>
              <w:t>Support</w:t>
            </w:r>
          </w:p>
        </w:tc>
        <w:tc>
          <w:tcPr>
            <w:tcW w:w="1850" w:type="dxa"/>
            <w:shd w:val="clear" w:color="auto" w:fill="auto"/>
            <w:vAlign w:val="center"/>
          </w:tcPr>
          <w:p w:rsidR="00FF0081" w:rsidRPr="005629D9" w:rsidRDefault="00F05F58" w:rsidP="00AB47F7">
            <w:pPr>
              <w:jc w:val="center"/>
              <w:rPr>
                <w:rFonts w:asciiTheme="minorHAnsi" w:hAnsiTheme="minorHAnsi"/>
              </w:rPr>
            </w:pPr>
            <w:r>
              <w:rPr>
                <w:rFonts w:asciiTheme="minorHAnsi" w:hAnsiTheme="minorHAnsi"/>
              </w:rPr>
              <w:t>53.2%</w:t>
            </w:r>
          </w:p>
        </w:tc>
        <w:tc>
          <w:tcPr>
            <w:tcW w:w="1851" w:type="dxa"/>
            <w:vAlign w:val="center"/>
          </w:tcPr>
          <w:p w:rsidR="00FF0081" w:rsidRDefault="00F05F58" w:rsidP="00AB47F7">
            <w:pPr>
              <w:jc w:val="center"/>
              <w:rPr>
                <w:rFonts w:asciiTheme="minorHAnsi" w:hAnsiTheme="minorHAnsi"/>
              </w:rPr>
            </w:pPr>
            <w:r>
              <w:rPr>
                <w:rFonts w:asciiTheme="minorHAnsi" w:hAnsiTheme="minorHAnsi"/>
              </w:rPr>
              <w:t>1.7%</w:t>
            </w:r>
          </w:p>
        </w:tc>
        <w:tc>
          <w:tcPr>
            <w:tcW w:w="1851" w:type="dxa"/>
            <w:vAlign w:val="center"/>
          </w:tcPr>
          <w:p w:rsidR="00FF0081" w:rsidRDefault="00F05F58" w:rsidP="00AB47F7">
            <w:pPr>
              <w:jc w:val="center"/>
              <w:rPr>
                <w:rFonts w:asciiTheme="minorHAnsi" w:hAnsiTheme="minorHAnsi"/>
              </w:rPr>
            </w:pPr>
            <w:r>
              <w:rPr>
                <w:rFonts w:asciiTheme="minorHAnsi" w:hAnsiTheme="minorHAnsi"/>
              </w:rPr>
              <w:t>45.1%</w:t>
            </w:r>
          </w:p>
        </w:tc>
      </w:tr>
      <w:tr w:rsidR="00FF0081" w:rsidRPr="005629D9" w:rsidTr="00FF0081">
        <w:trPr>
          <w:trHeight w:val="405"/>
          <w:jc w:val="center"/>
        </w:trPr>
        <w:tc>
          <w:tcPr>
            <w:tcW w:w="1980" w:type="dxa"/>
            <w:vAlign w:val="center"/>
          </w:tcPr>
          <w:p w:rsidR="00FF0081" w:rsidRPr="005629D9" w:rsidRDefault="00FF0081" w:rsidP="00AB47F7">
            <w:pPr>
              <w:rPr>
                <w:rFonts w:asciiTheme="minorHAnsi" w:hAnsiTheme="minorHAnsi"/>
              </w:rPr>
            </w:pPr>
            <w:r>
              <w:rPr>
                <w:rFonts w:asciiTheme="minorHAnsi" w:hAnsiTheme="minorHAnsi"/>
              </w:rPr>
              <w:t>Control</w:t>
            </w:r>
          </w:p>
        </w:tc>
        <w:tc>
          <w:tcPr>
            <w:tcW w:w="1850" w:type="dxa"/>
            <w:shd w:val="clear" w:color="auto" w:fill="auto"/>
            <w:vAlign w:val="center"/>
          </w:tcPr>
          <w:p w:rsidR="00FF0081" w:rsidRPr="005629D9" w:rsidRDefault="00F05F58" w:rsidP="00AB47F7">
            <w:pPr>
              <w:jc w:val="center"/>
              <w:rPr>
                <w:rFonts w:asciiTheme="minorHAnsi" w:hAnsiTheme="minorHAnsi"/>
              </w:rPr>
            </w:pPr>
            <w:r>
              <w:rPr>
                <w:rFonts w:asciiTheme="minorHAnsi" w:hAnsiTheme="minorHAnsi"/>
              </w:rPr>
              <w:t>56.8%</w:t>
            </w:r>
          </w:p>
        </w:tc>
        <w:tc>
          <w:tcPr>
            <w:tcW w:w="1851" w:type="dxa"/>
            <w:vAlign w:val="center"/>
          </w:tcPr>
          <w:p w:rsidR="00FF0081" w:rsidRDefault="00F05F58" w:rsidP="00AB47F7">
            <w:pPr>
              <w:jc w:val="center"/>
              <w:rPr>
                <w:rFonts w:asciiTheme="minorHAnsi" w:hAnsiTheme="minorHAnsi"/>
              </w:rPr>
            </w:pPr>
            <w:r>
              <w:rPr>
                <w:rFonts w:asciiTheme="minorHAnsi" w:hAnsiTheme="minorHAnsi"/>
              </w:rPr>
              <w:t>2.7%</w:t>
            </w:r>
          </w:p>
        </w:tc>
        <w:tc>
          <w:tcPr>
            <w:tcW w:w="1851" w:type="dxa"/>
            <w:vAlign w:val="center"/>
          </w:tcPr>
          <w:p w:rsidR="00FF0081" w:rsidRDefault="00F05F58" w:rsidP="00AB47F7">
            <w:pPr>
              <w:jc w:val="center"/>
              <w:rPr>
                <w:rFonts w:asciiTheme="minorHAnsi" w:hAnsiTheme="minorHAnsi"/>
              </w:rPr>
            </w:pPr>
            <w:r>
              <w:rPr>
                <w:rFonts w:asciiTheme="minorHAnsi" w:hAnsiTheme="minorHAnsi"/>
              </w:rPr>
              <w:t>40.5%</w:t>
            </w:r>
          </w:p>
        </w:tc>
      </w:tr>
      <w:tr w:rsidR="00FF0081" w:rsidRPr="005629D9" w:rsidTr="00FF0081">
        <w:trPr>
          <w:trHeight w:val="405"/>
          <w:jc w:val="center"/>
        </w:trPr>
        <w:tc>
          <w:tcPr>
            <w:tcW w:w="1980" w:type="dxa"/>
            <w:shd w:val="clear" w:color="auto" w:fill="E7E6E6" w:themeFill="background2"/>
            <w:vAlign w:val="center"/>
          </w:tcPr>
          <w:p w:rsidR="00FF0081" w:rsidRPr="005629D9" w:rsidRDefault="00FF0081" w:rsidP="00AB47F7">
            <w:pPr>
              <w:rPr>
                <w:rFonts w:asciiTheme="minorHAnsi" w:hAnsiTheme="minorHAnsi"/>
                <w:b/>
              </w:rPr>
            </w:pPr>
            <w:r>
              <w:rPr>
                <w:rFonts w:asciiTheme="minorHAnsi" w:hAnsiTheme="minorHAnsi"/>
                <w:b/>
              </w:rPr>
              <w:t>OVERALL</w:t>
            </w:r>
          </w:p>
        </w:tc>
        <w:tc>
          <w:tcPr>
            <w:tcW w:w="1850" w:type="dxa"/>
            <w:shd w:val="clear" w:color="auto" w:fill="E7E6E6" w:themeFill="background2"/>
            <w:vAlign w:val="center"/>
          </w:tcPr>
          <w:p w:rsidR="00FF0081" w:rsidRPr="005629D9" w:rsidRDefault="00F05F58" w:rsidP="00AB47F7">
            <w:pPr>
              <w:jc w:val="center"/>
              <w:rPr>
                <w:rFonts w:asciiTheme="minorHAnsi" w:hAnsiTheme="minorHAnsi"/>
                <w:b/>
              </w:rPr>
            </w:pPr>
            <w:r>
              <w:rPr>
                <w:rFonts w:asciiTheme="minorHAnsi" w:hAnsiTheme="minorHAnsi"/>
                <w:b/>
              </w:rPr>
              <w:t>45.8%</w:t>
            </w:r>
          </w:p>
        </w:tc>
        <w:tc>
          <w:tcPr>
            <w:tcW w:w="1851" w:type="dxa"/>
            <w:shd w:val="clear" w:color="auto" w:fill="E7E6E6" w:themeFill="background2"/>
            <w:vAlign w:val="center"/>
          </w:tcPr>
          <w:p w:rsidR="00FF0081" w:rsidRDefault="00F05F58" w:rsidP="00AB47F7">
            <w:pPr>
              <w:jc w:val="center"/>
              <w:rPr>
                <w:rFonts w:asciiTheme="minorHAnsi" w:hAnsiTheme="minorHAnsi"/>
                <w:b/>
              </w:rPr>
            </w:pPr>
            <w:r>
              <w:rPr>
                <w:rFonts w:asciiTheme="minorHAnsi" w:hAnsiTheme="minorHAnsi"/>
                <w:b/>
              </w:rPr>
              <w:t>1.9%</w:t>
            </w:r>
          </w:p>
        </w:tc>
        <w:tc>
          <w:tcPr>
            <w:tcW w:w="1851" w:type="dxa"/>
            <w:shd w:val="clear" w:color="auto" w:fill="E7E6E6" w:themeFill="background2"/>
            <w:vAlign w:val="center"/>
          </w:tcPr>
          <w:p w:rsidR="00FF0081" w:rsidRDefault="00F05F58" w:rsidP="00AB47F7">
            <w:pPr>
              <w:jc w:val="center"/>
              <w:rPr>
                <w:rFonts w:asciiTheme="minorHAnsi" w:hAnsiTheme="minorHAnsi"/>
                <w:b/>
              </w:rPr>
            </w:pPr>
            <w:r>
              <w:rPr>
                <w:rFonts w:asciiTheme="minorHAnsi" w:hAnsiTheme="minorHAnsi"/>
                <w:b/>
              </w:rPr>
              <w:t>52.3%</w:t>
            </w:r>
          </w:p>
        </w:tc>
      </w:tr>
    </w:tbl>
    <w:p w:rsidR="00FF0081" w:rsidRDefault="00FF0081" w:rsidP="008C28CF">
      <w:pPr>
        <w:pStyle w:val="ListParagraph"/>
        <w:ind w:left="360"/>
        <w:jc w:val="both"/>
      </w:pPr>
    </w:p>
    <w:p w:rsidR="001A7C3C" w:rsidRDefault="00194433" w:rsidP="001A7C3C">
      <w:pPr>
        <w:pStyle w:val="ListParagraph"/>
        <w:ind w:left="360"/>
        <w:jc w:val="both"/>
      </w:pPr>
      <w:r>
        <w:t xml:space="preserve">National statistics show that </w:t>
      </w:r>
      <w:r w:rsidR="001A7C3C">
        <w:t>4.1 per cent of firefighters were from an ethnic minority group in England in 2018. This compares with 3.9 per cent in the previous year. This has been caused by the number of white firefighters decreasing by a greater rate than the number of firefighters from an ethnic minority group. This compares with 14.6 per cent of the English population in the 2011 Census belonging to an ethnic minority group. The census data shows that Essex has become more diverse although most of Essex residents are in the White ethnic group; at 94.4 per cent.</w:t>
      </w:r>
    </w:p>
    <w:p w:rsidR="001A7C3C" w:rsidRDefault="001A7C3C" w:rsidP="008C28CF">
      <w:pPr>
        <w:pStyle w:val="ListParagraph"/>
        <w:ind w:left="360"/>
        <w:jc w:val="both"/>
      </w:pPr>
    </w:p>
    <w:p w:rsidR="00E86958" w:rsidRDefault="00E86958" w:rsidP="008C28CF">
      <w:pPr>
        <w:pStyle w:val="ListParagraph"/>
        <w:ind w:left="360"/>
        <w:jc w:val="both"/>
      </w:pPr>
      <w:r>
        <w:t>Across a 7 year period (no data recorded nationally before this date) from 2011 to 2018 ECFRS percentage of firefighters who were from an ethnic minority has increased from 1.6 per cent to 2.1per cent (Source: Home Office Operational Statistics Data Collection Autumn 2018).</w:t>
      </w:r>
    </w:p>
    <w:p w:rsidR="008A29D0" w:rsidRDefault="008A29D0" w:rsidP="008C28CF">
      <w:pPr>
        <w:pStyle w:val="ListParagraph"/>
        <w:ind w:left="360"/>
        <w:jc w:val="both"/>
      </w:pPr>
    </w:p>
    <w:p w:rsidR="00B00B66" w:rsidRDefault="00B00B66" w:rsidP="008C28CF">
      <w:pPr>
        <w:pStyle w:val="ListParagraph"/>
        <w:ind w:left="360"/>
        <w:jc w:val="both"/>
      </w:pPr>
    </w:p>
    <w:p w:rsidR="00B00B66" w:rsidRPr="008A29D0" w:rsidRDefault="00B00B66" w:rsidP="008C28CF">
      <w:pPr>
        <w:pStyle w:val="ListParagraph"/>
        <w:ind w:left="360"/>
        <w:jc w:val="both"/>
      </w:pPr>
    </w:p>
    <w:p w:rsidR="00A924A7" w:rsidRDefault="00A924A7" w:rsidP="008C28CF">
      <w:pPr>
        <w:pStyle w:val="ListParagraph"/>
        <w:numPr>
          <w:ilvl w:val="1"/>
          <w:numId w:val="24"/>
        </w:numPr>
        <w:jc w:val="both"/>
        <w:rPr>
          <w:b/>
        </w:rPr>
      </w:pPr>
      <w:r w:rsidRPr="002F7488">
        <w:rPr>
          <w:b/>
        </w:rPr>
        <w:lastRenderedPageBreak/>
        <w:t>Employee Disability</w:t>
      </w:r>
    </w:p>
    <w:p w:rsidR="00542D12" w:rsidRDefault="00542D12" w:rsidP="008C28CF">
      <w:pPr>
        <w:ind w:left="360"/>
        <w:jc w:val="both"/>
        <w:rPr>
          <w:b/>
        </w:rPr>
      </w:pPr>
    </w:p>
    <w:p w:rsidR="00542D12" w:rsidRPr="00BD03C7" w:rsidRDefault="00542D12" w:rsidP="008C28CF">
      <w:pPr>
        <w:ind w:left="360"/>
        <w:jc w:val="both"/>
      </w:pPr>
      <w:r w:rsidRPr="00BD03C7">
        <w:t xml:space="preserve">Of the </w:t>
      </w:r>
      <w:r w:rsidR="007107A6" w:rsidRPr="00BD03C7">
        <w:t>52.3 per cent of</w:t>
      </w:r>
      <w:r w:rsidRPr="00BD03C7">
        <w:t xml:space="preserve"> employees who have provided disability data, </w:t>
      </w:r>
      <w:r w:rsidR="007107A6" w:rsidRPr="00BD03C7">
        <w:t>0.3</w:t>
      </w:r>
      <w:r w:rsidRPr="00BD03C7">
        <w:t xml:space="preserve"> per cent stated that they have a disability. </w:t>
      </w:r>
      <w:r w:rsidR="007107A6" w:rsidRPr="00BD03C7">
        <w:t>47.7</w:t>
      </w:r>
      <w:r w:rsidRPr="00BD03C7">
        <w:t xml:space="preserve"> per cent of all employees have not provided any information regarding disability. It should be noted that disability data is captured at the point of entry into the workforce, and updated information is not routinely captured during the post holder’s tenure.</w:t>
      </w:r>
      <w:r w:rsidR="000459D8">
        <w:t xml:space="preserve"> </w:t>
      </w:r>
      <w:r w:rsidR="00B568CF">
        <w:t>The data returns ha</w:t>
      </w:r>
      <w:r w:rsidR="00B00B66">
        <w:t>ve</w:t>
      </w:r>
      <w:r w:rsidR="00B568CF">
        <w:t xml:space="preserve"> increased across the Service from 49.5 per cent of employees who provided disability data during 2017 to 52.3 per cent during 2018. The Service continues to encourage employees to provide this information on the Employee Self Service System.</w:t>
      </w:r>
      <w:r w:rsidR="00480D08">
        <w:t xml:space="preserve"> Table 6 provides a </w:t>
      </w:r>
      <w:proofErr w:type="spellStart"/>
      <w:r w:rsidR="00480D08">
        <w:t>break down</w:t>
      </w:r>
      <w:proofErr w:type="spellEnd"/>
      <w:r w:rsidR="00480D08">
        <w:t xml:space="preserve"> of disability data across employee groups.</w:t>
      </w:r>
    </w:p>
    <w:p w:rsidR="00FC1B44" w:rsidRDefault="00FC1B44" w:rsidP="008C28CF">
      <w:pPr>
        <w:ind w:left="360"/>
        <w:jc w:val="both"/>
      </w:pPr>
    </w:p>
    <w:p w:rsidR="00FC1B44" w:rsidRPr="00542D12" w:rsidRDefault="00FC1B44" w:rsidP="008C28CF">
      <w:pPr>
        <w:ind w:left="360"/>
        <w:jc w:val="both"/>
      </w:pPr>
      <w:r>
        <w:t>The Census 2011 shows that the proportion of population across England that are disabled was 18 per cent and within Essex 17 per cent.</w:t>
      </w:r>
    </w:p>
    <w:p w:rsidR="00542D12" w:rsidRPr="00542D12" w:rsidRDefault="00542D12" w:rsidP="008C28CF">
      <w:pPr>
        <w:ind w:left="360"/>
        <w:jc w:val="both"/>
      </w:pPr>
    </w:p>
    <w:tbl>
      <w:tblPr>
        <w:tblStyle w:val="TableGrid"/>
        <w:tblW w:w="7532" w:type="dxa"/>
        <w:jc w:val="center"/>
        <w:tblLayout w:type="fixed"/>
        <w:tblLook w:val="04A0" w:firstRow="1" w:lastRow="0" w:firstColumn="1" w:lastColumn="0" w:noHBand="0" w:noVBand="1"/>
      </w:tblPr>
      <w:tblGrid>
        <w:gridCol w:w="1980"/>
        <w:gridCol w:w="1850"/>
        <w:gridCol w:w="1851"/>
        <w:gridCol w:w="1851"/>
      </w:tblGrid>
      <w:tr w:rsidR="00496E13" w:rsidRPr="005629D9" w:rsidTr="00AB47F7">
        <w:trPr>
          <w:trHeight w:val="510"/>
          <w:jc w:val="center"/>
        </w:trPr>
        <w:tc>
          <w:tcPr>
            <w:tcW w:w="7532" w:type="dxa"/>
            <w:gridSpan w:val="4"/>
            <w:shd w:val="clear" w:color="auto" w:fill="0070C0"/>
            <w:vAlign w:val="center"/>
          </w:tcPr>
          <w:p w:rsidR="00496E13" w:rsidRDefault="00496E13" w:rsidP="00496E13">
            <w:pPr>
              <w:jc w:val="center"/>
              <w:rPr>
                <w:rFonts w:asciiTheme="minorHAnsi" w:hAnsiTheme="minorHAnsi"/>
                <w:b/>
                <w:color w:val="FFFFFF" w:themeColor="background1"/>
              </w:rPr>
            </w:pPr>
            <w:r>
              <w:rPr>
                <w:rFonts w:asciiTheme="minorHAnsi" w:hAnsiTheme="minorHAnsi"/>
                <w:b/>
                <w:color w:val="FFFFFF" w:themeColor="background1"/>
              </w:rPr>
              <w:t>Table 6: Disability</w:t>
            </w:r>
          </w:p>
        </w:tc>
      </w:tr>
      <w:tr w:rsidR="00496E13" w:rsidRPr="005629D9" w:rsidTr="00AB47F7">
        <w:trPr>
          <w:trHeight w:val="405"/>
          <w:jc w:val="center"/>
        </w:trPr>
        <w:tc>
          <w:tcPr>
            <w:tcW w:w="1980" w:type="dxa"/>
            <w:shd w:val="clear" w:color="auto" w:fill="0070C0"/>
            <w:vAlign w:val="center"/>
          </w:tcPr>
          <w:p w:rsidR="00764CC1" w:rsidRPr="00764CC1" w:rsidRDefault="00764CC1" w:rsidP="00AB47F7">
            <w:pPr>
              <w:jc w:val="center"/>
              <w:rPr>
                <w:rFonts w:asciiTheme="minorHAnsi" w:hAnsiTheme="minorHAnsi"/>
                <w:b/>
                <w:color w:val="FFFFFF" w:themeColor="background1"/>
              </w:rPr>
            </w:pPr>
            <w:r w:rsidRPr="00764CC1">
              <w:rPr>
                <w:rFonts w:asciiTheme="minorHAnsi" w:hAnsiTheme="minorHAnsi"/>
                <w:b/>
                <w:color w:val="FFFFFF" w:themeColor="background1"/>
              </w:rPr>
              <w:t>Employee</w:t>
            </w:r>
          </w:p>
          <w:p w:rsidR="00496E13" w:rsidRDefault="00764CC1" w:rsidP="00AB47F7">
            <w:pPr>
              <w:jc w:val="center"/>
              <w:rPr>
                <w:rFonts w:asciiTheme="minorHAnsi" w:hAnsiTheme="minorHAnsi"/>
              </w:rPr>
            </w:pPr>
            <w:r w:rsidRPr="00764CC1">
              <w:rPr>
                <w:rFonts w:asciiTheme="minorHAnsi" w:hAnsiTheme="minorHAnsi"/>
                <w:b/>
                <w:color w:val="FFFFFF" w:themeColor="background1"/>
              </w:rPr>
              <w:t>Group</w:t>
            </w:r>
          </w:p>
        </w:tc>
        <w:tc>
          <w:tcPr>
            <w:tcW w:w="1850" w:type="dxa"/>
            <w:shd w:val="clear" w:color="auto" w:fill="0070C0"/>
            <w:vAlign w:val="center"/>
          </w:tcPr>
          <w:p w:rsidR="00496E13" w:rsidRDefault="00496E13" w:rsidP="00AB47F7">
            <w:pPr>
              <w:jc w:val="center"/>
              <w:rPr>
                <w:rFonts w:asciiTheme="minorHAnsi" w:hAnsiTheme="minorHAnsi"/>
              </w:rPr>
            </w:pPr>
            <w:r>
              <w:rPr>
                <w:rFonts w:asciiTheme="minorHAnsi" w:hAnsiTheme="minorHAnsi"/>
                <w:b/>
                <w:color w:val="FFFFFF" w:themeColor="background1"/>
              </w:rPr>
              <w:t>Has a current or previous disability</w:t>
            </w:r>
          </w:p>
        </w:tc>
        <w:tc>
          <w:tcPr>
            <w:tcW w:w="1851" w:type="dxa"/>
            <w:shd w:val="clear" w:color="auto" w:fill="0070C0"/>
            <w:vAlign w:val="center"/>
          </w:tcPr>
          <w:p w:rsidR="00E870D0" w:rsidRDefault="00E870D0" w:rsidP="00AB47F7">
            <w:pPr>
              <w:jc w:val="center"/>
              <w:rPr>
                <w:rFonts w:asciiTheme="minorHAnsi" w:hAnsiTheme="minorHAnsi"/>
                <w:b/>
                <w:color w:val="FFFFFF" w:themeColor="background1"/>
              </w:rPr>
            </w:pPr>
            <w:r>
              <w:rPr>
                <w:rFonts w:asciiTheme="minorHAnsi" w:hAnsiTheme="minorHAnsi"/>
                <w:b/>
                <w:color w:val="FFFFFF" w:themeColor="background1"/>
              </w:rPr>
              <w:t>Not informed/</w:t>
            </w:r>
          </w:p>
          <w:p w:rsidR="00496E13" w:rsidRDefault="00E870D0" w:rsidP="00AB47F7">
            <w:pPr>
              <w:jc w:val="center"/>
              <w:rPr>
                <w:rFonts w:asciiTheme="minorHAnsi" w:hAnsiTheme="minorHAnsi"/>
              </w:rPr>
            </w:pPr>
            <w:r>
              <w:rPr>
                <w:rFonts w:asciiTheme="minorHAnsi" w:hAnsiTheme="minorHAnsi"/>
                <w:b/>
                <w:color w:val="FFFFFF" w:themeColor="background1"/>
              </w:rPr>
              <w:t>Unknown</w:t>
            </w:r>
          </w:p>
        </w:tc>
        <w:tc>
          <w:tcPr>
            <w:tcW w:w="1851" w:type="dxa"/>
            <w:shd w:val="clear" w:color="auto" w:fill="0070C0"/>
            <w:vAlign w:val="center"/>
          </w:tcPr>
          <w:p w:rsidR="00496E13" w:rsidRDefault="00496E13" w:rsidP="00AB47F7">
            <w:pPr>
              <w:jc w:val="center"/>
              <w:rPr>
                <w:rFonts w:asciiTheme="minorHAnsi" w:hAnsiTheme="minorHAnsi"/>
                <w:b/>
                <w:color w:val="FFFFFF" w:themeColor="background1"/>
              </w:rPr>
            </w:pPr>
            <w:r>
              <w:rPr>
                <w:rFonts w:asciiTheme="minorHAnsi" w:hAnsiTheme="minorHAnsi"/>
                <w:b/>
                <w:color w:val="FFFFFF" w:themeColor="background1"/>
              </w:rPr>
              <w:t>Not Recorded</w:t>
            </w:r>
          </w:p>
        </w:tc>
      </w:tr>
      <w:tr w:rsidR="00496E13" w:rsidRPr="005629D9" w:rsidTr="00AB47F7">
        <w:trPr>
          <w:trHeight w:val="405"/>
          <w:jc w:val="center"/>
        </w:trPr>
        <w:tc>
          <w:tcPr>
            <w:tcW w:w="1980" w:type="dxa"/>
            <w:vAlign w:val="center"/>
          </w:tcPr>
          <w:p w:rsidR="00496E13" w:rsidRPr="005629D9" w:rsidRDefault="00496E13" w:rsidP="00AB47F7">
            <w:pPr>
              <w:rPr>
                <w:rFonts w:asciiTheme="minorHAnsi" w:hAnsiTheme="minorHAnsi"/>
              </w:rPr>
            </w:pPr>
            <w:proofErr w:type="spellStart"/>
            <w:r>
              <w:rPr>
                <w:rFonts w:asciiTheme="minorHAnsi" w:hAnsiTheme="minorHAnsi"/>
              </w:rPr>
              <w:t>Wholetime</w:t>
            </w:r>
            <w:proofErr w:type="spellEnd"/>
          </w:p>
        </w:tc>
        <w:tc>
          <w:tcPr>
            <w:tcW w:w="1850" w:type="dxa"/>
            <w:shd w:val="clear" w:color="auto" w:fill="auto"/>
            <w:vAlign w:val="center"/>
          </w:tcPr>
          <w:p w:rsidR="00496E13" w:rsidRPr="005629D9" w:rsidRDefault="00E870D0" w:rsidP="00AB47F7">
            <w:pPr>
              <w:jc w:val="center"/>
              <w:rPr>
                <w:rFonts w:asciiTheme="minorHAnsi" w:hAnsiTheme="minorHAnsi"/>
              </w:rPr>
            </w:pPr>
            <w:r>
              <w:rPr>
                <w:rFonts w:asciiTheme="minorHAnsi" w:hAnsiTheme="minorHAnsi"/>
              </w:rPr>
              <w:t>0.3%</w:t>
            </w:r>
          </w:p>
        </w:tc>
        <w:tc>
          <w:tcPr>
            <w:tcW w:w="1851" w:type="dxa"/>
            <w:vAlign w:val="center"/>
          </w:tcPr>
          <w:p w:rsidR="00496E13" w:rsidRDefault="00E870D0" w:rsidP="00AB47F7">
            <w:pPr>
              <w:jc w:val="center"/>
              <w:rPr>
                <w:rFonts w:asciiTheme="minorHAnsi" w:hAnsiTheme="minorHAnsi"/>
              </w:rPr>
            </w:pPr>
            <w:r>
              <w:rPr>
                <w:rFonts w:asciiTheme="minorHAnsi" w:hAnsiTheme="minorHAnsi"/>
              </w:rPr>
              <w:t>45.8%</w:t>
            </w:r>
          </w:p>
        </w:tc>
        <w:tc>
          <w:tcPr>
            <w:tcW w:w="1851" w:type="dxa"/>
            <w:vAlign w:val="center"/>
          </w:tcPr>
          <w:p w:rsidR="00496E13" w:rsidRDefault="00E870D0" w:rsidP="00AB47F7">
            <w:pPr>
              <w:jc w:val="center"/>
              <w:rPr>
                <w:rFonts w:asciiTheme="minorHAnsi" w:hAnsiTheme="minorHAnsi"/>
              </w:rPr>
            </w:pPr>
            <w:r>
              <w:rPr>
                <w:rFonts w:asciiTheme="minorHAnsi" w:hAnsiTheme="minorHAnsi"/>
              </w:rPr>
              <w:t>53.9%</w:t>
            </w:r>
          </w:p>
        </w:tc>
      </w:tr>
      <w:tr w:rsidR="00496E13" w:rsidRPr="005629D9" w:rsidTr="00AB47F7">
        <w:trPr>
          <w:trHeight w:val="405"/>
          <w:jc w:val="center"/>
        </w:trPr>
        <w:tc>
          <w:tcPr>
            <w:tcW w:w="1980" w:type="dxa"/>
            <w:vAlign w:val="center"/>
          </w:tcPr>
          <w:p w:rsidR="00496E13" w:rsidRPr="005629D9" w:rsidRDefault="00496E13" w:rsidP="00AB47F7">
            <w:pPr>
              <w:rPr>
                <w:rFonts w:asciiTheme="minorHAnsi" w:hAnsiTheme="minorHAnsi"/>
              </w:rPr>
            </w:pPr>
            <w:r>
              <w:rPr>
                <w:rFonts w:asciiTheme="minorHAnsi" w:hAnsiTheme="minorHAnsi"/>
              </w:rPr>
              <w:t>On-Call</w:t>
            </w:r>
          </w:p>
        </w:tc>
        <w:tc>
          <w:tcPr>
            <w:tcW w:w="1850" w:type="dxa"/>
            <w:shd w:val="clear" w:color="auto" w:fill="auto"/>
            <w:vAlign w:val="center"/>
          </w:tcPr>
          <w:p w:rsidR="00496E13" w:rsidRPr="005629D9" w:rsidRDefault="00E870D0" w:rsidP="00AB47F7">
            <w:pPr>
              <w:jc w:val="center"/>
              <w:rPr>
                <w:rFonts w:asciiTheme="minorHAnsi" w:hAnsiTheme="minorHAnsi"/>
              </w:rPr>
            </w:pPr>
            <w:r>
              <w:rPr>
                <w:rFonts w:asciiTheme="minorHAnsi" w:hAnsiTheme="minorHAnsi"/>
              </w:rPr>
              <w:t>0.0%</w:t>
            </w:r>
          </w:p>
        </w:tc>
        <w:tc>
          <w:tcPr>
            <w:tcW w:w="1851" w:type="dxa"/>
            <w:vAlign w:val="center"/>
          </w:tcPr>
          <w:p w:rsidR="00496E13" w:rsidRDefault="00E870D0" w:rsidP="00AB47F7">
            <w:pPr>
              <w:jc w:val="center"/>
              <w:rPr>
                <w:rFonts w:asciiTheme="minorHAnsi" w:hAnsiTheme="minorHAnsi"/>
              </w:rPr>
            </w:pPr>
            <w:r>
              <w:rPr>
                <w:rFonts w:asciiTheme="minorHAnsi" w:hAnsiTheme="minorHAnsi"/>
              </w:rPr>
              <w:t>54.3%</w:t>
            </w:r>
          </w:p>
        </w:tc>
        <w:tc>
          <w:tcPr>
            <w:tcW w:w="1851" w:type="dxa"/>
            <w:vAlign w:val="center"/>
          </w:tcPr>
          <w:p w:rsidR="00496E13" w:rsidRDefault="00E870D0" w:rsidP="00AB47F7">
            <w:pPr>
              <w:jc w:val="center"/>
              <w:rPr>
                <w:rFonts w:asciiTheme="minorHAnsi" w:hAnsiTheme="minorHAnsi"/>
              </w:rPr>
            </w:pPr>
            <w:r>
              <w:rPr>
                <w:rFonts w:asciiTheme="minorHAnsi" w:hAnsiTheme="minorHAnsi"/>
              </w:rPr>
              <w:t>45.7%</w:t>
            </w:r>
          </w:p>
        </w:tc>
      </w:tr>
      <w:tr w:rsidR="00496E13" w:rsidRPr="005629D9" w:rsidTr="00AB47F7">
        <w:trPr>
          <w:trHeight w:val="405"/>
          <w:jc w:val="center"/>
        </w:trPr>
        <w:tc>
          <w:tcPr>
            <w:tcW w:w="1980" w:type="dxa"/>
            <w:vAlign w:val="center"/>
          </w:tcPr>
          <w:p w:rsidR="00496E13" w:rsidRPr="005629D9" w:rsidRDefault="00496E13" w:rsidP="00AB47F7">
            <w:pPr>
              <w:rPr>
                <w:rFonts w:asciiTheme="minorHAnsi" w:hAnsiTheme="minorHAnsi"/>
              </w:rPr>
            </w:pPr>
            <w:r>
              <w:rPr>
                <w:rFonts w:asciiTheme="minorHAnsi" w:hAnsiTheme="minorHAnsi"/>
              </w:rPr>
              <w:t>Support</w:t>
            </w:r>
          </w:p>
        </w:tc>
        <w:tc>
          <w:tcPr>
            <w:tcW w:w="1850" w:type="dxa"/>
            <w:shd w:val="clear" w:color="auto" w:fill="auto"/>
            <w:vAlign w:val="center"/>
          </w:tcPr>
          <w:p w:rsidR="00496E13" w:rsidRPr="005629D9" w:rsidRDefault="00E870D0" w:rsidP="00AB47F7">
            <w:pPr>
              <w:jc w:val="center"/>
              <w:rPr>
                <w:rFonts w:asciiTheme="minorHAnsi" w:hAnsiTheme="minorHAnsi"/>
              </w:rPr>
            </w:pPr>
            <w:r>
              <w:rPr>
                <w:rFonts w:asciiTheme="minorHAnsi" w:hAnsiTheme="minorHAnsi"/>
              </w:rPr>
              <w:t>1.0%</w:t>
            </w:r>
          </w:p>
        </w:tc>
        <w:tc>
          <w:tcPr>
            <w:tcW w:w="1851" w:type="dxa"/>
            <w:vAlign w:val="center"/>
          </w:tcPr>
          <w:p w:rsidR="00496E13" w:rsidRDefault="00E870D0" w:rsidP="00AB47F7">
            <w:pPr>
              <w:jc w:val="center"/>
              <w:rPr>
                <w:rFonts w:asciiTheme="minorHAnsi" w:hAnsiTheme="minorHAnsi"/>
              </w:rPr>
            </w:pPr>
            <w:r>
              <w:rPr>
                <w:rFonts w:asciiTheme="minorHAnsi" w:hAnsiTheme="minorHAnsi"/>
              </w:rPr>
              <w:t>59.4%</w:t>
            </w:r>
          </w:p>
        </w:tc>
        <w:tc>
          <w:tcPr>
            <w:tcW w:w="1851" w:type="dxa"/>
            <w:vAlign w:val="center"/>
          </w:tcPr>
          <w:p w:rsidR="00496E13" w:rsidRDefault="00E870D0" w:rsidP="00AB47F7">
            <w:pPr>
              <w:jc w:val="center"/>
              <w:rPr>
                <w:rFonts w:asciiTheme="minorHAnsi" w:hAnsiTheme="minorHAnsi"/>
              </w:rPr>
            </w:pPr>
            <w:r>
              <w:rPr>
                <w:rFonts w:asciiTheme="minorHAnsi" w:hAnsiTheme="minorHAnsi"/>
              </w:rPr>
              <w:t>39.6%</w:t>
            </w:r>
          </w:p>
        </w:tc>
      </w:tr>
      <w:tr w:rsidR="00496E13" w:rsidRPr="005629D9" w:rsidTr="00AB47F7">
        <w:trPr>
          <w:trHeight w:val="405"/>
          <w:jc w:val="center"/>
        </w:trPr>
        <w:tc>
          <w:tcPr>
            <w:tcW w:w="1980" w:type="dxa"/>
            <w:vAlign w:val="center"/>
          </w:tcPr>
          <w:p w:rsidR="00496E13" w:rsidRPr="005629D9" w:rsidRDefault="00496E13" w:rsidP="00AB47F7">
            <w:pPr>
              <w:rPr>
                <w:rFonts w:asciiTheme="minorHAnsi" w:hAnsiTheme="minorHAnsi"/>
              </w:rPr>
            </w:pPr>
            <w:r>
              <w:rPr>
                <w:rFonts w:asciiTheme="minorHAnsi" w:hAnsiTheme="minorHAnsi"/>
              </w:rPr>
              <w:t>Control</w:t>
            </w:r>
          </w:p>
        </w:tc>
        <w:tc>
          <w:tcPr>
            <w:tcW w:w="1850" w:type="dxa"/>
            <w:shd w:val="clear" w:color="auto" w:fill="auto"/>
            <w:vAlign w:val="center"/>
          </w:tcPr>
          <w:p w:rsidR="00496E13" w:rsidRPr="005629D9" w:rsidRDefault="00E870D0" w:rsidP="00AB47F7">
            <w:pPr>
              <w:jc w:val="center"/>
              <w:rPr>
                <w:rFonts w:asciiTheme="minorHAnsi" w:hAnsiTheme="minorHAnsi"/>
              </w:rPr>
            </w:pPr>
            <w:r>
              <w:rPr>
                <w:rFonts w:asciiTheme="minorHAnsi" w:hAnsiTheme="minorHAnsi"/>
              </w:rPr>
              <w:t>0.0%</w:t>
            </w:r>
          </w:p>
        </w:tc>
        <w:tc>
          <w:tcPr>
            <w:tcW w:w="1851" w:type="dxa"/>
            <w:vAlign w:val="center"/>
          </w:tcPr>
          <w:p w:rsidR="00496E13" w:rsidRDefault="00E870D0" w:rsidP="00AB47F7">
            <w:pPr>
              <w:jc w:val="center"/>
              <w:rPr>
                <w:rFonts w:asciiTheme="minorHAnsi" w:hAnsiTheme="minorHAnsi"/>
              </w:rPr>
            </w:pPr>
            <w:r>
              <w:rPr>
                <w:rFonts w:asciiTheme="minorHAnsi" w:hAnsiTheme="minorHAnsi"/>
              </w:rPr>
              <w:t>64.9%</w:t>
            </w:r>
          </w:p>
        </w:tc>
        <w:tc>
          <w:tcPr>
            <w:tcW w:w="1851" w:type="dxa"/>
            <w:vAlign w:val="center"/>
          </w:tcPr>
          <w:p w:rsidR="00496E13" w:rsidRDefault="00E870D0" w:rsidP="00AB47F7">
            <w:pPr>
              <w:jc w:val="center"/>
              <w:rPr>
                <w:rFonts w:asciiTheme="minorHAnsi" w:hAnsiTheme="minorHAnsi"/>
              </w:rPr>
            </w:pPr>
            <w:r>
              <w:rPr>
                <w:rFonts w:asciiTheme="minorHAnsi" w:hAnsiTheme="minorHAnsi"/>
              </w:rPr>
              <w:t>35.1%</w:t>
            </w:r>
          </w:p>
        </w:tc>
      </w:tr>
      <w:tr w:rsidR="00496E13" w:rsidRPr="005629D9" w:rsidTr="00AB47F7">
        <w:trPr>
          <w:trHeight w:val="405"/>
          <w:jc w:val="center"/>
        </w:trPr>
        <w:tc>
          <w:tcPr>
            <w:tcW w:w="1980" w:type="dxa"/>
            <w:shd w:val="clear" w:color="auto" w:fill="E7E6E6" w:themeFill="background2"/>
            <w:vAlign w:val="center"/>
          </w:tcPr>
          <w:p w:rsidR="00496E13" w:rsidRPr="005629D9" w:rsidRDefault="00496E13" w:rsidP="00AB47F7">
            <w:pPr>
              <w:rPr>
                <w:rFonts w:asciiTheme="minorHAnsi" w:hAnsiTheme="minorHAnsi"/>
                <w:b/>
              </w:rPr>
            </w:pPr>
            <w:r>
              <w:rPr>
                <w:rFonts w:asciiTheme="minorHAnsi" w:hAnsiTheme="minorHAnsi"/>
                <w:b/>
              </w:rPr>
              <w:t>OVERALL</w:t>
            </w:r>
          </w:p>
        </w:tc>
        <w:tc>
          <w:tcPr>
            <w:tcW w:w="1850" w:type="dxa"/>
            <w:shd w:val="clear" w:color="auto" w:fill="E7E6E6" w:themeFill="background2"/>
            <w:vAlign w:val="center"/>
          </w:tcPr>
          <w:p w:rsidR="00496E13" w:rsidRPr="005629D9" w:rsidRDefault="00E870D0" w:rsidP="00AB47F7">
            <w:pPr>
              <w:jc w:val="center"/>
              <w:rPr>
                <w:rFonts w:asciiTheme="minorHAnsi" w:hAnsiTheme="minorHAnsi"/>
                <w:b/>
              </w:rPr>
            </w:pPr>
            <w:r>
              <w:rPr>
                <w:rFonts w:asciiTheme="minorHAnsi" w:hAnsiTheme="minorHAnsi"/>
                <w:b/>
              </w:rPr>
              <w:t>0.3%</w:t>
            </w:r>
          </w:p>
        </w:tc>
        <w:tc>
          <w:tcPr>
            <w:tcW w:w="1851" w:type="dxa"/>
            <w:shd w:val="clear" w:color="auto" w:fill="E7E6E6" w:themeFill="background2"/>
            <w:vAlign w:val="center"/>
          </w:tcPr>
          <w:p w:rsidR="00496E13" w:rsidRDefault="00E870D0" w:rsidP="00AB47F7">
            <w:pPr>
              <w:jc w:val="center"/>
              <w:rPr>
                <w:rFonts w:asciiTheme="minorHAnsi" w:hAnsiTheme="minorHAnsi"/>
                <w:b/>
              </w:rPr>
            </w:pPr>
            <w:r>
              <w:rPr>
                <w:rFonts w:asciiTheme="minorHAnsi" w:hAnsiTheme="minorHAnsi"/>
                <w:b/>
              </w:rPr>
              <w:t>52.0%</w:t>
            </w:r>
          </w:p>
        </w:tc>
        <w:tc>
          <w:tcPr>
            <w:tcW w:w="1851" w:type="dxa"/>
            <w:shd w:val="clear" w:color="auto" w:fill="E7E6E6" w:themeFill="background2"/>
            <w:vAlign w:val="center"/>
          </w:tcPr>
          <w:p w:rsidR="00496E13" w:rsidRDefault="00E870D0" w:rsidP="00AB47F7">
            <w:pPr>
              <w:jc w:val="center"/>
              <w:rPr>
                <w:rFonts w:asciiTheme="minorHAnsi" w:hAnsiTheme="minorHAnsi"/>
                <w:b/>
              </w:rPr>
            </w:pPr>
            <w:r>
              <w:rPr>
                <w:rFonts w:asciiTheme="minorHAnsi" w:hAnsiTheme="minorHAnsi"/>
                <w:b/>
              </w:rPr>
              <w:t>47.7%</w:t>
            </w:r>
          </w:p>
        </w:tc>
      </w:tr>
    </w:tbl>
    <w:p w:rsidR="00542D12" w:rsidRDefault="00542D12" w:rsidP="008C28CF">
      <w:pPr>
        <w:ind w:left="360"/>
        <w:jc w:val="both"/>
        <w:rPr>
          <w:b/>
        </w:rPr>
      </w:pPr>
    </w:p>
    <w:p w:rsidR="00496E13" w:rsidRPr="00307867" w:rsidRDefault="00307867" w:rsidP="008C28CF">
      <w:pPr>
        <w:ind w:left="360"/>
        <w:jc w:val="both"/>
      </w:pPr>
      <w:r>
        <w:t>Although the Home Office collect statistics on disability they are not sufficiently complete or comparable to publish at present.</w:t>
      </w:r>
    </w:p>
    <w:p w:rsidR="00496E13" w:rsidRPr="00542D12" w:rsidRDefault="00496E13" w:rsidP="008C28CF">
      <w:pPr>
        <w:ind w:left="360"/>
        <w:jc w:val="both"/>
        <w:rPr>
          <w:b/>
        </w:rPr>
      </w:pPr>
    </w:p>
    <w:p w:rsidR="00A924A7" w:rsidRDefault="00A924A7" w:rsidP="008C28CF">
      <w:pPr>
        <w:pStyle w:val="ListParagraph"/>
        <w:numPr>
          <w:ilvl w:val="1"/>
          <w:numId w:val="24"/>
        </w:numPr>
        <w:jc w:val="both"/>
        <w:rPr>
          <w:b/>
        </w:rPr>
      </w:pPr>
      <w:r w:rsidRPr="002F7488">
        <w:rPr>
          <w:b/>
        </w:rPr>
        <w:t>Sexual Orientation</w:t>
      </w:r>
    </w:p>
    <w:p w:rsidR="00542D12" w:rsidRDefault="00542D12" w:rsidP="008C28CF">
      <w:pPr>
        <w:pStyle w:val="ListParagraph"/>
        <w:ind w:left="360"/>
        <w:jc w:val="both"/>
        <w:rPr>
          <w:b/>
        </w:rPr>
      </w:pPr>
    </w:p>
    <w:p w:rsidR="00FC1B44" w:rsidRDefault="003D3121" w:rsidP="008C28CF">
      <w:pPr>
        <w:pStyle w:val="ListParagraph"/>
        <w:ind w:left="360"/>
        <w:jc w:val="both"/>
      </w:pPr>
      <w:r>
        <w:t>The Service during 2018 had an overall figure of 1.1 per cent whilst Control data shows 5.4 per cent</w:t>
      </w:r>
    </w:p>
    <w:p w:rsidR="00496E13" w:rsidRDefault="00496E13" w:rsidP="008C28CF">
      <w:pPr>
        <w:pStyle w:val="ListParagraph"/>
        <w:ind w:left="360"/>
        <w:jc w:val="both"/>
      </w:pPr>
    </w:p>
    <w:tbl>
      <w:tblPr>
        <w:tblStyle w:val="TableGrid"/>
        <w:tblW w:w="7532" w:type="dxa"/>
        <w:jc w:val="center"/>
        <w:tblLayout w:type="fixed"/>
        <w:tblLook w:val="04A0" w:firstRow="1" w:lastRow="0" w:firstColumn="1" w:lastColumn="0" w:noHBand="0" w:noVBand="1"/>
      </w:tblPr>
      <w:tblGrid>
        <w:gridCol w:w="1980"/>
        <w:gridCol w:w="1850"/>
        <w:gridCol w:w="1851"/>
        <w:gridCol w:w="1851"/>
      </w:tblGrid>
      <w:tr w:rsidR="00496E13" w:rsidRPr="005629D9" w:rsidTr="00AB47F7">
        <w:trPr>
          <w:trHeight w:val="510"/>
          <w:jc w:val="center"/>
        </w:trPr>
        <w:tc>
          <w:tcPr>
            <w:tcW w:w="7532" w:type="dxa"/>
            <w:gridSpan w:val="4"/>
            <w:shd w:val="clear" w:color="auto" w:fill="0070C0"/>
            <w:vAlign w:val="center"/>
          </w:tcPr>
          <w:p w:rsidR="00496E13" w:rsidRDefault="00496E13" w:rsidP="00496E13">
            <w:pPr>
              <w:jc w:val="center"/>
              <w:rPr>
                <w:rFonts w:asciiTheme="minorHAnsi" w:hAnsiTheme="minorHAnsi"/>
                <w:b/>
                <w:color w:val="FFFFFF" w:themeColor="background1"/>
              </w:rPr>
            </w:pPr>
            <w:r>
              <w:rPr>
                <w:rFonts w:asciiTheme="minorHAnsi" w:hAnsiTheme="minorHAnsi"/>
                <w:b/>
                <w:color w:val="FFFFFF" w:themeColor="background1"/>
              </w:rPr>
              <w:t>Table 7: Sexual Orientation</w:t>
            </w:r>
          </w:p>
        </w:tc>
      </w:tr>
      <w:tr w:rsidR="00496E13" w:rsidRPr="005629D9" w:rsidTr="00AB47F7">
        <w:trPr>
          <w:trHeight w:val="405"/>
          <w:jc w:val="center"/>
        </w:trPr>
        <w:tc>
          <w:tcPr>
            <w:tcW w:w="1980" w:type="dxa"/>
            <w:shd w:val="clear" w:color="auto" w:fill="0070C0"/>
            <w:vAlign w:val="center"/>
          </w:tcPr>
          <w:p w:rsidR="00764CC1" w:rsidRDefault="00764CC1" w:rsidP="00764CC1">
            <w:pPr>
              <w:jc w:val="center"/>
              <w:rPr>
                <w:rFonts w:asciiTheme="minorHAnsi" w:hAnsiTheme="minorHAnsi"/>
                <w:b/>
                <w:color w:val="FFFFFF" w:themeColor="background1"/>
              </w:rPr>
            </w:pPr>
            <w:r w:rsidRPr="00764CC1">
              <w:rPr>
                <w:rFonts w:asciiTheme="minorHAnsi" w:hAnsiTheme="minorHAnsi"/>
                <w:b/>
                <w:color w:val="FFFFFF" w:themeColor="background1"/>
              </w:rPr>
              <w:t>Employee</w:t>
            </w:r>
          </w:p>
          <w:p w:rsidR="00496E13" w:rsidRDefault="00764CC1" w:rsidP="00764CC1">
            <w:pPr>
              <w:jc w:val="center"/>
              <w:rPr>
                <w:rFonts w:asciiTheme="minorHAnsi" w:hAnsiTheme="minorHAnsi"/>
              </w:rPr>
            </w:pPr>
            <w:r w:rsidRPr="00764CC1">
              <w:rPr>
                <w:rFonts w:asciiTheme="minorHAnsi" w:hAnsiTheme="minorHAnsi"/>
                <w:b/>
                <w:color w:val="FFFFFF" w:themeColor="background1"/>
              </w:rPr>
              <w:t>Group</w:t>
            </w:r>
          </w:p>
        </w:tc>
        <w:tc>
          <w:tcPr>
            <w:tcW w:w="1850" w:type="dxa"/>
            <w:shd w:val="clear" w:color="auto" w:fill="0070C0"/>
            <w:vAlign w:val="center"/>
          </w:tcPr>
          <w:p w:rsidR="00496E13" w:rsidRDefault="00496E13" w:rsidP="00AB47F7">
            <w:pPr>
              <w:jc w:val="center"/>
              <w:rPr>
                <w:rFonts w:asciiTheme="minorHAnsi" w:hAnsiTheme="minorHAnsi"/>
              </w:rPr>
            </w:pPr>
            <w:r>
              <w:rPr>
                <w:rFonts w:asciiTheme="minorHAnsi" w:hAnsiTheme="minorHAnsi"/>
                <w:b/>
                <w:color w:val="FFFFFF" w:themeColor="background1"/>
              </w:rPr>
              <w:t>Heterosexual</w:t>
            </w:r>
          </w:p>
        </w:tc>
        <w:tc>
          <w:tcPr>
            <w:tcW w:w="1851" w:type="dxa"/>
            <w:shd w:val="clear" w:color="auto" w:fill="0070C0"/>
            <w:vAlign w:val="center"/>
          </w:tcPr>
          <w:p w:rsidR="00496E13" w:rsidRDefault="00A162E3" w:rsidP="00AB47F7">
            <w:pPr>
              <w:jc w:val="center"/>
              <w:rPr>
                <w:rFonts w:asciiTheme="minorHAnsi" w:hAnsiTheme="minorHAnsi"/>
              </w:rPr>
            </w:pPr>
            <w:r>
              <w:rPr>
                <w:rFonts w:asciiTheme="minorHAnsi" w:hAnsiTheme="minorHAnsi"/>
                <w:b/>
                <w:color w:val="FFFFFF" w:themeColor="background1"/>
              </w:rPr>
              <w:t>LGB</w:t>
            </w:r>
            <w:r w:rsidR="00496E13">
              <w:rPr>
                <w:rFonts w:asciiTheme="minorHAnsi" w:hAnsiTheme="minorHAnsi"/>
                <w:b/>
                <w:color w:val="FFFFFF" w:themeColor="background1"/>
              </w:rPr>
              <w:t>Q+</w:t>
            </w:r>
          </w:p>
        </w:tc>
        <w:tc>
          <w:tcPr>
            <w:tcW w:w="1851" w:type="dxa"/>
            <w:shd w:val="clear" w:color="auto" w:fill="0070C0"/>
            <w:vAlign w:val="center"/>
          </w:tcPr>
          <w:p w:rsidR="00496E13" w:rsidRDefault="00496E13" w:rsidP="00AB47F7">
            <w:pPr>
              <w:jc w:val="center"/>
              <w:rPr>
                <w:rFonts w:asciiTheme="minorHAnsi" w:hAnsiTheme="minorHAnsi"/>
                <w:b/>
                <w:color w:val="FFFFFF" w:themeColor="background1"/>
              </w:rPr>
            </w:pPr>
            <w:r>
              <w:rPr>
                <w:rFonts w:asciiTheme="minorHAnsi" w:hAnsiTheme="minorHAnsi"/>
                <w:b/>
                <w:color w:val="FFFFFF" w:themeColor="background1"/>
              </w:rPr>
              <w:t>Not Recorded</w:t>
            </w:r>
          </w:p>
        </w:tc>
      </w:tr>
      <w:tr w:rsidR="00496E13" w:rsidRPr="005629D9" w:rsidTr="00AB47F7">
        <w:trPr>
          <w:trHeight w:val="405"/>
          <w:jc w:val="center"/>
        </w:trPr>
        <w:tc>
          <w:tcPr>
            <w:tcW w:w="1980" w:type="dxa"/>
            <w:vAlign w:val="center"/>
          </w:tcPr>
          <w:p w:rsidR="00496E13" w:rsidRPr="005629D9" w:rsidRDefault="00496E13" w:rsidP="00AB47F7">
            <w:pPr>
              <w:rPr>
                <w:rFonts w:asciiTheme="minorHAnsi" w:hAnsiTheme="minorHAnsi"/>
              </w:rPr>
            </w:pPr>
            <w:proofErr w:type="spellStart"/>
            <w:r>
              <w:rPr>
                <w:rFonts w:asciiTheme="minorHAnsi" w:hAnsiTheme="minorHAnsi"/>
              </w:rPr>
              <w:t>Wholetime</w:t>
            </w:r>
            <w:proofErr w:type="spellEnd"/>
          </w:p>
        </w:tc>
        <w:tc>
          <w:tcPr>
            <w:tcW w:w="1850" w:type="dxa"/>
            <w:shd w:val="clear" w:color="auto" w:fill="auto"/>
            <w:vAlign w:val="center"/>
          </w:tcPr>
          <w:p w:rsidR="00496E13" w:rsidRPr="005629D9" w:rsidRDefault="00216BD3" w:rsidP="00AB47F7">
            <w:pPr>
              <w:jc w:val="center"/>
              <w:rPr>
                <w:rFonts w:asciiTheme="minorHAnsi" w:hAnsiTheme="minorHAnsi"/>
              </w:rPr>
            </w:pPr>
            <w:r>
              <w:rPr>
                <w:rFonts w:asciiTheme="minorHAnsi" w:hAnsiTheme="minorHAnsi"/>
              </w:rPr>
              <w:t>26.8%</w:t>
            </w:r>
          </w:p>
        </w:tc>
        <w:tc>
          <w:tcPr>
            <w:tcW w:w="1851" w:type="dxa"/>
            <w:vAlign w:val="center"/>
          </w:tcPr>
          <w:p w:rsidR="00496E13" w:rsidRDefault="00216BD3" w:rsidP="00AB47F7">
            <w:pPr>
              <w:jc w:val="center"/>
              <w:rPr>
                <w:rFonts w:asciiTheme="minorHAnsi" w:hAnsiTheme="minorHAnsi"/>
              </w:rPr>
            </w:pPr>
            <w:r>
              <w:rPr>
                <w:rFonts w:asciiTheme="minorHAnsi" w:hAnsiTheme="minorHAnsi"/>
              </w:rPr>
              <w:t>1.3%</w:t>
            </w:r>
          </w:p>
        </w:tc>
        <w:tc>
          <w:tcPr>
            <w:tcW w:w="1851" w:type="dxa"/>
            <w:vAlign w:val="center"/>
          </w:tcPr>
          <w:p w:rsidR="00496E13" w:rsidRDefault="00216BD3" w:rsidP="00AB47F7">
            <w:pPr>
              <w:jc w:val="center"/>
              <w:rPr>
                <w:rFonts w:asciiTheme="minorHAnsi" w:hAnsiTheme="minorHAnsi"/>
              </w:rPr>
            </w:pPr>
            <w:r>
              <w:rPr>
                <w:rFonts w:asciiTheme="minorHAnsi" w:hAnsiTheme="minorHAnsi"/>
              </w:rPr>
              <w:t>71.9%</w:t>
            </w:r>
          </w:p>
        </w:tc>
      </w:tr>
      <w:tr w:rsidR="00496E13" w:rsidRPr="005629D9" w:rsidTr="00AB47F7">
        <w:trPr>
          <w:trHeight w:val="405"/>
          <w:jc w:val="center"/>
        </w:trPr>
        <w:tc>
          <w:tcPr>
            <w:tcW w:w="1980" w:type="dxa"/>
            <w:vAlign w:val="center"/>
          </w:tcPr>
          <w:p w:rsidR="00496E13" w:rsidRPr="005629D9" w:rsidRDefault="00496E13" w:rsidP="00AB47F7">
            <w:pPr>
              <w:rPr>
                <w:rFonts w:asciiTheme="minorHAnsi" w:hAnsiTheme="minorHAnsi"/>
              </w:rPr>
            </w:pPr>
            <w:r>
              <w:rPr>
                <w:rFonts w:asciiTheme="minorHAnsi" w:hAnsiTheme="minorHAnsi"/>
              </w:rPr>
              <w:t>On-Call</w:t>
            </w:r>
          </w:p>
        </w:tc>
        <w:tc>
          <w:tcPr>
            <w:tcW w:w="1850" w:type="dxa"/>
            <w:shd w:val="clear" w:color="auto" w:fill="auto"/>
            <w:vAlign w:val="center"/>
          </w:tcPr>
          <w:p w:rsidR="00496E13" w:rsidRPr="005629D9" w:rsidRDefault="00216BD3" w:rsidP="00AB47F7">
            <w:pPr>
              <w:jc w:val="center"/>
              <w:rPr>
                <w:rFonts w:asciiTheme="minorHAnsi" w:hAnsiTheme="minorHAnsi"/>
              </w:rPr>
            </w:pPr>
            <w:r>
              <w:rPr>
                <w:rFonts w:asciiTheme="minorHAnsi" w:hAnsiTheme="minorHAnsi"/>
              </w:rPr>
              <w:t>28.9%</w:t>
            </w:r>
          </w:p>
        </w:tc>
        <w:tc>
          <w:tcPr>
            <w:tcW w:w="1851" w:type="dxa"/>
            <w:vAlign w:val="center"/>
          </w:tcPr>
          <w:p w:rsidR="00496E13" w:rsidRDefault="00216BD3" w:rsidP="00AB47F7">
            <w:pPr>
              <w:jc w:val="center"/>
              <w:rPr>
                <w:rFonts w:asciiTheme="minorHAnsi" w:hAnsiTheme="minorHAnsi"/>
              </w:rPr>
            </w:pPr>
            <w:r>
              <w:rPr>
                <w:rFonts w:asciiTheme="minorHAnsi" w:hAnsiTheme="minorHAnsi"/>
              </w:rPr>
              <w:t>0.2%</w:t>
            </w:r>
          </w:p>
        </w:tc>
        <w:tc>
          <w:tcPr>
            <w:tcW w:w="1851" w:type="dxa"/>
            <w:vAlign w:val="center"/>
          </w:tcPr>
          <w:p w:rsidR="00496E13" w:rsidRDefault="00216BD3" w:rsidP="00AB47F7">
            <w:pPr>
              <w:jc w:val="center"/>
              <w:rPr>
                <w:rFonts w:asciiTheme="minorHAnsi" w:hAnsiTheme="minorHAnsi"/>
              </w:rPr>
            </w:pPr>
            <w:r>
              <w:rPr>
                <w:rFonts w:asciiTheme="minorHAnsi" w:hAnsiTheme="minorHAnsi"/>
              </w:rPr>
              <w:t>70.9%</w:t>
            </w:r>
          </w:p>
        </w:tc>
      </w:tr>
      <w:tr w:rsidR="00496E13" w:rsidRPr="005629D9" w:rsidTr="00AB47F7">
        <w:trPr>
          <w:trHeight w:val="405"/>
          <w:jc w:val="center"/>
        </w:trPr>
        <w:tc>
          <w:tcPr>
            <w:tcW w:w="1980" w:type="dxa"/>
            <w:vAlign w:val="center"/>
          </w:tcPr>
          <w:p w:rsidR="00496E13" w:rsidRPr="005629D9" w:rsidRDefault="00496E13" w:rsidP="00AB47F7">
            <w:pPr>
              <w:rPr>
                <w:rFonts w:asciiTheme="minorHAnsi" w:hAnsiTheme="minorHAnsi"/>
              </w:rPr>
            </w:pPr>
            <w:r>
              <w:rPr>
                <w:rFonts w:asciiTheme="minorHAnsi" w:hAnsiTheme="minorHAnsi"/>
              </w:rPr>
              <w:t>Support</w:t>
            </w:r>
          </w:p>
        </w:tc>
        <w:tc>
          <w:tcPr>
            <w:tcW w:w="1850" w:type="dxa"/>
            <w:shd w:val="clear" w:color="auto" w:fill="auto"/>
            <w:vAlign w:val="center"/>
          </w:tcPr>
          <w:p w:rsidR="00496E13" w:rsidRPr="005629D9" w:rsidRDefault="00216BD3" w:rsidP="00AB47F7">
            <w:pPr>
              <w:jc w:val="center"/>
              <w:rPr>
                <w:rFonts w:asciiTheme="minorHAnsi" w:hAnsiTheme="minorHAnsi"/>
              </w:rPr>
            </w:pPr>
            <w:r>
              <w:rPr>
                <w:rFonts w:asciiTheme="minorHAnsi" w:hAnsiTheme="minorHAnsi"/>
              </w:rPr>
              <w:t>28.3%</w:t>
            </w:r>
          </w:p>
        </w:tc>
        <w:tc>
          <w:tcPr>
            <w:tcW w:w="1851" w:type="dxa"/>
            <w:vAlign w:val="center"/>
          </w:tcPr>
          <w:p w:rsidR="00496E13" w:rsidRDefault="00216BD3" w:rsidP="00AB47F7">
            <w:pPr>
              <w:jc w:val="center"/>
              <w:rPr>
                <w:rFonts w:asciiTheme="minorHAnsi" w:hAnsiTheme="minorHAnsi"/>
              </w:rPr>
            </w:pPr>
            <w:r>
              <w:rPr>
                <w:rFonts w:asciiTheme="minorHAnsi" w:hAnsiTheme="minorHAnsi"/>
              </w:rPr>
              <w:t>1.7%</w:t>
            </w:r>
          </w:p>
        </w:tc>
        <w:tc>
          <w:tcPr>
            <w:tcW w:w="1851" w:type="dxa"/>
            <w:vAlign w:val="center"/>
          </w:tcPr>
          <w:p w:rsidR="00496E13" w:rsidRDefault="00216BD3" w:rsidP="00AB47F7">
            <w:pPr>
              <w:jc w:val="center"/>
              <w:rPr>
                <w:rFonts w:asciiTheme="minorHAnsi" w:hAnsiTheme="minorHAnsi"/>
              </w:rPr>
            </w:pPr>
            <w:r>
              <w:rPr>
                <w:rFonts w:asciiTheme="minorHAnsi" w:hAnsiTheme="minorHAnsi"/>
              </w:rPr>
              <w:t>70.0%</w:t>
            </w:r>
          </w:p>
        </w:tc>
      </w:tr>
      <w:tr w:rsidR="00496E13" w:rsidRPr="005629D9" w:rsidTr="00AB47F7">
        <w:trPr>
          <w:trHeight w:val="405"/>
          <w:jc w:val="center"/>
        </w:trPr>
        <w:tc>
          <w:tcPr>
            <w:tcW w:w="1980" w:type="dxa"/>
            <w:vAlign w:val="center"/>
          </w:tcPr>
          <w:p w:rsidR="00496E13" w:rsidRPr="005629D9" w:rsidRDefault="00496E13" w:rsidP="00AB47F7">
            <w:pPr>
              <w:rPr>
                <w:rFonts w:asciiTheme="minorHAnsi" w:hAnsiTheme="minorHAnsi"/>
              </w:rPr>
            </w:pPr>
            <w:r>
              <w:rPr>
                <w:rFonts w:asciiTheme="minorHAnsi" w:hAnsiTheme="minorHAnsi"/>
              </w:rPr>
              <w:t>Control</w:t>
            </w:r>
          </w:p>
        </w:tc>
        <w:tc>
          <w:tcPr>
            <w:tcW w:w="1850" w:type="dxa"/>
            <w:shd w:val="clear" w:color="auto" w:fill="auto"/>
            <w:vAlign w:val="center"/>
          </w:tcPr>
          <w:p w:rsidR="00496E13" w:rsidRPr="005629D9" w:rsidRDefault="00216BD3" w:rsidP="00AB47F7">
            <w:pPr>
              <w:jc w:val="center"/>
              <w:rPr>
                <w:rFonts w:asciiTheme="minorHAnsi" w:hAnsiTheme="minorHAnsi"/>
              </w:rPr>
            </w:pPr>
            <w:r>
              <w:rPr>
                <w:rFonts w:asciiTheme="minorHAnsi" w:hAnsiTheme="minorHAnsi"/>
              </w:rPr>
              <w:t>43.2%</w:t>
            </w:r>
          </w:p>
        </w:tc>
        <w:tc>
          <w:tcPr>
            <w:tcW w:w="1851" w:type="dxa"/>
            <w:vAlign w:val="center"/>
          </w:tcPr>
          <w:p w:rsidR="00496E13" w:rsidRDefault="00216BD3" w:rsidP="00AB47F7">
            <w:pPr>
              <w:jc w:val="center"/>
              <w:rPr>
                <w:rFonts w:asciiTheme="minorHAnsi" w:hAnsiTheme="minorHAnsi"/>
              </w:rPr>
            </w:pPr>
            <w:r>
              <w:rPr>
                <w:rFonts w:asciiTheme="minorHAnsi" w:hAnsiTheme="minorHAnsi"/>
              </w:rPr>
              <w:t>5.4%</w:t>
            </w:r>
          </w:p>
        </w:tc>
        <w:tc>
          <w:tcPr>
            <w:tcW w:w="1851" w:type="dxa"/>
            <w:vAlign w:val="center"/>
          </w:tcPr>
          <w:p w:rsidR="00496E13" w:rsidRDefault="00216BD3" w:rsidP="00AB47F7">
            <w:pPr>
              <w:jc w:val="center"/>
              <w:rPr>
                <w:rFonts w:asciiTheme="minorHAnsi" w:hAnsiTheme="minorHAnsi"/>
              </w:rPr>
            </w:pPr>
            <w:r>
              <w:rPr>
                <w:rFonts w:asciiTheme="minorHAnsi" w:hAnsiTheme="minorHAnsi"/>
              </w:rPr>
              <w:t>51.4%</w:t>
            </w:r>
          </w:p>
        </w:tc>
      </w:tr>
      <w:tr w:rsidR="00496E13" w:rsidRPr="005629D9" w:rsidTr="00AB47F7">
        <w:trPr>
          <w:trHeight w:val="405"/>
          <w:jc w:val="center"/>
        </w:trPr>
        <w:tc>
          <w:tcPr>
            <w:tcW w:w="1980" w:type="dxa"/>
            <w:shd w:val="clear" w:color="auto" w:fill="E7E6E6" w:themeFill="background2"/>
            <w:vAlign w:val="center"/>
          </w:tcPr>
          <w:p w:rsidR="00496E13" w:rsidRPr="005629D9" w:rsidRDefault="00496E13" w:rsidP="00AB47F7">
            <w:pPr>
              <w:rPr>
                <w:rFonts w:asciiTheme="minorHAnsi" w:hAnsiTheme="minorHAnsi"/>
                <w:b/>
              </w:rPr>
            </w:pPr>
            <w:r>
              <w:rPr>
                <w:rFonts w:asciiTheme="minorHAnsi" w:hAnsiTheme="minorHAnsi"/>
                <w:b/>
              </w:rPr>
              <w:t>OVERALL</w:t>
            </w:r>
          </w:p>
        </w:tc>
        <w:tc>
          <w:tcPr>
            <w:tcW w:w="1850" w:type="dxa"/>
            <w:shd w:val="clear" w:color="auto" w:fill="E7E6E6" w:themeFill="background2"/>
            <w:vAlign w:val="center"/>
          </w:tcPr>
          <w:p w:rsidR="00496E13" w:rsidRPr="005629D9" w:rsidRDefault="00216BD3" w:rsidP="00AB47F7">
            <w:pPr>
              <w:jc w:val="center"/>
              <w:rPr>
                <w:rFonts w:asciiTheme="minorHAnsi" w:hAnsiTheme="minorHAnsi"/>
                <w:b/>
              </w:rPr>
            </w:pPr>
            <w:r>
              <w:rPr>
                <w:rFonts w:asciiTheme="minorHAnsi" w:hAnsiTheme="minorHAnsi"/>
                <w:b/>
              </w:rPr>
              <w:t>28.3%</w:t>
            </w:r>
          </w:p>
        </w:tc>
        <w:tc>
          <w:tcPr>
            <w:tcW w:w="1851" w:type="dxa"/>
            <w:shd w:val="clear" w:color="auto" w:fill="E7E6E6" w:themeFill="background2"/>
            <w:vAlign w:val="center"/>
          </w:tcPr>
          <w:p w:rsidR="00496E13" w:rsidRDefault="00216BD3" w:rsidP="00AB47F7">
            <w:pPr>
              <w:jc w:val="center"/>
              <w:rPr>
                <w:rFonts w:asciiTheme="minorHAnsi" w:hAnsiTheme="minorHAnsi"/>
                <w:b/>
              </w:rPr>
            </w:pPr>
            <w:r>
              <w:rPr>
                <w:rFonts w:asciiTheme="minorHAnsi" w:hAnsiTheme="minorHAnsi"/>
                <w:b/>
              </w:rPr>
              <w:t>1.1%</w:t>
            </w:r>
          </w:p>
        </w:tc>
        <w:tc>
          <w:tcPr>
            <w:tcW w:w="1851" w:type="dxa"/>
            <w:shd w:val="clear" w:color="auto" w:fill="E7E6E6" w:themeFill="background2"/>
            <w:vAlign w:val="center"/>
          </w:tcPr>
          <w:p w:rsidR="00496E13" w:rsidRDefault="00216BD3" w:rsidP="00AB47F7">
            <w:pPr>
              <w:jc w:val="center"/>
              <w:rPr>
                <w:rFonts w:asciiTheme="minorHAnsi" w:hAnsiTheme="minorHAnsi"/>
                <w:b/>
              </w:rPr>
            </w:pPr>
            <w:r>
              <w:rPr>
                <w:rFonts w:asciiTheme="minorHAnsi" w:hAnsiTheme="minorHAnsi"/>
                <w:b/>
              </w:rPr>
              <w:t>70.6%</w:t>
            </w:r>
          </w:p>
        </w:tc>
      </w:tr>
    </w:tbl>
    <w:p w:rsidR="00496E13" w:rsidRDefault="00496E13" w:rsidP="008C28CF">
      <w:pPr>
        <w:pStyle w:val="ListParagraph"/>
        <w:ind w:left="360"/>
        <w:jc w:val="both"/>
      </w:pPr>
    </w:p>
    <w:p w:rsidR="000517B6" w:rsidRDefault="000517B6" w:rsidP="000517B6">
      <w:pPr>
        <w:pStyle w:val="ListParagraph"/>
        <w:ind w:left="360"/>
        <w:jc w:val="both"/>
      </w:pPr>
    </w:p>
    <w:p w:rsidR="00B00B66" w:rsidRDefault="00B00B66" w:rsidP="000517B6">
      <w:pPr>
        <w:pStyle w:val="ListParagraph"/>
        <w:ind w:left="360"/>
        <w:jc w:val="both"/>
      </w:pPr>
    </w:p>
    <w:p w:rsidR="000517B6" w:rsidRDefault="000517B6" w:rsidP="000517B6">
      <w:pPr>
        <w:pStyle w:val="ListParagraph"/>
        <w:ind w:left="360"/>
        <w:jc w:val="both"/>
      </w:pPr>
      <w:r>
        <w:lastRenderedPageBreak/>
        <w:t xml:space="preserve">National figures have been available since 2011 and have shown the proportion of firefighters that stated they were gay, lesbian or bisexual has been 3 per cent in each year between 2011 and 2017. The figures for Fire Control and Support Staff were also 3 per cent over this time (Source: Fire and Rescue Workforce and Pensions Statistics: England, April 2017 to March 2018).  </w:t>
      </w:r>
    </w:p>
    <w:p w:rsidR="000517B6" w:rsidRDefault="000517B6" w:rsidP="000517B6">
      <w:pPr>
        <w:pStyle w:val="ListParagraph"/>
        <w:ind w:left="360"/>
        <w:jc w:val="both"/>
      </w:pPr>
    </w:p>
    <w:p w:rsidR="000517B6" w:rsidRPr="00542D12" w:rsidRDefault="000517B6" w:rsidP="000517B6">
      <w:pPr>
        <w:pStyle w:val="ListParagraph"/>
        <w:ind w:left="360"/>
        <w:jc w:val="both"/>
      </w:pPr>
      <w:r>
        <w:t>There is no data on sexual orientation within the local community as the Office of National Statistics concluded that it would not include sexual orientation in the 2011 UK Census.</w:t>
      </w:r>
    </w:p>
    <w:p w:rsidR="00542D12" w:rsidRPr="002F7488" w:rsidRDefault="00542D12" w:rsidP="008C28CF">
      <w:pPr>
        <w:pStyle w:val="ListParagraph"/>
        <w:ind w:left="360"/>
        <w:jc w:val="both"/>
        <w:rPr>
          <w:b/>
        </w:rPr>
      </w:pPr>
    </w:p>
    <w:p w:rsidR="00A924A7" w:rsidRDefault="00A924A7" w:rsidP="008C28CF">
      <w:pPr>
        <w:pStyle w:val="ListParagraph"/>
        <w:numPr>
          <w:ilvl w:val="1"/>
          <w:numId w:val="24"/>
        </w:numPr>
        <w:jc w:val="both"/>
        <w:rPr>
          <w:b/>
        </w:rPr>
      </w:pPr>
      <w:r w:rsidRPr="002F7488">
        <w:rPr>
          <w:b/>
        </w:rPr>
        <w:t>Workforce joiner diversity</w:t>
      </w:r>
    </w:p>
    <w:p w:rsidR="00542D12" w:rsidRDefault="00542D12" w:rsidP="008C28CF">
      <w:pPr>
        <w:ind w:left="360"/>
        <w:jc w:val="both"/>
        <w:rPr>
          <w:b/>
        </w:rPr>
      </w:pPr>
    </w:p>
    <w:p w:rsidR="00542D12" w:rsidRPr="00542D12" w:rsidRDefault="008C28CF" w:rsidP="008C28CF">
      <w:pPr>
        <w:ind w:left="360"/>
        <w:jc w:val="both"/>
      </w:pPr>
      <w:r>
        <w:t xml:space="preserve">This year for the second time, the Home Office collected information on the diversity of those joining FRSs. Last year this was a voluntary collection but it was mandatory in 2017/18.  The proportion of women, staff from an ethnic minority and younger staff within new joiners in 2017/18 was greater than from within existing numbers of firefighters. The proportion of firefighters who were women and staff from an ethnic minority was greater than in the previous year (Source: Fire and </w:t>
      </w:r>
      <w:r w:rsidR="0068186F">
        <w:t>Rescue Workforce and P</w:t>
      </w:r>
      <w:r>
        <w:t xml:space="preserve">ensions </w:t>
      </w:r>
      <w:r w:rsidR="0068186F">
        <w:t>S</w:t>
      </w:r>
      <w:r>
        <w:t>tatistics: England, April 2017 to March 2018).</w:t>
      </w:r>
      <w:r w:rsidR="003D25F3">
        <w:t xml:space="preserve">  </w:t>
      </w:r>
    </w:p>
    <w:p w:rsidR="00A924A7" w:rsidRDefault="00A924A7" w:rsidP="008C28CF">
      <w:pPr>
        <w:pStyle w:val="ListParagraph"/>
        <w:ind w:left="360"/>
        <w:jc w:val="both"/>
      </w:pPr>
    </w:p>
    <w:p w:rsidR="009F1E5C" w:rsidRDefault="009F1E5C" w:rsidP="008C28CF">
      <w:pPr>
        <w:pStyle w:val="ListParagraph"/>
        <w:ind w:left="360"/>
        <w:jc w:val="both"/>
      </w:pPr>
      <w:r>
        <w:t xml:space="preserve">The recruitment campaign and attraction strategy used during the 2018 </w:t>
      </w:r>
      <w:proofErr w:type="spellStart"/>
      <w:r>
        <w:t>Wholetime</w:t>
      </w:r>
      <w:proofErr w:type="spellEnd"/>
      <w:r>
        <w:t xml:space="preserve"> Recruitment process was designed to recruit firefighters from a diverse range of backgrounds with the personal qualities, skills and attributes needed to become competent firefighters. The actions we took were cognisant of the Local Government Association (LGA) memorandum of understanding in January 2017 on equality, diversity, behaviours and organisational culture in the fire service. </w:t>
      </w:r>
      <w:r w:rsidR="003D25F3">
        <w:t xml:space="preserve">During 2018, 3.7 per cent of new firefighters were </w:t>
      </w:r>
      <w:r w:rsidR="00B55DA6">
        <w:t>women.</w:t>
      </w:r>
    </w:p>
    <w:p w:rsidR="00E57150" w:rsidRDefault="00E57150" w:rsidP="008C28CF">
      <w:pPr>
        <w:pStyle w:val="ListParagraph"/>
        <w:ind w:left="360"/>
        <w:jc w:val="both"/>
      </w:pPr>
    </w:p>
    <w:p w:rsidR="00E57150" w:rsidRPr="00A924A7" w:rsidRDefault="00E57150" w:rsidP="008C28CF">
      <w:pPr>
        <w:pStyle w:val="ListParagraph"/>
        <w:ind w:left="360"/>
        <w:jc w:val="both"/>
      </w:pPr>
      <w:r>
        <w:t>Table 8 below shows the workforce joiner gender for each employee group.</w:t>
      </w:r>
    </w:p>
    <w:p w:rsidR="002C6E58" w:rsidRDefault="002C6E58" w:rsidP="008C28CF">
      <w:pPr>
        <w:jc w:val="both"/>
      </w:pPr>
    </w:p>
    <w:p w:rsidR="00496E13" w:rsidRDefault="00496E13" w:rsidP="008C28CF">
      <w:pPr>
        <w:jc w:val="both"/>
      </w:pPr>
    </w:p>
    <w:tbl>
      <w:tblPr>
        <w:tblStyle w:val="TableGrid"/>
        <w:tblW w:w="7366" w:type="dxa"/>
        <w:jc w:val="center"/>
        <w:tblLayout w:type="fixed"/>
        <w:tblLook w:val="04A0" w:firstRow="1" w:lastRow="0" w:firstColumn="1" w:lastColumn="0" w:noHBand="0" w:noVBand="1"/>
      </w:tblPr>
      <w:tblGrid>
        <w:gridCol w:w="1838"/>
        <w:gridCol w:w="2764"/>
        <w:gridCol w:w="2764"/>
      </w:tblGrid>
      <w:tr w:rsidR="00496E13" w:rsidRPr="005629D9" w:rsidTr="00AB47F7">
        <w:trPr>
          <w:trHeight w:val="510"/>
          <w:jc w:val="center"/>
        </w:trPr>
        <w:tc>
          <w:tcPr>
            <w:tcW w:w="7366" w:type="dxa"/>
            <w:gridSpan w:val="3"/>
            <w:shd w:val="clear" w:color="auto" w:fill="0070C0"/>
            <w:vAlign w:val="center"/>
          </w:tcPr>
          <w:p w:rsidR="00496E13" w:rsidRDefault="00496E13" w:rsidP="00896F67">
            <w:pPr>
              <w:jc w:val="center"/>
              <w:rPr>
                <w:rFonts w:asciiTheme="minorHAnsi" w:hAnsiTheme="minorHAnsi"/>
                <w:b/>
                <w:color w:val="FFFFFF" w:themeColor="background1"/>
              </w:rPr>
            </w:pPr>
            <w:r>
              <w:rPr>
                <w:rFonts w:asciiTheme="minorHAnsi" w:hAnsiTheme="minorHAnsi"/>
                <w:b/>
                <w:color w:val="FFFFFF" w:themeColor="background1"/>
              </w:rPr>
              <w:t>Table 8: Workforce Joiner Gender</w:t>
            </w:r>
          </w:p>
        </w:tc>
      </w:tr>
      <w:tr w:rsidR="00496E13" w:rsidRPr="005629D9" w:rsidTr="00AB47F7">
        <w:trPr>
          <w:trHeight w:val="385"/>
          <w:jc w:val="center"/>
        </w:trPr>
        <w:tc>
          <w:tcPr>
            <w:tcW w:w="1838" w:type="dxa"/>
            <w:shd w:val="clear" w:color="auto" w:fill="0070C0"/>
            <w:vAlign w:val="center"/>
          </w:tcPr>
          <w:p w:rsidR="00496E13" w:rsidRDefault="00496E13" w:rsidP="00AB47F7">
            <w:pPr>
              <w:jc w:val="center"/>
              <w:rPr>
                <w:rFonts w:asciiTheme="minorHAnsi" w:hAnsiTheme="minorHAnsi"/>
              </w:rPr>
            </w:pPr>
            <w:r>
              <w:rPr>
                <w:rFonts w:asciiTheme="minorHAnsi" w:hAnsiTheme="minorHAnsi"/>
                <w:b/>
                <w:color w:val="FFFFFF" w:themeColor="background1"/>
              </w:rPr>
              <w:t>Employee Group</w:t>
            </w:r>
          </w:p>
        </w:tc>
        <w:tc>
          <w:tcPr>
            <w:tcW w:w="2764" w:type="dxa"/>
            <w:shd w:val="clear" w:color="auto" w:fill="0070C0"/>
            <w:vAlign w:val="center"/>
          </w:tcPr>
          <w:p w:rsidR="00496E13" w:rsidRDefault="00496E13" w:rsidP="00AB47F7">
            <w:pPr>
              <w:jc w:val="center"/>
              <w:rPr>
                <w:rFonts w:asciiTheme="minorHAnsi" w:hAnsiTheme="minorHAnsi"/>
              </w:rPr>
            </w:pPr>
            <w:r>
              <w:rPr>
                <w:rFonts w:asciiTheme="minorHAnsi" w:hAnsiTheme="minorHAnsi"/>
                <w:b/>
                <w:color w:val="FFFFFF" w:themeColor="background1"/>
              </w:rPr>
              <w:t>Male</w:t>
            </w:r>
          </w:p>
        </w:tc>
        <w:tc>
          <w:tcPr>
            <w:tcW w:w="2764" w:type="dxa"/>
            <w:shd w:val="clear" w:color="auto" w:fill="0070C0"/>
            <w:vAlign w:val="center"/>
          </w:tcPr>
          <w:p w:rsidR="00496E13" w:rsidRDefault="00496E13" w:rsidP="00AB47F7">
            <w:pPr>
              <w:jc w:val="center"/>
              <w:rPr>
                <w:rFonts w:asciiTheme="minorHAnsi" w:hAnsiTheme="minorHAnsi"/>
              </w:rPr>
            </w:pPr>
            <w:r>
              <w:rPr>
                <w:rFonts w:asciiTheme="minorHAnsi" w:hAnsiTheme="minorHAnsi"/>
                <w:b/>
                <w:color w:val="FFFFFF" w:themeColor="background1"/>
              </w:rPr>
              <w:t>Female</w:t>
            </w:r>
          </w:p>
        </w:tc>
      </w:tr>
      <w:tr w:rsidR="00496E13" w:rsidRPr="005629D9" w:rsidTr="00AB47F7">
        <w:trPr>
          <w:trHeight w:val="385"/>
          <w:jc w:val="center"/>
        </w:trPr>
        <w:tc>
          <w:tcPr>
            <w:tcW w:w="1838" w:type="dxa"/>
            <w:vAlign w:val="center"/>
          </w:tcPr>
          <w:p w:rsidR="00496E13" w:rsidRPr="005629D9" w:rsidRDefault="00496E13" w:rsidP="00AB47F7">
            <w:pPr>
              <w:rPr>
                <w:rFonts w:asciiTheme="minorHAnsi" w:hAnsiTheme="minorHAnsi"/>
              </w:rPr>
            </w:pPr>
            <w:proofErr w:type="spellStart"/>
            <w:r>
              <w:rPr>
                <w:rFonts w:asciiTheme="minorHAnsi" w:hAnsiTheme="minorHAnsi"/>
              </w:rPr>
              <w:t>Wholetime</w:t>
            </w:r>
            <w:proofErr w:type="spellEnd"/>
          </w:p>
        </w:tc>
        <w:tc>
          <w:tcPr>
            <w:tcW w:w="2764" w:type="dxa"/>
            <w:shd w:val="clear" w:color="auto" w:fill="auto"/>
            <w:vAlign w:val="center"/>
          </w:tcPr>
          <w:p w:rsidR="00496E13" w:rsidRPr="005629D9" w:rsidRDefault="009F38CF" w:rsidP="00AB47F7">
            <w:pPr>
              <w:jc w:val="center"/>
              <w:rPr>
                <w:rFonts w:asciiTheme="minorHAnsi" w:hAnsiTheme="minorHAnsi"/>
              </w:rPr>
            </w:pPr>
            <w:r>
              <w:rPr>
                <w:rFonts w:asciiTheme="minorHAnsi" w:hAnsiTheme="minorHAnsi"/>
              </w:rPr>
              <w:t>95.2%</w:t>
            </w:r>
          </w:p>
        </w:tc>
        <w:tc>
          <w:tcPr>
            <w:tcW w:w="2764" w:type="dxa"/>
            <w:vAlign w:val="center"/>
          </w:tcPr>
          <w:p w:rsidR="00496E13" w:rsidRDefault="009F38CF" w:rsidP="00AB47F7">
            <w:pPr>
              <w:jc w:val="center"/>
              <w:rPr>
                <w:rFonts w:asciiTheme="minorHAnsi" w:hAnsiTheme="minorHAnsi"/>
              </w:rPr>
            </w:pPr>
            <w:r>
              <w:rPr>
                <w:rFonts w:asciiTheme="minorHAnsi" w:hAnsiTheme="minorHAnsi"/>
              </w:rPr>
              <w:t>4.8%</w:t>
            </w:r>
          </w:p>
        </w:tc>
      </w:tr>
      <w:tr w:rsidR="00496E13" w:rsidRPr="005629D9" w:rsidTr="00AB47F7">
        <w:trPr>
          <w:trHeight w:val="385"/>
          <w:jc w:val="center"/>
        </w:trPr>
        <w:tc>
          <w:tcPr>
            <w:tcW w:w="1838" w:type="dxa"/>
            <w:vAlign w:val="center"/>
          </w:tcPr>
          <w:p w:rsidR="00496E13" w:rsidRPr="005629D9" w:rsidRDefault="00496E13" w:rsidP="00AB47F7">
            <w:pPr>
              <w:rPr>
                <w:rFonts w:asciiTheme="minorHAnsi" w:hAnsiTheme="minorHAnsi"/>
              </w:rPr>
            </w:pPr>
            <w:r>
              <w:rPr>
                <w:rFonts w:asciiTheme="minorHAnsi" w:hAnsiTheme="minorHAnsi"/>
              </w:rPr>
              <w:t>On-Call</w:t>
            </w:r>
          </w:p>
        </w:tc>
        <w:tc>
          <w:tcPr>
            <w:tcW w:w="2764" w:type="dxa"/>
            <w:shd w:val="clear" w:color="auto" w:fill="auto"/>
            <w:vAlign w:val="center"/>
          </w:tcPr>
          <w:p w:rsidR="00496E13" w:rsidRPr="005629D9" w:rsidRDefault="009F38CF" w:rsidP="00AB47F7">
            <w:pPr>
              <w:jc w:val="center"/>
              <w:rPr>
                <w:rFonts w:asciiTheme="minorHAnsi" w:hAnsiTheme="minorHAnsi"/>
              </w:rPr>
            </w:pPr>
            <w:r>
              <w:rPr>
                <w:rFonts w:asciiTheme="minorHAnsi" w:hAnsiTheme="minorHAnsi"/>
              </w:rPr>
              <w:t>97.3%</w:t>
            </w:r>
          </w:p>
        </w:tc>
        <w:tc>
          <w:tcPr>
            <w:tcW w:w="2764" w:type="dxa"/>
            <w:vAlign w:val="center"/>
          </w:tcPr>
          <w:p w:rsidR="00496E13" w:rsidRDefault="009F38CF" w:rsidP="00AB47F7">
            <w:pPr>
              <w:jc w:val="center"/>
              <w:rPr>
                <w:rFonts w:asciiTheme="minorHAnsi" w:hAnsiTheme="minorHAnsi"/>
              </w:rPr>
            </w:pPr>
            <w:r>
              <w:rPr>
                <w:rFonts w:asciiTheme="minorHAnsi" w:hAnsiTheme="minorHAnsi"/>
              </w:rPr>
              <w:t>2.7%</w:t>
            </w:r>
          </w:p>
        </w:tc>
      </w:tr>
      <w:tr w:rsidR="00496E13" w:rsidRPr="005629D9" w:rsidTr="00AB47F7">
        <w:trPr>
          <w:trHeight w:val="385"/>
          <w:jc w:val="center"/>
        </w:trPr>
        <w:tc>
          <w:tcPr>
            <w:tcW w:w="1838" w:type="dxa"/>
            <w:vAlign w:val="center"/>
          </w:tcPr>
          <w:p w:rsidR="00496E13" w:rsidRPr="005629D9" w:rsidRDefault="00496E13" w:rsidP="00AB47F7">
            <w:pPr>
              <w:rPr>
                <w:rFonts w:asciiTheme="minorHAnsi" w:hAnsiTheme="minorHAnsi"/>
              </w:rPr>
            </w:pPr>
            <w:r>
              <w:rPr>
                <w:rFonts w:asciiTheme="minorHAnsi" w:hAnsiTheme="minorHAnsi"/>
              </w:rPr>
              <w:t>Support</w:t>
            </w:r>
          </w:p>
        </w:tc>
        <w:tc>
          <w:tcPr>
            <w:tcW w:w="2764" w:type="dxa"/>
            <w:shd w:val="clear" w:color="auto" w:fill="auto"/>
            <w:vAlign w:val="center"/>
          </w:tcPr>
          <w:p w:rsidR="00496E13" w:rsidRPr="005629D9" w:rsidRDefault="009F38CF" w:rsidP="00AB47F7">
            <w:pPr>
              <w:jc w:val="center"/>
              <w:rPr>
                <w:rFonts w:asciiTheme="minorHAnsi" w:hAnsiTheme="minorHAnsi"/>
              </w:rPr>
            </w:pPr>
            <w:r>
              <w:rPr>
                <w:rFonts w:asciiTheme="minorHAnsi" w:hAnsiTheme="minorHAnsi"/>
              </w:rPr>
              <w:t>42.0%</w:t>
            </w:r>
          </w:p>
        </w:tc>
        <w:tc>
          <w:tcPr>
            <w:tcW w:w="2764" w:type="dxa"/>
            <w:vAlign w:val="center"/>
          </w:tcPr>
          <w:p w:rsidR="00496E13" w:rsidRDefault="009F38CF" w:rsidP="00AB47F7">
            <w:pPr>
              <w:jc w:val="center"/>
              <w:rPr>
                <w:rFonts w:asciiTheme="minorHAnsi" w:hAnsiTheme="minorHAnsi"/>
              </w:rPr>
            </w:pPr>
            <w:r>
              <w:rPr>
                <w:rFonts w:asciiTheme="minorHAnsi" w:hAnsiTheme="minorHAnsi"/>
              </w:rPr>
              <w:t>58.0%</w:t>
            </w:r>
          </w:p>
        </w:tc>
      </w:tr>
      <w:tr w:rsidR="00496E13" w:rsidRPr="005629D9" w:rsidTr="00AB47F7">
        <w:trPr>
          <w:trHeight w:val="385"/>
          <w:jc w:val="center"/>
        </w:trPr>
        <w:tc>
          <w:tcPr>
            <w:tcW w:w="1838" w:type="dxa"/>
            <w:vAlign w:val="center"/>
          </w:tcPr>
          <w:p w:rsidR="00496E13" w:rsidRPr="005629D9" w:rsidRDefault="00496E13" w:rsidP="00AB47F7">
            <w:pPr>
              <w:rPr>
                <w:rFonts w:asciiTheme="minorHAnsi" w:hAnsiTheme="minorHAnsi"/>
              </w:rPr>
            </w:pPr>
            <w:r>
              <w:rPr>
                <w:rFonts w:asciiTheme="minorHAnsi" w:hAnsiTheme="minorHAnsi"/>
              </w:rPr>
              <w:t>Control</w:t>
            </w:r>
          </w:p>
        </w:tc>
        <w:tc>
          <w:tcPr>
            <w:tcW w:w="2764" w:type="dxa"/>
            <w:shd w:val="clear" w:color="auto" w:fill="auto"/>
            <w:vAlign w:val="center"/>
          </w:tcPr>
          <w:p w:rsidR="00496E13" w:rsidRPr="005629D9" w:rsidRDefault="009F38CF" w:rsidP="00AB47F7">
            <w:pPr>
              <w:jc w:val="center"/>
              <w:rPr>
                <w:rFonts w:asciiTheme="minorHAnsi" w:hAnsiTheme="minorHAnsi"/>
              </w:rPr>
            </w:pPr>
            <w:r>
              <w:rPr>
                <w:rFonts w:asciiTheme="minorHAnsi" w:hAnsiTheme="minorHAnsi"/>
              </w:rPr>
              <w:t>0.0%</w:t>
            </w:r>
          </w:p>
        </w:tc>
        <w:tc>
          <w:tcPr>
            <w:tcW w:w="2764" w:type="dxa"/>
            <w:vAlign w:val="center"/>
          </w:tcPr>
          <w:p w:rsidR="00496E13" w:rsidRDefault="009F38CF" w:rsidP="00AB47F7">
            <w:pPr>
              <w:jc w:val="center"/>
              <w:rPr>
                <w:rFonts w:asciiTheme="minorHAnsi" w:hAnsiTheme="minorHAnsi"/>
              </w:rPr>
            </w:pPr>
            <w:r>
              <w:rPr>
                <w:rFonts w:asciiTheme="minorHAnsi" w:hAnsiTheme="minorHAnsi"/>
              </w:rPr>
              <w:t>100%</w:t>
            </w:r>
          </w:p>
        </w:tc>
      </w:tr>
      <w:tr w:rsidR="00496E13" w:rsidRPr="005629D9" w:rsidTr="00AB47F7">
        <w:trPr>
          <w:trHeight w:val="385"/>
          <w:jc w:val="center"/>
        </w:trPr>
        <w:tc>
          <w:tcPr>
            <w:tcW w:w="1838" w:type="dxa"/>
            <w:shd w:val="clear" w:color="auto" w:fill="E7E6E6" w:themeFill="background2"/>
            <w:vAlign w:val="center"/>
          </w:tcPr>
          <w:p w:rsidR="00496E13" w:rsidRPr="005629D9" w:rsidRDefault="00496E13" w:rsidP="00AB47F7">
            <w:pPr>
              <w:rPr>
                <w:rFonts w:asciiTheme="minorHAnsi" w:hAnsiTheme="minorHAnsi"/>
                <w:b/>
              </w:rPr>
            </w:pPr>
            <w:r>
              <w:rPr>
                <w:rFonts w:asciiTheme="minorHAnsi" w:hAnsiTheme="minorHAnsi"/>
                <w:b/>
              </w:rPr>
              <w:t>OVERALL</w:t>
            </w:r>
          </w:p>
        </w:tc>
        <w:tc>
          <w:tcPr>
            <w:tcW w:w="2764" w:type="dxa"/>
            <w:shd w:val="clear" w:color="auto" w:fill="E7E6E6" w:themeFill="background2"/>
            <w:vAlign w:val="center"/>
          </w:tcPr>
          <w:p w:rsidR="00496E13" w:rsidRPr="005629D9" w:rsidRDefault="009F38CF" w:rsidP="00AB47F7">
            <w:pPr>
              <w:jc w:val="center"/>
              <w:rPr>
                <w:rFonts w:asciiTheme="minorHAnsi" w:hAnsiTheme="minorHAnsi"/>
                <w:b/>
              </w:rPr>
            </w:pPr>
            <w:r>
              <w:rPr>
                <w:rFonts w:asciiTheme="minorHAnsi" w:hAnsiTheme="minorHAnsi"/>
                <w:b/>
              </w:rPr>
              <w:t>80.3%</w:t>
            </w:r>
          </w:p>
        </w:tc>
        <w:tc>
          <w:tcPr>
            <w:tcW w:w="2764" w:type="dxa"/>
            <w:shd w:val="clear" w:color="auto" w:fill="E7E6E6" w:themeFill="background2"/>
            <w:vAlign w:val="center"/>
          </w:tcPr>
          <w:p w:rsidR="00496E13" w:rsidRDefault="009F38CF" w:rsidP="00AB47F7">
            <w:pPr>
              <w:jc w:val="center"/>
              <w:rPr>
                <w:rFonts w:asciiTheme="minorHAnsi" w:hAnsiTheme="minorHAnsi"/>
                <w:b/>
              </w:rPr>
            </w:pPr>
            <w:r>
              <w:rPr>
                <w:rFonts w:asciiTheme="minorHAnsi" w:hAnsiTheme="minorHAnsi"/>
                <w:b/>
              </w:rPr>
              <w:t>19.7%</w:t>
            </w:r>
          </w:p>
        </w:tc>
      </w:tr>
    </w:tbl>
    <w:p w:rsidR="00496E13" w:rsidRDefault="00496E13" w:rsidP="008C28CF">
      <w:pPr>
        <w:jc w:val="both"/>
      </w:pPr>
    </w:p>
    <w:p w:rsidR="00E57150" w:rsidRDefault="00E57150" w:rsidP="008C28CF">
      <w:pPr>
        <w:jc w:val="both"/>
      </w:pPr>
    </w:p>
    <w:p w:rsidR="00B35FC7" w:rsidRDefault="00B35FC7" w:rsidP="00B35FC7">
      <w:pPr>
        <w:jc w:val="both"/>
      </w:pPr>
      <w:r>
        <w:t>During 2018, 8.0 per cent of all new joiners wer</w:t>
      </w:r>
      <w:r w:rsidR="00F96788">
        <w:t>e from an ethnic minority group compared with 1.2 per cent during 2017. Table 9 provides a breakdown of workforce joiner ethnicity.</w:t>
      </w:r>
    </w:p>
    <w:p w:rsidR="00B35FC7" w:rsidRDefault="00B35FC7" w:rsidP="008C28CF">
      <w:pPr>
        <w:jc w:val="both"/>
      </w:pPr>
    </w:p>
    <w:p w:rsidR="00E57150" w:rsidRDefault="00E57150" w:rsidP="008C28CF">
      <w:pPr>
        <w:jc w:val="both"/>
      </w:pPr>
    </w:p>
    <w:p w:rsidR="00E57150" w:rsidRDefault="00E57150" w:rsidP="008C28CF">
      <w:pPr>
        <w:jc w:val="both"/>
      </w:pPr>
    </w:p>
    <w:p w:rsidR="00E57150" w:rsidRDefault="00E57150" w:rsidP="008C28CF">
      <w:pPr>
        <w:jc w:val="both"/>
      </w:pPr>
    </w:p>
    <w:p w:rsidR="00E57150" w:rsidRDefault="00E57150" w:rsidP="008C28CF">
      <w:pPr>
        <w:jc w:val="both"/>
      </w:pPr>
    </w:p>
    <w:tbl>
      <w:tblPr>
        <w:tblStyle w:val="TableGrid"/>
        <w:tblW w:w="7532" w:type="dxa"/>
        <w:jc w:val="center"/>
        <w:tblLayout w:type="fixed"/>
        <w:tblLook w:val="04A0" w:firstRow="1" w:lastRow="0" w:firstColumn="1" w:lastColumn="0" w:noHBand="0" w:noVBand="1"/>
      </w:tblPr>
      <w:tblGrid>
        <w:gridCol w:w="1980"/>
        <w:gridCol w:w="1850"/>
        <w:gridCol w:w="1851"/>
        <w:gridCol w:w="1851"/>
      </w:tblGrid>
      <w:tr w:rsidR="00AB47F7" w:rsidRPr="005629D9" w:rsidTr="00AB47F7">
        <w:trPr>
          <w:trHeight w:val="510"/>
          <w:jc w:val="center"/>
        </w:trPr>
        <w:tc>
          <w:tcPr>
            <w:tcW w:w="7532" w:type="dxa"/>
            <w:gridSpan w:val="4"/>
            <w:shd w:val="clear" w:color="auto" w:fill="0070C0"/>
            <w:vAlign w:val="center"/>
          </w:tcPr>
          <w:p w:rsidR="00AB47F7" w:rsidRDefault="00AB47F7" w:rsidP="00AB47F7">
            <w:pPr>
              <w:jc w:val="center"/>
              <w:rPr>
                <w:rFonts w:asciiTheme="minorHAnsi" w:hAnsiTheme="minorHAnsi"/>
                <w:b/>
                <w:color w:val="FFFFFF" w:themeColor="background1"/>
              </w:rPr>
            </w:pPr>
            <w:r>
              <w:rPr>
                <w:rFonts w:asciiTheme="minorHAnsi" w:hAnsiTheme="minorHAnsi"/>
                <w:b/>
                <w:color w:val="FFFFFF" w:themeColor="background1"/>
              </w:rPr>
              <w:lastRenderedPageBreak/>
              <w:t>Table 9: Workforce Joiner Ethnicity</w:t>
            </w:r>
          </w:p>
        </w:tc>
      </w:tr>
      <w:tr w:rsidR="00AB47F7" w:rsidRPr="005629D9" w:rsidTr="00AB47F7">
        <w:trPr>
          <w:trHeight w:val="405"/>
          <w:jc w:val="center"/>
        </w:trPr>
        <w:tc>
          <w:tcPr>
            <w:tcW w:w="1980" w:type="dxa"/>
            <w:shd w:val="clear" w:color="auto" w:fill="0070C0"/>
            <w:vAlign w:val="center"/>
          </w:tcPr>
          <w:p w:rsidR="00AB47F7" w:rsidRDefault="00AB47F7" w:rsidP="00AB47F7">
            <w:pPr>
              <w:jc w:val="center"/>
              <w:rPr>
                <w:rFonts w:asciiTheme="minorHAnsi" w:hAnsiTheme="minorHAnsi"/>
                <w:b/>
                <w:color w:val="FFFFFF" w:themeColor="background1"/>
              </w:rPr>
            </w:pPr>
            <w:r w:rsidRPr="00764CC1">
              <w:rPr>
                <w:rFonts w:asciiTheme="minorHAnsi" w:hAnsiTheme="minorHAnsi"/>
                <w:b/>
                <w:color w:val="FFFFFF" w:themeColor="background1"/>
              </w:rPr>
              <w:t>Employee</w:t>
            </w:r>
          </w:p>
          <w:p w:rsidR="00AB47F7" w:rsidRPr="00764CC1" w:rsidRDefault="00AB47F7" w:rsidP="00AB47F7">
            <w:pPr>
              <w:jc w:val="center"/>
              <w:rPr>
                <w:rFonts w:asciiTheme="minorHAnsi" w:hAnsiTheme="minorHAnsi"/>
                <w:b/>
              </w:rPr>
            </w:pPr>
            <w:r w:rsidRPr="00764CC1">
              <w:rPr>
                <w:rFonts w:asciiTheme="minorHAnsi" w:hAnsiTheme="minorHAnsi"/>
                <w:b/>
                <w:color w:val="FFFFFF" w:themeColor="background1"/>
              </w:rPr>
              <w:t>Group</w:t>
            </w:r>
          </w:p>
        </w:tc>
        <w:tc>
          <w:tcPr>
            <w:tcW w:w="1850" w:type="dxa"/>
            <w:shd w:val="clear" w:color="auto" w:fill="0070C0"/>
            <w:vAlign w:val="center"/>
          </w:tcPr>
          <w:p w:rsidR="00AB47F7" w:rsidRDefault="00AB47F7" w:rsidP="00AB47F7">
            <w:pPr>
              <w:jc w:val="center"/>
              <w:rPr>
                <w:rFonts w:asciiTheme="minorHAnsi" w:hAnsiTheme="minorHAnsi"/>
              </w:rPr>
            </w:pPr>
            <w:r>
              <w:rPr>
                <w:rFonts w:asciiTheme="minorHAnsi" w:hAnsiTheme="minorHAnsi"/>
                <w:b/>
                <w:color w:val="FFFFFF" w:themeColor="background1"/>
              </w:rPr>
              <w:t>White British</w:t>
            </w:r>
          </w:p>
        </w:tc>
        <w:tc>
          <w:tcPr>
            <w:tcW w:w="1851" w:type="dxa"/>
            <w:shd w:val="clear" w:color="auto" w:fill="0070C0"/>
            <w:vAlign w:val="center"/>
          </w:tcPr>
          <w:p w:rsidR="00AB47F7" w:rsidRDefault="00AB47F7" w:rsidP="00AB47F7">
            <w:pPr>
              <w:jc w:val="center"/>
              <w:rPr>
                <w:rFonts w:asciiTheme="minorHAnsi" w:hAnsiTheme="minorHAnsi"/>
              </w:rPr>
            </w:pPr>
            <w:r>
              <w:rPr>
                <w:rFonts w:asciiTheme="minorHAnsi" w:hAnsiTheme="minorHAnsi"/>
                <w:b/>
                <w:color w:val="FFFFFF" w:themeColor="background1"/>
              </w:rPr>
              <w:t>Other</w:t>
            </w:r>
          </w:p>
        </w:tc>
        <w:tc>
          <w:tcPr>
            <w:tcW w:w="1851" w:type="dxa"/>
            <w:shd w:val="clear" w:color="auto" w:fill="0070C0"/>
            <w:vAlign w:val="center"/>
          </w:tcPr>
          <w:p w:rsidR="00AB47F7" w:rsidRDefault="00AB47F7" w:rsidP="00AB47F7">
            <w:pPr>
              <w:jc w:val="center"/>
              <w:rPr>
                <w:rFonts w:asciiTheme="minorHAnsi" w:hAnsiTheme="minorHAnsi"/>
                <w:b/>
                <w:color w:val="FFFFFF" w:themeColor="background1"/>
              </w:rPr>
            </w:pPr>
            <w:r>
              <w:rPr>
                <w:rFonts w:asciiTheme="minorHAnsi" w:hAnsiTheme="minorHAnsi"/>
                <w:b/>
                <w:color w:val="FFFFFF" w:themeColor="background1"/>
              </w:rPr>
              <w:t>Not Recorded</w:t>
            </w:r>
          </w:p>
        </w:tc>
      </w:tr>
      <w:tr w:rsidR="00AB47F7" w:rsidRPr="005629D9" w:rsidTr="00AB47F7">
        <w:trPr>
          <w:trHeight w:val="405"/>
          <w:jc w:val="center"/>
        </w:trPr>
        <w:tc>
          <w:tcPr>
            <w:tcW w:w="1980" w:type="dxa"/>
            <w:vAlign w:val="center"/>
          </w:tcPr>
          <w:p w:rsidR="00AB47F7" w:rsidRPr="005629D9" w:rsidRDefault="00AB47F7" w:rsidP="00AB47F7">
            <w:pPr>
              <w:rPr>
                <w:rFonts w:asciiTheme="minorHAnsi" w:hAnsiTheme="minorHAnsi"/>
              </w:rPr>
            </w:pPr>
            <w:proofErr w:type="spellStart"/>
            <w:r>
              <w:rPr>
                <w:rFonts w:asciiTheme="minorHAnsi" w:hAnsiTheme="minorHAnsi"/>
              </w:rPr>
              <w:t>Wholetime</w:t>
            </w:r>
            <w:proofErr w:type="spellEnd"/>
          </w:p>
        </w:tc>
        <w:tc>
          <w:tcPr>
            <w:tcW w:w="1850" w:type="dxa"/>
            <w:shd w:val="clear" w:color="auto" w:fill="auto"/>
            <w:vAlign w:val="center"/>
          </w:tcPr>
          <w:p w:rsidR="00AB47F7" w:rsidRPr="005629D9" w:rsidRDefault="00B648E0" w:rsidP="00AB47F7">
            <w:pPr>
              <w:jc w:val="center"/>
              <w:rPr>
                <w:rFonts w:asciiTheme="minorHAnsi" w:hAnsiTheme="minorHAnsi"/>
              </w:rPr>
            </w:pPr>
            <w:r>
              <w:rPr>
                <w:rFonts w:asciiTheme="minorHAnsi" w:hAnsiTheme="minorHAnsi"/>
              </w:rPr>
              <w:t>74.2%</w:t>
            </w:r>
          </w:p>
        </w:tc>
        <w:tc>
          <w:tcPr>
            <w:tcW w:w="1851" w:type="dxa"/>
            <w:vAlign w:val="center"/>
          </w:tcPr>
          <w:p w:rsidR="00AB47F7" w:rsidRDefault="00B648E0" w:rsidP="00AB47F7">
            <w:pPr>
              <w:jc w:val="center"/>
              <w:rPr>
                <w:rFonts w:asciiTheme="minorHAnsi" w:hAnsiTheme="minorHAnsi"/>
              </w:rPr>
            </w:pPr>
            <w:r>
              <w:rPr>
                <w:rFonts w:asciiTheme="minorHAnsi" w:hAnsiTheme="minorHAnsi"/>
              </w:rPr>
              <w:t>3.2%</w:t>
            </w:r>
          </w:p>
        </w:tc>
        <w:tc>
          <w:tcPr>
            <w:tcW w:w="1851" w:type="dxa"/>
            <w:vAlign w:val="center"/>
          </w:tcPr>
          <w:p w:rsidR="00AB47F7" w:rsidRDefault="00B648E0" w:rsidP="00AB47F7">
            <w:pPr>
              <w:jc w:val="center"/>
              <w:rPr>
                <w:rFonts w:asciiTheme="minorHAnsi" w:hAnsiTheme="minorHAnsi"/>
              </w:rPr>
            </w:pPr>
            <w:r>
              <w:rPr>
                <w:rFonts w:asciiTheme="minorHAnsi" w:hAnsiTheme="minorHAnsi"/>
              </w:rPr>
              <w:t>22.6%</w:t>
            </w:r>
          </w:p>
        </w:tc>
      </w:tr>
      <w:tr w:rsidR="00AB47F7" w:rsidRPr="005629D9" w:rsidTr="00AB47F7">
        <w:trPr>
          <w:trHeight w:val="405"/>
          <w:jc w:val="center"/>
        </w:trPr>
        <w:tc>
          <w:tcPr>
            <w:tcW w:w="1980" w:type="dxa"/>
            <w:vAlign w:val="center"/>
          </w:tcPr>
          <w:p w:rsidR="00AB47F7" w:rsidRPr="005629D9" w:rsidRDefault="00AB47F7" w:rsidP="00AB47F7">
            <w:pPr>
              <w:rPr>
                <w:rFonts w:asciiTheme="minorHAnsi" w:hAnsiTheme="minorHAnsi"/>
              </w:rPr>
            </w:pPr>
            <w:r>
              <w:rPr>
                <w:rFonts w:asciiTheme="minorHAnsi" w:hAnsiTheme="minorHAnsi"/>
              </w:rPr>
              <w:t>On-Call</w:t>
            </w:r>
          </w:p>
        </w:tc>
        <w:tc>
          <w:tcPr>
            <w:tcW w:w="1850" w:type="dxa"/>
            <w:shd w:val="clear" w:color="auto" w:fill="auto"/>
            <w:vAlign w:val="center"/>
          </w:tcPr>
          <w:p w:rsidR="00AB47F7" w:rsidRPr="005629D9" w:rsidRDefault="00B648E0" w:rsidP="00AB47F7">
            <w:pPr>
              <w:jc w:val="center"/>
              <w:rPr>
                <w:rFonts w:asciiTheme="minorHAnsi" w:hAnsiTheme="minorHAnsi"/>
              </w:rPr>
            </w:pPr>
            <w:r>
              <w:rPr>
                <w:rFonts w:asciiTheme="minorHAnsi" w:hAnsiTheme="minorHAnsi"/>
              </w:rPr>
              <w:t>26.0%</w:t>
            </w:r>
          </w:p>
        </w:tc>
        <w:tc>
          <w:tcPr>
            <w:tcW w:w="1851" w:type="dxa"/>
            <w:vAlign w:val="center"/>
          </w:tcPr>
          <w:p w:rsidR="00AB47F7" w:rsidRDefault="00B648E0" w:rsidP="00AB47F7">
            <w:pPr>
              <w:jc w:val="center"/>
              <w:rPr>
                <w:rFonts w:asciiTheme="minorHAnsi" w:hAnsiTheme="minorHAnsi"/>
              </w:rPr>
            </w:pPr>
            <w:r>
              <w:rPr>
                <w:rFonts w:asciiTheme="minorHAnsi" w:hAnsiTheme="minorHAnsi"/>
              </w:rPr>
              <w:t>12.3%</w:t>
            </w:r>
          </w:p>
        </w:tc>
        <w:tc>
          <w:tcPr>
            <w:tcW w:w="1851" w:type="dxa"/>
            <w:vAlign w:val="center"/>
          </w:tcPr>
          <w:p w:rsidR="00AB47F7" w:rsidRDefault="00B648E0" w:rsidP="00AB47F7">
            <w:pPr>
              <w:jc w:val="center"/>
              <w:rPr>
                <w:rFonts w:asciiTheme="minorHAnsi" w:hAnsiTheme="minorHAnsi"/>
              </w:rPr>
            </w:pPr>
            <w:r>
              <w:rPr>
                <w:rFonts w:asciiTheme="minorHAnsi" w:hAnsiTheme="minorHAnsi"/>
              </w:rPr>
              <w:t>61.6%</w:t>
            </w:r>
          </w:p>
        </w:tc>
      </w:tr>
      <w:tr w:rsidR="00AB47F7" w:rsidRPr="005629D9" w:rsidTr="00AB47F7">
        <w:trPr>
          <w:trHeight w:val="405"/>
          <w:jc w:val="center"/>
        </w:trPr>
        <w:tc>
          <w:tcPr>
            <w:tcW w:w="1980" w:type="dxa"/>
            <w:vAlign w:val="center"/>
          </w:tcPr>
          <w:p w:rsidR="00AB47F7" w:rsidRPr="005629D9" w:rsidRDefault="00AB47F7" w:rsidP="00AB47F7">
            <w:pPr>
              <w:rPr>
                <w:rFonts w:asciiTheme="minorHAnsi" w:hAnsiTheme="minorHAnsi"/>
              </w:rPr>
            </w:pPr>
            <w:r>
              <w:rPr>
                <w:rFonts w:asciiTheme="minorHAnsi" w:hAnsiTheme="minorHAnsi"/>
              </w:rPr>
              <w:t>Support</w:t>
            </w:r>
          </w:p>
        </w:tc>
        <w:tc>
          <w:tcPr>
            <w:tcW w:w="1850" w:type="dxa"/>
            <w:shd w:val="clear" w:color="auto" w:fill="auto"/>
            <w:vAlign w:val="center"/>
          </w:tcPr>
          <w:p w:rsidR="00AB47F7" w:rsidRPr="005629D9" w:rsidRDefault="00B648E0" w:rsidP="00AB47F7">
            <w:pPr>
              <w:jc w:val="center"/>
              <w:rPr>
                <w:rFonts w:asciiTheme="minorHAnsi" w:hAnsiTheme="minorHAnsi"/>
              </w:rPr>
            </w:pPr>
            <w:r>
              <w:rPr>
                <w:rFonts w:asciiTheme="minorHAnsi" w:hAnsiTheme="minorHAnsi"/>
              </w:rPr>
              <w:t>48.0%</w:t>
            </w:r>
          </w:p>
        </w:tc>
        <w:tc>
          <w:tcPr>
            <w:tcW w:w="1851" w:type="dxa"/>
            <w:vAlign w:val="center"/>
          </w:tcPr>
          <w:p w:rsidR="00AB47F7" w:rsidRDefault="00B648E0" w:rsidP="00AB47F7">
            <w:pPr>
              <w:jc w:val="center"/>
              <w:rPr>
                <w:rFonts w:asciiTheme="minorHAnsi" w:hAnsiTheme="minorHAnsi"/>
              </w:rPr>
            </w:pPr>
            <w:r>
              <w:rPr>
                <w:rFonts w:asciiTheme="minorHAnsi" w:hAnsiTheme="minorHAnsi"/>
              </w:rPr>
              <w:t>8.0%</w:t>
            </w:r>
          </w:p>
        </w:tc>
        <w:tc>
          <w:tcPr>
            <w:tcW w:w="1851" w:type="dxa"/>
            <w:vAlign w:val="center"/>
          </w:tcPr>
          <w:p w:rsidR="00AB47F7" w:rsidRDefault="00B648E0" w:rsidP="00AB47F7">
            <w:pPr>
              <w:jc w:val="center"/>
              <w:rPr>
                <w:rFonts w:asciiTheme="minorHAnsi" w:hAnsiTheme="minorHAnsi"/>
              </w:rPr>
            </w:pPr>
            <w:r>
              <w:rPr>
                <w:rFonts w:asciiTheme="minorHAnsi" w:hAnsiTheme="minorHAnsi"/>
              </w:rPr>
              <w:t>44.0%</w:t>
            </w:r>
          </w:p>
        </w:tc>
      </w:tr>
      <w:tr w:rsidR="00AB47F7" w:rsidRPr="005629D9" w:rsidTr="00AB47F7">
        <w:trPr>
          <w:trHeight w:val="405"/>
          <w:jc w:val="center"/>
        </w:trPr>
        <w:tc>
          <w:tcPr>
            <w:tcW w:w="1980" w:type="dxa"/>
            <w:vAlign w:val="center"/>
          </w:tcPr>
          <w:p w:rsidR="00AB47F7" w:rsidRPr="005629D9" w:rsidRDefault="00AB47F7" w:rsidP="00AB47F7">
            <w:pPr>
              <w:rPr>
                <w:rFonts w:asciiTheme="minorHAnsi" w:hAnsiTheme="minorHAnsi"/>
              </w:rPr>
            </w:pPr>
            <w:r>
              <w:rPr>
                <w:rFonts w:asciiTheme="minorHAnsi" w:hAnsiTheme="minorHAnsi"/>
              </w:rPr>
              <w:t>Control</w:t>
            </w:r>
          </w:p>
        </w:tc>
        <w:tc>
          <w:tcPr>
            <w:tcW w:w="1850" w:type="dxa"/>
            <w:shd w:val="clear" w:color="auto" w:fill="auto"/>
            <w:vAlign w:val="center"/>
          </w:tcPr>
          <w:p w:rsidR="00AB47F7" w:rsidRPr="005629D9" w:rsidRDefault="00B648E0" w:rsidP="00AB47F7">
            <w:pPr>
              <w:jc w:val="center"/>
              <w:rPr>
                <w:rFonts w:asciiTheme="minorHAnsi" w:hAnsiTheme="minorHAnsi"/>
              </w:rPr>
            </w:pPr>
            <w:r>
              <w:rPr>
                <w:rFonts w:asciiTheme="minorHAnsi" w:hAnsiTheme="minorHAnsi"/>
              </w:rPr>
              <w:t>66.7%</w:t>
            </w:r>
          </w:p>
        </w:tc>
        <w:tc>
          <w:tcPr>
            <w:tcW w:w="1851" w:type="dxa"/>
            <w:vAlign w:val="center"/>
          </w:tcPr>
          <w:p w:rsidR="00AB47F7" w:rsidRDefault="00B648E0" w:rsidP="00AB47F7">
            <w:pPr>
              <w:jc w:val="center"/>
              <w:rPr>
                <w:rFonts w:asciiTheme="minorHAnsi" w:hAnsiTheme="minorHAnsi"/>
              </w:rPr>
            </w:pPr>
            <w:r>
              <w:rPr>
                <w:rFonts w:asciiTheme="minorHAnsi" w:hAnsiTheme="minorHAnsi"/>
              </w:rPr>
              <w:t>0.0%</w:t>
            </w:r>
          </w:p>
        </w:tc>
        <w:tc>
          <w:tcPr>
            <w:tcW w:w="1851" w:type="dxa"/>
            <w:vAlign w:val="center"/>
          </w:tcPr>
          <w:p w:rsidR="00AB47F7" w:rsidRDefault="00B648E0" w:rsidP="00AB47F7">
            <w:pPr>
              <w:jc w:val="center"/>
              <w:rPr>
                <w:rFonts w:asciiTheme="minorHAnsi" w:hAnsiTheme="minorHAnsi"/>
              </w:rPr>
            </w:pPr>
            <w:r>
              <w:rPr>
                <w:rFonts w:asciiTheme="minorHAnsi" w:hAnsiTheme="minorHAnsi"/>
              </w:rPr>
              <w:t>33.3%</w:t>
            </w:r>
          </w:p>
        </w:tc>
      </w:tr>
      <w:tr w:rsidR="00AB47F7" w:rsidRPr="005629D9" w:rsidTr="00AB47F7">
        <w:trPr>
          <w:trHeight w:val="405"/>
          <w:jc w:val="center"/>
        </w:trPr>
        <w:tc>
          <w:tcPr>
            <w:tcW w:w="1980" w:type="dxa"/>
            <w:shd w:val="clear" w:color="auto" w:fill="E7E6E6" w:themeFill="background2"/>
            <w:vAlign w:val="center"/>
          </w:tcPr>
          <w:p w:rsidR="00AB47F7" w:rsidRPr="005629D9" w:rsidRDefault="00AB47F7" w:rsidP="00AB47F7">
            <w:pPr>
              <w:rPr>
                <w:rFonts w:asciiTheme="minorHAnsi" w:hAnsiTheme="minorHAnsi"/>
                <w:b/>
              </w:rPr>
            </w:pPr>
            <w:r>
              <w:rPr>
                <w:rFonts w:asciiTheme="minorHAnsi" w:hAnsiTheme="minorHAnsi"/>
                <w:b/>
              </w:rPr>
              <w:t>OVERALL</w:t>
            </w:r>
          </w:p>
        </w:tc>
        <w:tc>
          <w:tcPr>
            <w:tcW w:w="1850" w:type="dxa"/>
            <w:shd w:val="clear" w:color="auto" w:fill="E7E6E6" w:themeFill="background2"/>
            <w:vAlign w:val="center"/>
          </w:tcPr>
          <w:p w:rsidR="00AB47F7" w:rsidRPr="005629D9" w:rsidRDefault="00B648E0" w:rsidP="00AB47F7">
            <w:pPr>
              <w:jc w:val="center"/>
              <w:rPr>
                <w:rFonts w:asciiTheme="minorHAnsi" w:hAnsiTheme="minorHAnsi"/>
                <w:b/>
              </w:rPr>
            </w:pPr>
            <w:r>
              <w:rPr>
                <w:rFonts w:asciiTheme="minorHAnsi" w:hAnsiTheme="minorHAnsi"/>
                <w:b/>
              </w:rPr>
              <w:t>48.4%</w:t>
            </w:r>
          </w:p>
        </w:tc>
        <w:tc>
          <w:tcPr>
            <w:tcW w:w="1851" w:type="dxa"/>
            <w:shd w:val="clear" w:color="auto" w:fill="E7E6E6" w:themeFill="background2"/>
            <w:vAlign w:val="center"/>
          </w:tcPr>
          <w:p w:rsidR="00AB47F7" w:rsidRDefault="00B648E0" w:rsidP="00AB47F7">
            <w:pPr>
              <w:jc w:val="center"/>
              <w:rPr>
                <w:rFonts w:asciiTheme="minorHAnsi" w:hAnsiTheme="minorHAnsi"/>
                <w:b/>
              </w:rPr>
            </w:pPr>
            <w:r>
              <w:rPr>
                <w:rFonts w:asciiTheme="minorHAnsi" w:hAnsiTheme="minorHAnsi"/>
                <w:b/>
              </w:rPr>
              <w:t>8.0%</w:t>
            </w:r>
          </w:p>
        </w:tc>
        <w:tc>
          <w:tcPr>
            <w:tcW w:w="1851" w:type="dxa"/>
            <w:shd w:val="clear" w:color="auto" w:fill="E7E6E6" w:themeFill="background2"/>
            <w:vAlign w:val="center"/>
          </w:tcPr>
          <w:p w:rsidR="00AB47F7" w:rsidRDefault="00B648E0" w:rsidP="00AB47F7">
            <w:pPr>
              <w:jc w:val="center"/>
              <w:rPr>
                <w:rFonts w:asciiTheme="minorHAnsi" w:hAnsiTheme="minorHAnsi"/>
                <w:b/>
              </w:rPr>
            </w:pPr>
            <w:r>
              <w:rPr>
                <w:rFonts w:asciiTheme="minorHAnsi" w:hAnsiTheme="minorHAnsi"/>
                <w:b/>
              </w:rPr>
              <w:t>43.6%</w:t>
            </w:r>
          </w:p>
        </w:tc>
      </w:tr>
    </w:tbl>
    <w:p w:rsidR="00045516" w:rsidRDefault="00045516" w:rsidP="008C28CF">
      <w:pPr>
        <w:jc w:val="both"/>
      </w:pPr>
    </w:p>
    <w:p w:rsidR="00AB47F7" w:rsidRPr="00B648E0" w:rsidRDefault="00B648E0" w:rsidP="008C28CF">
      <w:pPr>
        <w:jc w:val="both"/>
        <w:rPr>
          <w:color w:val="FF0000"/>
        </w:rPr>
      </w:pPr>
      <w:r w:rsidRPr="00B063B7">
        <w:t>Note: The figure for “Other” includes individuals whose response was “not stated”.</w:t>
      </w:r>
    </w:p>
    <w:p w:rsidR="00AB47F7" w:rsidRDefault="00AB47F7" w:rsidP="008C28CF">
      <w:pPr>
        <w:jc w:val="both"/>
      </w:pPr>
    </w:p>
    <w:p w:rsidR="00B063B7" w:rsidRPr="00542D12" w:rsidRDefault="00657E3C" w:rsidP="00B063B7">
      <w:pPr>
        <w:ind w:left="360"/>
        <w:jc w:val="both"/>
      </w:pPr>
      <w:r>
        <w:t>During 2017/18, 74 per cent of new firefighters were 35 or under, this is greater than the 27 per cent of all firefighters that were 35 or under and the same as is 2016/17</w:t>
      </w:r>
      <w:r w:rsidR="00B063B7">
        <w:t xml:space="preserve"> (Source: Fire and Rescue Workforce and Pensions Statistics: England, April 2017 to March 2018).  The Services data for workforce joiner age distribution shows that across </w:t>
      </w:r>
      <w:proofErr w:type="spellStart"/>
      <w:r w:rsidR="00B063B7">
        <w:t>Wholetime</w:t>
      </w:r>
      <w:proofErr w:type="spellEnd"/>
      <w:r w:rsidR="00B063B7">
        <w:t xml:space="preserve"> and On-Call the average age group is 25-35, this </w:t>
      </w:r>
      <w:r>
        <w:t xml:space="preserve">is greater than the 46-55 majority age group for all </w:t>
      </w:r>
      <w:proofErr w:type="spellStart"/>
      <w:r>
        <w:t>Wholetime</w:t>
      </w:r>
      <w:proofErr w:type="spellEnd"/>
      <w:r>
        <w:t xml:space="preserve"> firefighters. This </w:t>
      </w:r>
      <w:r w:rsidR="00B063B7">
        <w:t xml:space="preserve">difference may be reflective of the 2018 </w:t>
      </w:r>
      <w:proofErr w:type="spellStart"/>
      <w:r w:rsidR="00B063B7">
        <w:t>Wholetime</w:t>
      </w:r>
      <w:proofErr w:type="spellEnd"/>
      <w:r w:rsidR="00B063B7">
        <w:t xml:space="preserve"> recruitment campaign.</w:t>
      </w:r>
    </w:p>
    <w:p w:rsidR="00B063B7" w:rsidRDefault="00B063B7" w:rsidP="008C28CF">
      <w:pPr>
        <w:jc w:val="both"/>
      </w:pPr>
    </w:p>
    <w:tbl>
      <w:tblPr>
        <w:tblStyle w:val="TableGrid"/>
        <w:tblW w:w="8834" w:type="dxa"/>
        <w:jc w:val="center"/>
        <w:tblLayout w:type="fixed"/>
        <w:tblLook w:val="04A0" w:firstRow="1" w:lastRow="0" w:firstColumn="1" w:lastColumn="0" w:noHBand="0" w:noVBand="1"/>
      </w:tblPr>
      <w:tblGrid>
        <w:gridCol w:w="1556"/>
        <w:gridCol w:w="1453"/>
        <w:gridCol w:w="1454"/>
        <w:gridCol w:w="1454"/>
        <w:gridCol w:w="1454"/>
        <w:gridCol w:w="1463"/>
      </w:tblGrid>
      <w:tr w:rsidR="000D0E30" w:rsidRPr="005629D9" w:rsidTr="000D0E30">
        <w:trPr>
          <w:trHeight w:val="503"/>
          <w:jc w:val="center"/>
        </w:trPr>
        <w:tc>
          <w:tcPr>
            <w:tcW w:w="8834" w:type="dxa"/>
            <w:gridSpan w:val="6"/>
            <w:shd w:val="clear" w:color="auto" w:fill="0070C0"/>
            <w:vAlign w:val="center"/>
          </w:tcPr>
          <w:p w:rsidR="000D0E30" w:rsidRDefault="000D0E30" w:rsidP="000D0E30">
            <w:pPr>
              <w:jc w:val="center"/>
              <w:rPr>
                <w:rFonts w:asciiTheme="minorHAnsi" w:hAnsiTheme="minorHAnsi"/>
                <w:b/>
                <w:color w:val="FFFFFF" w:themeColor="background1"/>
              </w:rPr>
            </w:pPr>
            <w:r>
              <w:rPr>
                <w:rFonts w:asciiTheme="minorHAnsi" w:hAnsiTheme="minorHAnsi"/>
                <w:b/>
                <w:color w:val="FFFFFF" w:themeColor="background1"/>
              </w:rPr>
              <w:t>Table 10: Workforce Joiner Age Distribution</w:t>
            </w:r>
          </w:p>
        </w:tc>
      </w:tr>
      <w:tr w:rsidR="00AB47F7" w:rsidRPr="005629D9" w:rsidTr="000D0E30">
        <w:trPr>
          <w:trHeight w:val="400"/>
          <w:jc w:val="center"/>
        </w:trPr>
        <w:tc>
          <w:tcPr>
            <w:tcW w:w="1556" w:type="dxa"/>
            <w:shd w:val="clear" w:color="auto" w:fill="0070C0"/>
            <w:vAlign w:val="center"/>
          </w:tcPr>
          <w:p w:rsidR="00AB47F7" w:rsidRDefault="00AB47F7" w:rsidP="00AB47F7">
            <w:pPr>
              <w:jc w:val="center"/>
              <w:rPr>
                <w:rFonts w:asciiTheme="minorHAnsi" w:hAnsiTheme="minorHAnsi"/>
                <w:b/>
                <w:color w:val="FFFFFF" w:themeColor="background1"/>
              </w:rPr>
            </w:pPr>
            <w:r w:rsidRPr="00764CC1">
              <w:rPr>
                <w:rFonts w:asciiTheme="minorHAnsi" w:hAnsiTheme="minorHAnsi"/>
                <w:b/>
                <w:color w:val="FFFFFF" w:themeColor="background1"/>
              </w:rPr>
              <w:t>Employee</w:t>
            </w:r>
          </w:p>
          <w:p w:rsidR="00AB47F7" w:rsidRPr="00764CC1" w:rsidRDefault="00AB47F7" w:rsidP="00AB47F7">
            <w:pPr>
              <w:jc w:val="center"/>
              <w:rPr>
                <w:rFonts w:asciiTheme="minorHAnsi" w:hAnsiTheme="minorHAnsi"/>
                <w:b/>
              </w:rPr>
            </w:pPr>
            <w:r w:rsidRPr="00764CC1">
              <w:rPr>
                <w:rFonts w:asciiTheme="minorHAnsi" w:hAnsiTheme="minorHAnsi"/>
                <w:b/>
                <w:color w:val="FFFFFF" w:themeColor="background1"/>
              </w:rPr>
              <w:t>Group</w:t>
            </w:r>
          </w:p>
        </w:tc>
        <w:tc>
          <w:tcPr>
            <w:tcW w:w="1453" w:type="dxa"/>
            <w:shd w:val="clear" w:color="auto" w:fill="0070C0"/>
            <w:vAlign w:val="center"/>
          </w:tcPr>
          <w:p w:rsidR="00AB47F7" w:rsidRDefault="00AB47F7" w:rsidP="00AB47F7">
            <w:pPr>
              <w:jc w:val="center"/>
              <w:rPr>
                <w:rFonts w:asciiTheme="minorHAnsi" w:hAnsiTheme="minorHAnsi"/>
              </w:rPr>
            </w:pPr>
            <w:r>
              <w:rPr>
                <w:rFonts w:asciiTheme="minorHAnsi" w:hAnsiTheme="minorHAnsi"/>
                <w:b/>
                <w:color w:val="FFFFFF" w:themeColor="background1"/>
              </w:rPr>
              <w:t>16-24</w:t>
            </w:r>
          </w:p>
        </w:tc>
        <w:tc>
          <w:tcPr>
            <w:tcW w:w="1454" w:type="dxa"/>
            <w:shd w:val="clear" w:color="auto" w:fill="0070C0"/>
            <w:vAlign w:val="center"/>
          </w:tcPr>
          <w:p w:rsidR="00AB47F7" w:rsidRDefault="000D0E30" w:rsidP="00AB47F7">
            <w:pPr>
              <w:jc w:val="center"/>
              <w:rPr>
                <w:rFonts w:asciiTheme="minorHAnsi" w:hAnsiTheme="minorHAnsi"/>
              </w:rPr>
            </w:pPr>
            <w:r>
              <w:rPr>
                <w:rFonts w:asciiTheme="minorHAnsi" w:hAnsiTheme="minorHAnsi"/>
                <w:b/>
                <w:color w:val="FFFFFF" w:themeColor="background1"/>
              </w:rPr>
              <w:t>25-35</w:t>
            </w:r>
          </w:p>
        </w:tc>
        <w:tc>
          <w:tcPr>
            <w:tcW w:w="1454" w:type="dxa"/>
            <w:shd w:val="clear" w:color="auto" w:fill="0070C0"/>
            <w:vAlign w:val="center"/>
          </w:tcPr>
          <w:p w:rsidR="00AB47F7" w:rsidRDefault="000D0E30" w:rsidP="00AB47F7">
            <w:pPr>
              <w:jc w:val="center"/>
              <w:rPr>
                <w:rFonts w:asciiTheme="minorHAnsi" w:hAnsiTheme="minorHAnsi"/>
                <w:b/>
                <w:color w:val="FFFFFF" w:themeColor="background1"/>
              </w:rPr>
            </w:pPr>
            <w:r>
              <w:rPr>
                <w:rFonts w:asciiTheme="minorHAnsi" w:hAnsiTheme="minorHAnsi"/>
                <w:b/>
                <w:color w:val="FFFFFF" w:themeColor="background1"/>
              </w:rPr>
              <w:t>36-45</w:t>
            </w:r>
          </w:p>
        </w:tc>
        <w:tc>
          <w:tcPr>
            <w:tcW w:w="1454" w:type="dxa"/>
            <w:shd w:val="clear" w:color="auto" w:fill="0070C0"/>
            <w:vAlign w:val="center"/>
          </w:tcPr>
          <w:p w:rsidR="00AB47F7" w:rsidRDefault="000D0E30" w:rsidP="00AB47F7">
            <w:pPr>
              <w:jc w:val="center"/>
              <w:rPr>
                <w:rFonts w:asciiTheme="minorHAnsi" w:hAnsiTheme="minorHAnsi"/>
                <w:b/>
                <w:color w:val="FFFFFF" w:themeColor="background1"/>
              </w:rPr>
            </w:pPr>
            <w:r>
              <w:rPr>
                <w:rFonts w:asciiTheme="minorHAnsi" w:hAnsiTheme="minorHAnsi"/>
                <w:b/>
                <w:color w:val="FFFFFF" w:themeColor="background1"/>
              </w:rPr>
              <w:t>46-55</w:t>
            </w:r>
          </w:p>
        </w:tc>
        <w:tc>
          <w:tcPr>
            <w:tcW w:w="1463" w:type="dxa"/>
            <w:shd w:val="clear" w:color="auto" w:fill="0070C0"/>
            <w:vAlign w:val="center"/>
          </w:tcPr>
          <w:p w:rsidR="00AB47F7" w:rsidRDefault="000D0E30" w:rsidP="00AB47F7">
            <w:pPr>
              <w:jc w:val="center"/>
              <w:rPr>
                <w:rFonts w:asciiTheme="minorHAnsi" w:hAnsiTheme="minorHAnsi"/>
                <w:b/>
                <w:color w:val="FFFFFF" w:themeColor="background1"/>
              </w:rPr>
            </w:pPr>
            <w:r>
              <w:rPr>
                <w:rFonts w:asciiTheme="minorHAnsi" w:hAnsiTheme="minorHAnsi"/>
                <w:b/>
                <w:color w:val="FFFFFF" w:themeColor="background1"/>
              </w:rPr>
              <w:t>56+</w:t>
            </w:r>
          </w:p>
        </w:tc>
      </w:tr>
      <w:tr w:rsidR="009F6C8A" w:rsidRPr="005629D9" w:rsidTr="00B063B7">
        <w:trPr>
          <w:trHeight w:val="400"/>
          <w:jc w:val="center"/>
        </w:trPr>
        <w:tc>
          <w:tcPr>
            <w:tcW w:w="1556" w:type="dxa"/>
            <w:vAlign w:val="center"/>
          </w:tcPr>
          <w:p w:rsidR="009F6C8A" w:rsidRPr="005629D9" w:rsidRDefault="009F6C8A" w:rsidP="009F6C8A">
            <w:pPr>
              <w:rPr>
                <w:rFonts w:asciiTheme="minorHAnsi" w:hAnsiTheme="minorHAnsi"/>
              </w:rPr>
            </w:pPr>
            <w:proofErr w:type="spellStart"/>
            <w:r>
              <w:rPr>
                <w:rFonts w:asciiTheme="minorHAnsi" w:hAnsiTheme="minorHAnsi"/>
              </w:rPr>
              <w:t>Wholetime</w:t>
            </w:r>
            <w:proofErr w:type="spellEnd"/>
          </w:p>
        </w:tc>
        <w:tc>
          <w:tcPr>
            <w:tcW w:w="1453" w:type="dxa"/>
            <w:shd w:val="clear" w:color="auto" w:fill="auto"/>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9.68%</w:t>
            </w:r>
          </w:p>
        </w:tc>
        <w:tc>
          <w:tcPr>
            <w:tcW w:w="1454" w:type="dxa"/>
            <w:shd w:val="clear" w:color="auto" w:fill="A8D08D" w:themeFill="accent6" w:themeFillTint="99"/>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62.90%</w:t>
            </w:r>
          </w:p>
        </w:tc>
        <w:tc>
          <w:tcPr>
            <w:tcW w:w="1454" w:type="dxa"/>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19.35%</w:t>
            </w:r>
          </w:p>
        </w:tc>
        <w:tc>
          <w:tcPr>
            <w:tcW w:w="1454" w:type="dxa"/>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6.45%</w:t>
            </w:r>
          </w:p>
        </w:tc>
        <w:tc>
          <w:tcPr>
            <w:tcW w:w="1463" w:type="dxa"/>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1.61%</w:t>
            </w:r>
          </w:p>
        </w:tc>
      </w:tr>
      <w:tr w:rsidR="009F6C8A" w:rsidRPr="005629D9" w:rsidTr="00B063B7">
        <w:trPr>
          <w:trHeight w:val="400"/>
          <w:jc w:val="center"/>
        </w:trPr>
        <w:tc>
          <w:tcPr>
            <w:tcW w:w="1556" w:type="dxa"/>
            <w:vAlign w:val="center"/>
          </w:tcPr>
          <w:p w:rsidR="009F6C8A" w:rsidRPr="005629D9" w:rsidRDefault="009F6C8A" w:rsidP="009F6C8A">
            <w:pPr>
              <w:rPr>
                <w:rFonts w:asciiTheme="minorHAnsi" w:hAnsiTheme="minorHAnsi"/>
              </w:rPr>
            </w:pPr>
            <w:r>
              <w:rPr>
                <w:rFonts w:asciiTheme="minorHAnsi" w:hAnsiTheme="minorHAnsi"/>
              </w:rPr>
              <w:t>On-Call</w:t>
            </w:r>
          </w:p>
        </w:tc>
        <w:tc>
          <w:tcPr>
            <w:tcW w:w="1453" w:type="dxa"/>
            <w:shd w:val="clear" w:color="auto" w:fill="auto"/>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23.3%</w:t>
            </w:r>
          </w:p>
        </w:tc>
        <w:tc>
          <w:tcPr>
            <w:tcW w:w="1454" w:type="dxa"/>
            <w:shd w:val="clear" w:color="auto" w:fill="A8D08D" w:themeFill="accent6" w:themeFillTint="99"/>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56.2%</w:t>
            </w:r>
          </w:p>
        </w:tc>
        <w:tc>
          <w:tcPr>
            <w:tcW w:w="1454" w:type="dxa"/>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15.1%</w:t>
            </w:r>
          </w:p>
        </w:tc>
        <w:tc>
          <w:tcPr>
            <w:tcW w:w="1454" w:type="dxa"/>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5.5%</w:t>
            </w:r>
          </w:p>
        </w:tc>
        <w:tc>
          <w:tcPr>
            <w:tcW w:w="1463" w:type="dxa"/>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0.0%</w:t>
            </w:r>
          </w:p>
        </w:tc>
      </w:tr>
      <w:tr w:rsidR="009F6C8A" w:rsidRPr="005629D9" w:rsidTr="00B063B7">
        <w:trPr>
          <w:trHeight w:val="400"/>
          <w:jc w:val="center"/>
        </w:trPr>
        <w:tc>
          <w:tcPr>
            <w:tcW w:w="1556" w:type="dxa"/>
            <w:vAlign w:val="center"/>
          </w:tcPr>
          <w:p w:rsidR="009F6C8A" w:rsidRPr="005629D9" w:rsidRDefault="009F6C8A" w:rsidP="009F6C8A">
            <w:pPr>
              <w:rPr>
                <w:rFonts w:asciiTheme="minorHAnsi" w:hAnsiTheme="minorHAnsi"/>
              </w:rPr>
            </w:pPr>
            <w:r>
              <w:rPr>
                <w:rFonts w:asciiTheme="minorHAnsi" w:hAnsiTheme="minorHAnsi"/>
              </w:rPr>
              <w:t>Support</w:t>
            </w:r>
          </w:p>
        </w:tc>
        <w:tc>
          <w:tcPr>
            <w:tcW w:w="1453" w:type="dxa"/>
            <w:shd w:val="clear" w:color="auto" w:fill="auto"/>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12.0%</w:t>
            </w:r>
          </w:p>
        </w:tc>
        <w:tc>
          <w:tcPr>
            <w:tcW w:w="1454" w:type="dxa"/>
            <w:shd w:val="clear" w:color="auto" w:fill="A8D08D" w:themeFill="accent6" w:themeFillTint="99"/>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26.0%</w:t>
            </w:r>
          </w:p>
        </w:tc>
        <w:tc>
          <w:tcPr>
            <w:tcW w:w="1454" w:type="dxa"/>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22.0%</w:t>
            </w:r>
          </w:p>
        </w:tc>
        <w:tc>
          <w:tcPr>
            <w:tcW w:w="1454" w:type="dxa"/>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32.0%</w:t>
            </w:r>
          </w:p>
        </w:tc>
        <w:tc>
          <w:tcPr>
            <w:tcW w:w="1463" w:type="dxa"/>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8.0%</w:t>
            </w:r>
          </w:p>
        </w:tc>
      </w:tr>
      <w:tr w:rsidR="009F6C8A" w:rsidRPr="005629D9" w:rsidTr="00B063B7">
        <w:trPr>
          <w:trHeight w:val="400"/>
          <w:jc w:val="center"/>
        </w:trPr>
        <w:tc>
          <w:tcPr>
            <w:tcW w:w="1556" w:type="dxa"/>
            <w:vAlign w:val="center"/>
          </w:tcPr>
          <w:p w:rsidR="009F6C8A" w:rsidRPr="005629D9" w:rsidRDefault="009F6C8A" w:rsidP="009F6C8A">
            <w:pPr>
              <w:rPr>
                <w:rFonts w:asciiTheme="minorHAnsi" w:hAnsiTheme="minorHAnsi"/>
              </w:rPr>
            </w:pPr>
            <w:r>
              <w:rPr>
                <w:rFonts w:asciiTheme="minorHAnsi" w:hAnsiTheme="minorHAnsi"/>
              </w:rPr>
              <w:t>Control</w:t>
            </w:r>
          </w:p>
        </w:tc>
        <w:tc>
          <w:tcPr>
            <w:tcW w:w="1453" w:type="dxa"/>
            <w:shd w:val="clear" w:color="auto" w:fill="auto"/>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0.0%</w:t>
            </w:r>
          </w:p>
        </w:tc>
        <w:tc>
          <w:tcPr>
            <w:tcW w:w="1454" w:type="dxa"/>
            <w:shd w:val="clear" w:color="auto" w:fill="A8D08D" w:themeFill="accent6" w:themeFillTint="99"/>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33.3%</w:t>
            </w:r>
          </w:p>
        </w:tc>
        <w:tc>
          <w:tcPr>
            <w:tcW w:w="1454" w:type="dxa"/>
            <w:shd w:val="clear" w:color="auto" w:fill="A8D08D" w:themeFill="accent6" w:themeFillTint="99"/>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33.3%</w:t>
            </w:r>
          </w:p>
        </w:tc>
        <w:tc>
          <w:tcPr>
            <w:tcW w:w="1454" w:type="dxa"/>
            <w:shd w:val="clear" w:color="auto" w:fill="A8D08D" w:themeFill="accent6" w:themeFillTint="99"/>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33.3%</w:t>
            </w:r>
          </w:p>
        </w:tc>
        <w:tc>
          <w:tcPr>
            <w:tcW w:w="1463" w:type="dxa"/>
            <w:vAlign w:val="center"/>
          </w:tcPr>
          <w:p w:rsidR="009F6C8A" w:rsidRPr="00B063B7" w:rsidRDefault="009F6C8A" w:rsidP="009F6C8A">
            <w:pPr>
              <w:jc w:val="center"/>
              <w:rPr>
                <w:rFonts w:asciiTheme="minorHAnsi" w:hAnsiTheme="minorHAnsi"/>
                <w:szCs w:val="22"/>
              </w:rPr>
            </w:pPr>
            <w:r w:rsidRPr="00B063B7">
              <w:rPr>
                <w:rFonts w:asciiTheme="minorHAnsi" w:hAnsiTheme="minorHAnsi"/>
              </w:rPr>
              <w:t>0.0%</w:t>
            </w:r>
          </w:p>
        </w:tc>
      </w:tr>
      <w:tr w:rsidR="009F6C8A" w:rsidRPr="005629D9" w:rsidTr="00B063B7">
        <w:trPr>
          <w:trHeight w:val="400"/>
          <w:jc w:val="center"/>
        </w:trPr>
        <w:tc>
          <w:tcPr>
            <w:tcW w:w="1556" w:type="dxa"/>
            <w:shd w:val="clear" w:color="auto" w:fill="E7E6E6" w:themeFill="background2"/>
            <w:vAlign w:val="center"/>
          </w:tcPr>
          <w:p w:rsidR="009F6C8A" w:rsidRPr="005629D9" w:rsidRDefault="009F6C8A" w:rsidP="009F6C8A">
            <w:pPr>
              <w:rPr>
                <w:rFonts w:asciiTheme="minorHAnsi" w:hAnsiTheme="minorHAnsi"/>
                <w:b/>
              </w:rPr>
            </w:pPr>
            <w:r>
              <w:rPr>
                <w:rFonts w:asciiTheme="minorHAnsi" w:hAnsiTheme="minorHAnsi"/>
                <w:b/>
              </w:rPr>
              <w:t>OVERALL</w:t>
            </w:r>
          </w:p>
        </w:tc>
        <w:tc>
          <w:tcPr>
            <w:tcW w:w="1453" w:type="dxa"/>
            <w:shd w:val="clear" w:color="auto" w:fill="E7E6E6" w:themeFill="background2"/>
            <w:vAlign w:val="center"/>
          </w:tcPr>
          <w:p w:rsidR="009F6C8A" w:rsidRPr="009F6C8A" w:rsidRDefault="009F6C8A" w:rsidP="009F6C8A">
            <w:pPr>
              <w:jc w:val="center"/>
              <w:rPr>
                <w:rFonts w:asciiTheme="minorHAnsi" w:hAnsiTheme="minorHAnsi"/>
                <w:b/>
                <w:szCs w:val="22"/>
              </w:rPr>
            </w:pPr>
            <w:r w:rsidRPr="009F6C8A">
              <w:rPr>
                <w:rFonts w:asciiTheme="minorHAnsi" w:hAnsiTheme="minorHAnsi"/>
                <w:b/>
              </w:rPr>
              <w:t>15.4%</w:t>
            </w:r>
          </w:p>
        </w:tc>
        <w:tc>
          <w:tcPr>
            <w:tcW w:w="1454" w:type="dxa"/>
            <w:shd w:val="clear" w:color="auto" w:fill="A8D08D" w:themeFill="accent6" w:themeFillTint="99"/>
            <w:vAlign w:val="center"/>
          </w:tcPr>
          <w:p w:rsidR="009F6C8A" w:rsidRPr="009F6C8A" w:rsidRDefault="009F6C8A" w:rsidP="009F6C8A">
            <w:pPr>
              <w:jc w:val="center"/>
              <w:rPr>
                <w:rFonts w:asciiTheme="minorHAnsi" w:hAnsiTheme="minorHAnsi"/>
                <w:b/>
                <w:szCs w:val="22"/>
              </w:rPr>
            </w:pPr>
            <w:r w:rsidRPr="009F6C8A">
              <w:rPr>
                <w:rFonts w:asciiTheme="minorHAnsi" w:hAnsiTheme="minorHAnsi"/>
                <w:b/>
              </w:rPr>
              <w:t>50.0%</w:t>
            </w:r>
          </w:p>
        </w:tc>
        <w:tc>
          <w:tcPr>
            <w:tcW w:w="1454" w:type="dxa"/>
            <w:shd w:val="clear" w:color="auto" w:fill="E7E6E6" w:themeFill="background2"/>
            <w:vAlign w:val="center"/>
          </w:tcPr>
          <w:p w:rsidR="009F6C8A" w:rsidRPr="009F6C8A" w:rsidRDefault="009F6C8A" w:rsidP="009F6C8A">
            <w:pPr>
              <w:jc w:val="center"/>
              <w:rPr>
                <w:rFonts w:asciiTheme="minorHAnsi" w:hAnsiTheme="minorHAnsi"/>
                <w:b/>
                <w:szCs w:val="22"/>
              </w:rPr>
            </w:pPr>
            <w:r w:rsidRPr="009F6C8A">
              <w:rPr>
                <w:rFonts w:asciiTheme="minorHAnsi" w:hAnsiTheme="minorHAnsi"/>
                <w:b/>
              </w:rPr>
              <w:t>18.6%</w:t>
            </w:r>
          </w:p>
        </w:tc>
        <w:tc>
          <w:tcPr>
            <w:tcW w:w="1454" w:type="dxa"/>
            <w:shd w:val="clear" w:color="auto" w:fill="E7E6E6" w:themeFill="background2"/>
            <w:vAlign w:val="center"/>
          </w:tcPr>
          <w:p w:rsidR="009F6C8A" w:rsidRPr="009F6C8A" w:rsidRDefault="009F6C8A" w:rsidP="009F6C8A">
            <w:pPr>
              <w:jc w:val="center"/>
              <w:rPr>
                <w:rFonts w:asciiTheme="minorHAnsi" w:hAnsiTheme="minorHAnsi"/>
                <w:b/>
                <w:szCs w:val="22"/>
              </w:rPr>
            </w:pPr>
            <w:r w:rsidRPr="009F6C8A">
              <w:rPr>
                <w:rFonts w:asciiTheme="minorHAnsi" w:hAnsiTheme="minorHAnsi"/>
                <w:b/>
              </w:rPr>
              <w:t>13.3%</w:t>
            </w:r>
          </w:p>
        </w:tc>
        <w:tc>
          <w:tcPr>
            <w:tcW w:w="1463" w:type="dxa"/>
            <w:shd w:val="clear" w:color="auto" w:fill="E7E6E6" w:themeFill="background2"/>
            <w:vAlign w:val="center"/>
          </w:tcPr>
          <w:p w:rsidR="009F6C8A" w:rsidRPr="009F6C8A" w:rsidRDefault="009F6C8A" w:rsidP="009F6C8A">
            <w:pPr>
              <w:jc w:val="center"/>
              <w:rPr>
                <w:rFonts w:asciiTheme="minorHAnsi" w:hAnsiTheme="minorHAnsi"/>
                <w:b/>
                <w:szCs w:val="22"/>
              </w:rPr>
            </w:pPr>
            <w:r w:rsidRPr="009F6C8A">
              <w:rPr>
                <w:rFonts w:asciiTheme="minorHAnsi" w:hAnsiTheme="minorHAnsi"/>
                <w:b/>
              </w:rPr>
              <w:t>2.7%</w:t>
            </w:r>
          </w:p>
        </w:tc>
      </w:tr>
    </w:tbl>
    <w:p w:rsidR="00AB47F7" w:rsidRPr="00A924A7" w:rsidRDefault="00AB47F7" w:rsidP="008C28CF">
      <w:pPr>
        <w:jc w:val="both"/>
      </w:pPr>
    </w:p>
    <w:p w:rsidR="002C6E58" w:rsidRDefault="002C6E58" w:rsidP="008C28CF">
      <w:pPr>
        <w:pStyle w:val="Heading1"/>
        <w:numPr>
          <w:ilvl w:val="0"/>
          <w:numId w:val="24"/>
        </w:numPr>
        <w:spacing w:after="0" w:line="600" w:lineRule="auto"/>
        <w:jc w:val="both"/>
      </w:pPr>
      <w:r>
        <w:t>turnover</w:t>
      </w:r>
    </w:p>
    <w:p w:rsidR="000349EE" w:rsidRDefault="000349EE" w:rsidP="000349EE">
      <w:pPr>
        <w:pStyle w:val="ListParagraph"/>
        <w:ind w:left="360"/>
        <w:jc w:val="both"/>
      </w:pPr>
      <w:r>
        <w:t xml:space="preserve">Employee turnover refers to the proportion of employees who leave an organisation over a set period, expressed as a percentage of total workforce numbers (Chartered Institute of Personnel and Development). The overall total staff turnover figure for 2017 was </w:t>
      </w:r>
      <w:r w:rsidR="007107A6">
        <w:t>8.5</w:t>
      </w:r>
      <w:r>
        <w:t xml:space="preserve"> per cent compared to </w:t>
      </w:r>
      <w:r w:rsidR="007107A6">
        <w:t>13.1</w:t>
      </w:r>
      <w:r w:rsidR="009D0D8B">
        <w:t xml:space="preserve"> </w:t>
      </w:r>
      <w:r>
        <w:t xml:space="preserve">per cent for 2018. Table </w:t>
      </w:r>
      <w:r w:rsidR="007107A6">
        <w:t>11</w:t>
      </w:r>
      <w:r>
        <w:t xml:space="preserve"> below provides the total staff turnover of each staff group.</w:t>
      </w:r>
    </w:p>
    <w:p w:rsidR="000349EE" w:rsidRDefault="000349EE" w:rsidP="000349EE">
      <w:pPr>
        <w:pStyle w:val="ListParagraph"/>
        <w:ind w:left="360"/>
        <w:jc w:val="both"/>
        <w:rPr>
          <w:b/>
        </w:rPr>
      </w:pPr>
    </w:p>
    <w:p w:rsidR="000349EE" w:rsidRDefault="000349EE" w:rsidP="000349EE">
      <w:pPr>
        <w:pStyle w:val="ListParagraph"/>
        <w:ind w:left="360"/>
        <w:jc w:val="both"/>
      </w:pPr>
      <w:r w:rsidRPr="009C2A51">
        <w:t>The over</w:t>
      </w:r>
      <w:r>
        <w:t>all turnover rate for the Service is lower than the average total turnover for public sector services; 10 per cent (</w:t>
      </w:r>
      <w:proofErr w:type="spellStart"/>
      <w:r>
        <w:t>XpertHR</w:t>
      </w:r>
      <w:proofErr w:type="spellEnd"/>
      <w:r>
        <w:t>) down on 2017 figure of 14.7 per cent.</w:t>
      </w:r>
    </w:p>
    <w:p w:rsidR="007107A6" w:rsidRDefault="007107A6" w:rsidP="001921F5">
      <w:pPr>
        <w:jc w:val="both"/>
        <w:rPr>
          <w:color w:val="FF0000"/>
        </w:rPr>
      </w:pPr>
    </w:p>
    <w:p w:rsidR="00E57150" w:rsidRDefault="00E57150" w:rsidP="001921F5">
      <w:pPr>
        <w:jc w:val="both"/>
        <w:rPr>
          <w:color w:val="FF0000"/>
        </w:rPr>
      </w:pPr>
    </w:p>
    <w:p w:rsidR="00E57150" w:rsidRDefault="00E57150" w:rsidP="001921F5">
      <w:pPr>
        <w:jc w:val="both"/>
        <w:rPr>
          <w:color w:val="FF0000"/>
        </w:rPr>
      </w:pPr>
    </w:p>
    <w:p w:rsidR="00E57150" w:rsidRPr="001921F5" w:rsidRDefault="00E57150" w:rsidP="001921F5">
      <w:pPr>
        <w:jc w:val="both"/>
        <w:rPr>
          <w:color w:val="FF0000"/>
        </w:rPr>
      </w:pPr>
    </w:p>
    <w:p w:rsidR="000349EE" w:rsidRDefault="000349EE" w:rsidP="008C28CF">
      <w:pPr>
        <w:ind w:left="360"/>
        <w:jc w:val="both"/>
      </w:pPr>
    </w:p>
    <w:tbl>
      <w:tblPr>
        <w:tblStyle w:val="TableGrid"/>
        <w:tblW w:w="7366" w:type="dxa"/>
        <w:jc w:val="center"/>
        <w:tblLayout w:type="fixed"/>
        <w:tblLook w:val="04A0" w:firstRow="1" w:lastRow="0" w:firstColumn="1" w:lastColumn="0" w:noHBand="0" w:noVBand="1"/>
      </w:tblPr>
      <w:tblGrid>
        <w:gridCol w:w="1838"/>
        <w:gridCol w:w="2764"/>
        <w:gridCol w:w="2764"/>
      </w:tblGrid>
      <w:tr w:rsidR="00D87EAF" w:rsidRPr="005629D9" w:rsidTr="000361FA">
        <w:trPr>
          <w:trHeight w:val="510"/>
          <w:jc w:val="center"/>
        </w:trPr>
        <w:tc>
          <w:tcPr>
            <w:tcW w:w="7366" w:type="dxa"/>
            <w:gridSpan w:val="3"/>
            <w:shd w:val="clear" w:color="auto" w:fill="0070C0"/>
            <w:vAlign w:val="center"/>
          </w:tcPr>
          <w:p w:rsidR="00D87EAF" w:rsidRDefault="00D87EAF" w:rsidP="00D87EAF">
            <w:pPr>
              <w:jc w:val="center"/>
              <w:rPr>
                <w:rFonts w:asciiTheme="minorHAnsi" w:hAnsiTheme="minorHAnsi"/>
                <w:b/>
                <w:color w:val="FFFFFF" w:themeColor="background1"/>
              </w:rPr>
            </w:pPr>
            <w:r>
              <w:rPr>
                <w:rFonts w:asciiTheme="minorHAnsi" w:hAnsiTheme="minorHAnsi"/>
                <w:b/>
                <w:color w:val="FFFFFF" w:themeColor="background1"/>
              </w:rPr>
              <w:lastRenderedPageBreak/>
              <w:t>Table 11: Workforce Turnover</w:t>
            </w:r>
          </w:p>
        </w:tc>
      </w:tr>
      <w:tr w:rsidR="00D87EAF" w:rsidRPr="005629D9" w:rsidTr="000361FA">
        <w:trPr>
          <w:trHeight w:val="385"/>
          <w:jc w:val="center"/>
        </w:trPr>
        <w:tc>
          <w:tcPr>
            <w:tcW w:w="1838" w:type="dxa"/>
            <w:shd w:val="clear" w:color="auto" w:fill="0070C0"/>
            <w:vAlign w:val="center"/>
          </w:tcPr>
          <w:p w:rsidR="00D87EAF" w:rsidRDefault="00D87EAF" w:rsidP="000361FA">
            <w:pPr>
              <w:jc w:val="center"/>
              <w:rPr>
                <w:rFonts w:asciiTheme="minorHAnsi" w:hAnsiTheme="minorHAnsi"/>
              </w:rPr>
            </w:pPr>
            <w:r>
              <w:rPr>
                <w:rFonts w:asciiTheme="minorHAnsi" w:hAnsiTheme="minorHAnsi"/>
                <w:b/>
                <w:color w:val="FFFFFF" w:themeColor="background1"/>
              </w:rPr>
              <w:t>Employee Group</w:t>
            </w:r>
          </w:p>
        </w:tc>
        <w:tc>
          <w:tcPr>
            <w:tcW w:w="2764" w:type="dxa"/>
            <w:shd w:val="clear" w:color="auto" w:fill="0070C0"/>
            <w:vAlign w:val="center"/>
          </w:tcPr>
          <w:p w:rsidR="00D87EAF" w:rsidRDefault="00D87EAF" w:rsidP="000361FA">
            <w:pPr>
              <w:jc w:val="center"/>
              <w:rPr>
                <w:rFonts w:asciiTheme="minorHAnsi" w:hAnsiTheme="minorHAnsi"/>
              </w:rPr>
            </w:pPr>
            <w:r>
              <w:rPr>
                <w:rFonts w:asciiTheme="minorHAnsi" w:hAnsiTheme="minorHAnsi"/>
                <w:b/>
                <w:color w:val="FFFFFF" w:themeColor="background1"/>
              </w:rPr>
              <w:t>2017</w:t>
            </w:r>
          </w:p>
        </w:tc>
        <w:tc>
          <w:tcPr>
            <w:tcW w:w="2764" w:type="dxa"/>
            <w:shd w:val="clear" w:color="auto" w:fill="0070C0"/>
            <w:vAlign w:val="center"/>
          </w:tcPr>
          <w:p w:rsidR="00D87EAF" w:rsidRDefault="00D87EAF" w:rsidP="000361FA">
            <w:pPr>
              <w:jc w:val="center"/>
              <w:rPr>
                <w:rFonts w:asciiTheme="minorHAnsi" w:hAnsiTheme="minorHAnsi"/>
              </w:rPr>
            </w:pPr>
            <w:r>
              <w:rPr>
                <w:rFonts w:asciiTheme="minorHAnsi" w:hAnsiTheme="minorHAnsi"/>
                <w:b/>
                <w:color w:val="FFFFFF" w:themeColor="background1"/>
              </w:rPr>
              <w:t>2018</w:t>
            </w:r>
          </w:p>
        </w:tc>
      </w:tr>
      <w:tr w:rsidR="00D87EAF" w:rsidRPr="005629D9" w:rsidTr="000361FA">
        <w:trPr>
          <w:trHeight w:val="385"/>
          <w:jc w:val="center"/>
        </w:trPr>
        <w:tc>
          <w:tcPr>
            <w:tcW w:w="1838" w:type="dxa"/>
            <w:vAlign w:val="center"/>
          </w:tcPr>
          <w:p w:rsidR="00D87EAF" w:rsidRPr="005629D9" w:rsidRDefault="00D87EAF" w:rsidP="000361FA">
            <w:pPr>
              <w:rPr>
                <w:rFonts w:asciiTheme="minorHAnsi" w:hAnsiTheme="minorHAnsi"/>
              </w:rPr>
            </w:pPr>
            <w:proofErr w:type="spellStart"/>
            <w:r>
              <w:rPr>
                <w:rFonts w:asciiTheme="minorHAnsi" w:hAnsiTheme="minorHAnsi"/>
              </w:rPr>
              <w:t>Wholetime</w:t>
            </w:r>
            <w:proofErr w:type="spellEnd"/>
          </w:p>
        </w:tc>
        <w:tc>
          <w:tcPr>
            <w:tcW w:w="2764" w:type="dxa"/>
            <w:shd w:val="clear" w:color="auto" w:fill="auto"/>
            <w:vAlign w:val="center"/>
          </w:tcPr>
          <w:p w:rsidR="00D87EAF" w:rsidRPr="005629D9" w:rsidRDefault="000F42AE" w:rsidP="000361FA">
            <w:pPr>
              <w:jc w:val="center"/>
              <w:rPr>
                <w:rFonts w:asciiTheme="minorHAnsi" w:hAnsiTheme="minorHAnsi"/>
              </w:rPr>
            </w:pPr>
            <w:r>
              <w:rPr>
                <w:rFonts w:asciiTheme="minorHAnsi" w:hAnsiTheme="minorHAnsi"/>
              </w:rPr>
              <w:t>6.6%</w:t>
            </w:r>
          </w:p>
        </w:tc>
        <w:tc>
          <w:tcPr>
            <w:tcW w:w="2764" w:type="dxa"/>
            <w:vAlign w:val="center"/>
          </w:tcPr>
          <w:p w:rsidR="00D87EAF" w:rsidRDefault="0006240E" w:rsidP="000361FA">
            <w:pPr>
              <w:jc w:val="center"/>
              <w:rPr>
                <w:rFonts w:asciiTheme="minorHAnsi" w:hAnsiTheme="minorHAnsi"/>
              </w:rPr>
            </w:pPr>
            <w:r>
              <w:rPr>
                <w:rFonts w:asciiTheme="minorHAnsi" w:hAnsiTheme="minorHAnsi"/>
              </w:rPr>
              <w:t>7.2%</w:t>
            </w:r>
          </w:p>
        </w:tc>
      </w:tr>
      <w:tr w:rsidR="00D87EAF" w:rsidRPr="005629D9" w:rsidTr="000361FA">
        <w:trPr>
          <w:trHeight w:val="385"/>
          <w:jc w:val="center"/>
        </w:trPr>
        <w:tc>
          <w:tcPr>
            <w:tcW w:w="1838" w:type="dxa"/>
            <w:vAlign w:val="center"/>
          </w:tcPr>
          <w:p w:rsidR="00D87EAF" w:rsidRPr="005629D9" w:rsidRDefault="00D87EAF" w:rsidP="000361FA">
            <w:pPr>
              <w:rPr>
                <w:rFonts w:asciiTheme="minorHAnsi" w:hAnsiTheme="minorHAnsi"/>
              </w:rPr>
            </w:pPr>
            <w:r>
              <w:rPr>
                <w:rFonts w:asciiTheme="minorHAnsi" w:hAnsiTheme="minorHAnsi"/>
              </w:rPr>
              <w:t>On-Call</w:t>
            </w:r>
          </w:p>
        </w:tc>
        <w:tc>
          <w:tcPr>
            <w:tcW w:w="2764" w:type="dxa"/>
            <w:shd w:val="clear" w:color="auto" w:fill="auto"/>
            <w:vAlign w:val="center"/>
          </w:tcPr>
          <w:p w:rsidR="00D87EAF" w:rsidRPr="005629D9" w:rsidRDefault="000F42AE" w:rsidP="000361FA">
            <w:pPr>
              <w:jc w:val="center"/>
              <w:rPr>
                <w:rFonts w:asciiTheme="minorHAnsi" w:hAnsiTheme="minorHAnsi"/>
              </w:rPr>
            </w:pPr>
            <w:r>
              <w:rPr>
                <w:rFonts w:asciiTheme="minorHAnsi" w:hAnsiTheme="minorHAnsi"/>
              </w:rPr>
              <w:t>10.8%</w:t>
            </w:r>
          </w:p>
        </w:tc>
        <w:tc>
          <w:tcPr>
            <w:tcW w:w="2764" w:type="dxa"/>
            <w:vAlign w:val="center"/>
          </w:tcPr>
          <w:p w:rsidR="00D87EAF" w:rsidRDefault="0006240E" w:rsidP="000361FA">
            <w:pPr>
              <w:jc w:val="center"/>
              <w:rPr>
                <w:rFonts w:asciiTheme="minorHAnsi" w:hAnsiTheme="minorHAnsi"/>
              </w:rPr>
            </w:pPr>
            <w:r>
              <w:rPr>
                <w:rFonts w:asciiTheme="minorHAnsi" w:hAnsiTheme="minorHAnsi"/>
              </w:rPr>
              <w:t>15.3%</w:t>
            </w:r>
          </w:p>
        </w:tc>
      </w:tr>
      <w:tr w:rsidR="00D87EAF" w:rsidRPr="005629D9" w:rsidTr="000361FA">
        <w:trPr>
          <w:trHeight w:val="385"/>
          <w:jc w:val="center"/>
        </w:trPr>
        <w:tc>
          <w:tcPr>
            <w:tcW w:w="1838" w:type="dxa"/>
            <w:vAlign w:val="center"/>
          </w:tcPr>
          <w:p w:rsidR="00D87EAF" w:rsidRPr="005629D9" w:rsidRDefault="00D87EAF" w:rsidP="000361FA">
            <w:pPr>
              <w:rPr>
                <w:rFonts w:asciiTheme="minorHAnsi" w:hAnsiTheme="minorHAnsi"/>
              </w:rPr>
            </w:pPr>
            <w:r>
              <w:rPr>
                <w:rFonts w:asciiTheme="minorHAnsi" w:hAnsiTheme="minorHAnsi"/>
              </w:rPr>
              <w:t>Support</w:t>
            </w:r>
          </w:p>
        </w:tc>
        <w:tc>
          <w:tcPr>
            <w:tcW w:w="2764" w:type="dxa"/>
            <w:shd w:val="clear" w:color="auto" w:fill="auto"/>
            <w:vAlign w:val="center"/>
          </w:tcPr>
          <w:p w:rsidR="00D87EAF" w:rsidRPr="005629D9" w:rsidRDefault="000F42AE" w:rsidP="000361FA">
            <w:pPr>
              <w:jc w:val="center"/>
              <w:rPr>
                <w:rFonts w:asciiTheme="minorHAnsi" w:hAnsiTheme="minorHAnsi"/>
              </w:rPr>
            </w:pPr>
            <w:r>
              <w:rPr>
                <w:rFonts w:asciiTheme="minorHAnsi" w:hAnsiTheme="minorHAnsi"/>
              </w:rPr>
              <w:t>9.3%</w:t>
            </w:r>
          </w:p>
        </w:tc>
        <w:tc>
          <w:tcPr>
            <w:tcW w:w="2764" w:type="dxa"/>
            <w:vAlign w:val="center"/>
          </w:tcPr>
          <w:p w:rsidR="00D87EAF" w:rsidRDefault="0006240E" w:rsidP="000361FA">
            <w:pPr>
              <w:jc w:val="center"/>
              <w:rPr>
                <w:rFonts w:asciiTheme="minorHAnsi" w:hAnsiTheme="minorHAnsi"/>
              </w:rPr>
            </w:pPr>
            <w:r>
              <w:rPr>
                <w:rFonts w:asciiTheme="minorHAnsi" w:hAnsiTheme="minorHAnsi"/>
              </w:rPr>
              <w:t>22.6%</w:t>
            </w:r>
          </w:p>
        </w:tc>
      </w:tr>
      <w:tr w:rsidR="00D87EAF" w:rsidRPr="005629D9" w:rsidTr="000361FA">
        <w:trPr>
          <w:trHeight w:val="385"/>
          <w:jc w:val="center"/>
        </w:trPr>
        <w:tc>
          <w:tcPr>
            <w:tcW w:w="1838" w:type="dxa"/>
            <w:vAlign w:val="center"/>
          </w:tcPr>
          <w:p w:rsidR="00D87EAF" w:rsidRPr="005629D9" w:rsidRDefault="00D87EAF" w:rsidP="000361FA">
            <w:pPr>
              <w:rPr>
                <w:rFonts w:asciiTheme="minorHAnsi" w:hAnsiTheme="minorHAnsi"/>
              </w:rPr>
            </w:pPr>
            <w:r>
              <w:rPr>
                <w:rFonts w:asciiTheme="minorHAnsi" w:hAnsiTheme="minorHAnsi"/>
              </w:rPr>
              <w:t>Control</w:t>
            </w:r>
          </w:p>
        </w:tc>
        <w:tc>
          <w:tcPr>
            <w:tcW w:w="2764" w:type="dxa"/>
            <w:shd w:val="clear" w:color="auto" w:fill="auto"/>
            <w:vAlign w:val="center"/>
          </w:tcPr>
          <w:p w:rsidR="00D87EAF" w:rsidRPr="005629D9" w:rsidRDefault="000F42AE" w:rsidP="000361FA">
            <w:pPr>
              <w:jc w:val="center"/>
              <w:rPr>
                <w:rFonts w:asciiTheme="minorHAnsi" w:hAnsiTheme="minorHAnsi"/>
              </w:rPr>
            </w:pPr>
            <w:r>
              <w:rPr>
                <w:rFonts w:asciiTheme="minorHAnsi" w:hAnsiTheme="minorHAnsi"/>
              </w:rPr>
              <w:t>2.9%</w:t>
            </w:r>
          </w:p>
        </w:tc>
        <w:tc>
          <w:tcPr>
            <w:tcW w:w="2764" w:type="dxa"/>
            <w:vAlign w:val="center"/>
          </w:tcPr>
          <w:p w:rsidR="00D87EAF" w:rsidRDefault="00895B1E" w:rsidP="000361FA">
            <w:pPr>
              <w:jc w:val="center"/>
              <w:rPr>
                <w:rFonts w:asciiTheme="minorHAnsi" w:hAnsiTheme="minorHAnsi"/>
              </w:rPr>
            </w:pPr>
            <w:r w:rsidRPr="00895B1E">
              <w:rPr>
                <w:rFonts w:asciiTheme="minorHAnsi" w:hAnsiTheme="minorHAnsi"/>
              </w:rPr>
              <w:t>0</w:t>
            </w:r>
            <w:r w:rsidR="0006240E" w:rsidRPr="00895B1E">
              <w:rPr>
                <w:rFonts w:asciiTheme="minorHAnsi" w:hAnsiTheme="minorHAnsi"/>
              </w:rPr>
              <w:t>%</w:t>
            </w:r>
          </w:p>
        </w:tc>
      </w:tr>
      <w:tr w:rsidR="00D87EAF" w:rsidRPr="005629D9" w:rsidTr="000361FA">
        <w:trPr>
          <w:trHeight w:val="385"/>
          <w:jc w:val="center"/>
        </w:trPr>
        <w:tc>
          <w:tcPr>
            <w:tcW w:w="1838" w:type="dxa"/>
            <w:shd w:val="clear" w:color="auto" w:fill="E7E6E6" w:themeFill="background2"/>
            <w:vAlign w:val="center"/>
          </w:tcPr>
          <w:p w:rsidR="00D87EAF" w:rsidRPr="005629D9" w:rsidRDefault="00D87EAF" w:rsidP="000361FA">
            <w:pPr>
              <w:rPr>
                <w:rFonts w:asciiTheme="minorHAnsi" w:hAnsiTheme="minorHAnsi"/>
                <w:b/>
              </w:rPr>
            </w:pPr>
            <w:r>
              <w:rPr>
                <w:rFonts w:asciiTheme="minorHAnsi" w:hAnsiTheme="minorHAnsi"/>
                <w:b/>
              </w:rPr>
              <w:t>OVERALL</w:t>
            </w:r>
          </w:p>
        </w:tc>
        <w:tc>
          <w:tcPr>
            <w:tcW w:w="2764" w:type="dxa"/>
            <w:shd w:val="clear" w:color="auto" w:fill="E7E6E6" w:themeFill="background2"/>
            <w:vAlign w:val="center"/>
          </w:tcPr>
          <w:p w:rsidR="00D87EAF" w:rsidRPr="005629D9" w:rsidRDefault="000F42AE" w:rsidP="000361FA">
            <w:pPr>
              <w:jc w:val="center"/>
              <w:rPr>
                <w:rFonts w:asciiTheme="minorHAnsi" w:hAnsiTheme="minorHAnsi"/>
                <w:b/>
              </w:rPr>
            </w:pPr>
            <w:r>
              <w:rPr>
                <w:rFonts w:asciiTheme="minorHAnsi" w:hAnsiTheme="minorHAnsi"/>
                <w:b/>
              </w:rPr>
              <w:t>8.5%</w:t>
            </w:r>
          </w:p>
        </w:tc>
        <w:tc>
          <w:tcPr>
            <w:tcW w:w="2764" w:type="dxa"/>
            <w:shd w:val="clear" w:color="auto" w:fill="E7E6E6" w:themeFill="background2"/>
            <w:vAlign w:val="center"/>
          </w:tcPr>
          <w:p w:rsidR="00D87EAF" w:rsidRDefault="0006240E" w:rsidP="000361FA">
            <w:pPr>
              <w:jc w:val="center"/>
              <w:rPr>
                <w:rFonts w:asciiTheme="minorHAnsi" w:hAnsiTheme="minorHAnsi"/>
                <w:b/>
              </w:rPr>
            </w:pPr>
            <w:r>
              <w:rPr>
                <w:rFonts w:asciiTheme="minorHAnsi" w:hAnsiTheme="minorHAnsi"/>
                <w:b/>
              </w:rPr>
              <w:t>13.1%</w:t>
            </w:r>
          </w:p>
        </w:tc>
      </w:tr>
    </w:tbl>
    <w:p w:rsidR="00E57150" w:rsidRDefault="00E57150" w:rsidP="008C28CF">
      <w:pPr>
        <w:ind w:left="360"/>
        <w:jc w:val="both"/>
      </w:pPr>
    </w:p>
    <w:p w:rsidR="004F7282" w:rsidRDefault="004F7282" w:rsidP="008C28CF">
      <w:pPr>
        <w:ind w:left="360"/>
        <w:jc w:val="both"/>
      </w:pPr>
      <w:r>
        <w:t>Nationally total firefighters (FTE) has broadly remained stable which Control and Support Staff (FTE) have increased. Since 2009 the total workforce (FTE) has decreased by 22 per cent. One per cent decrease compared with the previous year (Source: Fire and rescue workforce and pensions statistics: England, April 2017 to March 2018).</w:t>
      </w:r>
    </w:p>
    <w:p w:rsidR="004F7282" w:rsidRPr="004F7282" w:rsidRDefault="004F7282" w:rsidP="008C28CF">
      <w:pPr>
        <w:ind w:left="360"/>
        <w:jc w:val="both"/>
      </w:pPr>
    </w:p>
    <w:p w:rsidR="002C6E58" w:rsidRDefault="002C6E58" w:rsidP="008C28CF">
      <w:pPr>
        <w:pStyle w:val="ListParagraph"/>
        <w:numPr>
          <w:ilvl w:val="1"/>
          <w:numId w:val="24"/>
        </w:numPr>
        <w:jc w:val="both"/>
        <w:rPr>
          <w:b/>
        </w:rPr>
      </w:pPr>
      <w:r w:rsidRPr="002F7488">
        <w:rPr>
          <w:b/>
        </w:rPr>
        <w:t>Leavers</w:t>
      </w:r>
    </w:p>
    <w:p w:rsidR="000349EE" w:rsidRDefault="000349EE" w:rsidP="000349EE">
      <w:pPr>
        <w:pStyle w:val="ListParagraph"/>
        <w:ind w:left="360"/>
        <w:jc w:val="both"/>
        <w:rPr>
          <w:b/>
        </w:rPr>
      </w:pPr>
    </w:p>
    <w:p w:rsidR="00856683" w:rsidRDefault="00856683" w:rsidP="000349EE">
      <w:pPr>
        <w:pStyle w:val="ListParagraph"/>
        <w:ind w:left="360"/>
        <w:jc w:val="both"/>
      </w:pPr>
      <w:r>
        <w:t xml:space="preserve">In 2018 the total number of leavers from the Service was </w:t>
      </w:r>
      <w:r w:rsidR="009B5321">
        <w:t>188</w:t>
      </w:r>
      <w:r w:rsidR="009756A7">
        <w:t>, this was 13.0 per cent of staff headcount compared with 8.4 per cent of staff headcount in 2017</w:t>
      </w:r>
      <w:r>
        <w:t xml:space="preserve">.  The most common reason for employees leaving the Service was because of resignation, which accounted for </w:t>
      </w:r>
      <w:r w:rsidR="000748FB">
        <w:t>61.2</w:t>
      </w:r>
      <w:r>
        <w:t xml:space="preserve"> per cent of all leavers.  It should be borne in mind that the completion of exit interviews is voluntary, which reduces our ability to further analyse individual employees’ motivations for leaving, particularly where that departure is voluntary, rather than being enforced by reasons such as redundancy or dismissal.</w:t>
      </w:r>
    </w:p>
    <w:p w:rsidR="002133CA" w:rsidRDefault="002133CA" w:rsidP="000349EE">
      <w:pPr>
        <w:pStyle w:val="ListParagraph"/>
        <w:ind w:left="360"/>
        <w:jc w:val="both"/>
      </w:pPr>
    </w:p>
    <w:p w:rsidR="002133CA" w:rsidRDefault="002B50DD" w:rsidP="000349EE">
      <w:pPr>
        <w:pStyle w:val="ListParagraph"/>
        <w:ind w:left="360"/>
        <w:jc w:val="both"/>
      </w:pPr>
      <w:r>
        <w:t xml:space="preserve">The </w:t>
      </w:r>
      <w:proofErr w:type="spellStart"/>
      <w:r>
        <w:t>Wholetime</w:t>
      </w:r>
      <w:proofErr w:type="spellEnd"/>
      <w:r>
        <w:t xml:space="preserve"> rate of staff retiring through either ‘normal retirement’, ‘early retirement’ or ‘ill health’ in 2018 this figure was </w:t>
      </w:r>
      <w:r w:rsidR="000748FB">
        <w:t>19.7</w:t>
      </w:r>
      <w:r>
        <w:t xml:space="preserve"> per cent.</w:t>
      </w:r>
    </w:p>
    <w:p w:rsidR="00856683" w:rsidRDefault="00856683" w:rsidP="00803ACA">
      <w:pPr>
        <w:jc w:val="both"/>
      </w:pPr>
    </w:p>
    <w:tbl>
      <w:tblPr>
        <w:tblStyle w:val="TableGrid"/>
        <w:tblW w:w="11159" w:type="dxa"/>
        <w:jc w:val="center"/>
        <w:tblLayout w:type="fixed"/>
        <w:tblLook w:val="04A0" w:firstRow="1" w:lastRow="0" w:firstColumn="1" w:lastColumn="0" w:noHBand="0" w:noVBand="1"/>
      </w:tblPr>
      <w:tblGrid>
        <w:gridCol w:w="1413"/>
        <w:gridCol w:w="1392"/>
        <w:gridCol w:w="1392"/>
        <w:gridCol w:w="1392"/>
        <w:gridCol w:w="1393"/>
        <w:gridCol w:w="1392"/>
        <w:gridCol w:w="1392"/>
        <w:gridCol w:w="1393"/>
      </w:tblGrid>
      <w:tr w:rsidR="00DF316B" w:rsidRPr="005629D9" w:rsidTr="007506F6">
        <w:trPr>
          <w:trHeight w:val="498"/>
          <w:jc w:val="center"/>
        </w:trPr>
        <w:tc>
          <w:tcPr>
            <w:tcW w:w="11159" w:type="dxa"/>
            <w:gridSpan w:val="8"/>
            <w:shd w:val="clear" w:color="auto" w:fill="0070C0"/>
            <w:vAlign w:val="center"/>
          </w:tcPr>
          <w:p w:rsidR="00DF316B" w:rsidRDefault="00DF316B" w:rsidP="00803ACA">
            <w:pPr>
              <w:jc w:val="center"/>
              <w:rPr>
                <w:rFonts w:asciiTheme="minorHAnsi" w:hAnsiTheme="minorHAnsi"/>
                <w:b/>
                <w:color w:val="FFFFFF" w:themeColor="background1"/>
              </w:rPr>
            </w:pPr>
            <w:r>
              <w:rPr>
                <w:rFonts w:asciiTheme="minorHAnsi" w:hAnsiTheme="minorHAnsi"/>
                <w:b/>
                <w:color w:val="FFFFFF" w:themeColor="background1"/>
              </w:rPr>
              <w:t>Table 12: Reasons for Leaving</w:t>
            </w:r>
          </w:p>
        </w:tc>
      </w:tr>
      <w:tr w:rsidR="00DF316B" w:rsidRPr="005629D9" w:rsidTr="00DF316B">
        <w:trPr>
          <w:trHeight w:val="396"/>
          <w:jc w:val="center"/>
        </w:trPr>
        <w:tc>
          <w:tcPr>
            <w:tcW w:w="1413" w:type="dxa"/>
            <w:shd w:val="clear" w:color="auto" w:fill="0070C0"/>
            <w:vAlign w:val="center"/>
          </w:tcPr>
          <w:p w:rsidR="00DF316B" w:rsidRDefault="00DF316B" w:rsidP="000361FA">
            <w:pPr>
              <w:jc w:val="center"/>
              <w:rPr>
                <w:rFonts w:asciiTheme="minorHAnsi" w:hAnsiTheme="minorHAnsi"/>
                <w:b/>
                <w:color w:val="FFFFFF" w:themeColor="background1"/>
              </w:rPr>
            </w:pPr>
            <w:r w:rsidRPr="00764CC1">
              <w:rPr>
                <w:rFonts w:asciiTheme="minorHAnsi" w:hAnsiTheme="minorHAnsi"/>
                <w:b/>
                <w:color w:val="FFFFFF" w:themeColor="background1"/>
              </w:rPr>
              <w:t>Employee</w:t>
            </w:r>
          </w:p>
          <w:p w:rsidR="00DF316B" w:rsidRPr="00764CC1" w:rsidRDefault="00DF316B" w:rsidP="000361FA">
            <w:pPr>
              <w:jc w:val="center"/>
              <w:rPr>
                <w:rFonts w:asciiTheme="minorHAnsi" w:hAnsiTheme="minorHAnsi"/>
                <w:b/>
              </w:rPr>
            </w:pPr>
            <w:r w:rsidRPr="00764CC1">
              <w:rPr>
                <w:rFonts w:asciiTheme="minorHAnsi" w:hAnsiTheme="minorHAnsi"/>
                <w:b/>
                <w:color w:val="FFFFFF" w:themeColor="background1"/>
              </w:rPr>
              <w:t>Group</w:t>
            </w:r>
          </w:p>
        </w:tc>
        <w:tc>
          <w:tcPr>
            <w:tcW w:w="1392" w:type="dxa"/>
            <w:shd w:val="clear" w:color="auto" w:fill="0070C0"/>
            <w:vAlign w:val="center"/>
          </w:tcPr>
          <w:p w:rsidR="00DF316B" w:rsidRPr="00DF316B" w:rsidRDefault="00DF316B" w:rsidP="00803ACA">
            <w:pPr>
              <w:jc w:val="center"/>
              <w:rPr>
                <w:rFonts w:asciiTheme="minorHAnsi" w:hAnsiTheme="minorHAnsi"/>
                <w:sz w:val="22"/>
              </w:rPr>
            </w:pPr>
            <w:r w:rsidRPr="00DF316B">
              <w:rPr>
                <w:rFonts w:asciiTheme="minorHAnsi" w:hAnsiTheme="minorHAnsi"/>
                <w:b/>
                <w:color w:val="FFFFFF" w:themeColor="background1"/>
                <w:sz w:val="22"/>
              </w:rPr>
              <w:t>Transfer to other service</w:t>
            </w:r>
          </w:p>
        </w:tc>
        <w:tc>
          <w:tcPr>
            <w:tcW w:w="1392" w:type="dxa"/>
            <w:shd w:val="clear" w:color="auto" w:fill="0070C0"/>
            <w:vAlign w:val="center"/>
          </w:tcPr>
          <w:p w:rsidR="00DF316B" w:rsidRPr="00DF316B" w:rsidRDefault="00DF316B" w:rsidP="00803ACA">
            <w:pPr>
              <w:jc w:val="center"/>
              <w:rPr>
                <w:rFonts w:asciiTheme="minorHAnsi" w:hAnsiTheme="minorHAnsi"/>
                <w:sz w:val="22"/>
              </w:rPr>
            </w:pPr>
            <w:r w:rsidRPr="00DF316B">
              <w:rPr>
                <w:rFonts w:asciiTheme="minorHAnsi" w:hAnsiTheme="minorHAnsi"/>
                <w:b/>
                <w:color w:val="FFFFFF" w:themeColor="background1"/>
                <w:sz w:val="22"/>
              </w:rPr>
              <w:t>Retirement</w:t>
            </w:r>
          </w:p>
        </w:tc>
        <w:tc>
          <w:tcPr>
            <w:tcW w:w="1392" w:type="dxa"/>
            <w:shd w:val="clear" w:color="auto" w:fill="0070C0"/>
            <w:vAlign w:val="center"/>
          </w:tcPr>
          <w:p w:rsidR="00DF316B" w:rsidRPr="00DF316B" w:rsidRDefault="00DF316B" w:rsidP="00803ACA">
            <w:pPr>
              <w:jc w:val="center"/>
              <w:rPr>
                <w:rFonts w:asciiTheme="minorHAnsi" w:hAnsiTheme="minorHAnsi"/>
                <w:b/>
                <w:color w:val="FFFFFF" w:themeColor="background1"/>
                <w:sz w:val="22"/>
              </w:rPr>
            </w:pPr>
            <w:r w:rsidRPr="00DF316B">
              <w:rPr>
                <w:rFonts w:asciiTheme="minorHAnsi" w:hAnsiTheme="minorHAnsi"/>
                <w:b/>
                <w:color w:val="FFFFFF" w:themeColor="background1"/>
                <w:sz w:val="22"/>
              </w:rPr>
              <w:t>Resignation</w:t>
            </w:r>
          </w:p>
        </w:tc>
        <w:tc>
          <w:tcPr>
            <w:tcW w:w="1393" w:type="dxa"/>
            <w:shd w:val="clear" w:color="auto" w:fill="0070C0"/>
            <w:vAlign w:val="center"/>
          </w:tcPr>
          <w:p w:rsidR="00DF316B" w:rsidRPr="00DF316B" w:rsidRDefault="00DF316B" w:rsidP="00803ACA">
            <w:pPr>
              <w:jc w:val="center"/>
              <w:rPr>
                <w:rFonts w:asciiTheme="minorHAnsi" w:hAnsiTheme="minorHAnsi"/>
                <w:b/>
                <w:color w:val="FFFFFF" w:themeColor="background1"/>
                <w:sz w:val="22"/>
              </w:rPr>
            </w:pPr>
            <w:r w:rsidRPr="00DF316B">
              <w:rPr>
                <w:rFonts w:asciiTheme="minorHAnsi" w:hAnsiTheme="minorHAnsi"/>
                <w:b/>
                <w:color w:val="FFFFFF" w:themeColor="background1"/>
                <w:sz w:val="22"/>
              </w:rPr>
              <w:t>Redundancy</w:t>
            </w:r>
          </w:p>
        </w:tc>
        <w:tc>
          <w:tcPr>
            <w:tcW w:w="1392" w:type="dxa"/>
            <w:shd w:val="clear" w:color="auto" w:fill="0070C0"/>
            <w:vAlign w:val="center"/>
          </w:tcPr>
          <w:p w:rsidR="00DF316B" w:rsidRPr="00DF316B" w:rsidRDefault="00DF316B" w:rsidP="00803ACA">
            <w:pPr>
              <w:jc w:val="center"/>
              <w:rPr>
                <w:rFonts w:asciiTheme="minorHAnsi" w:hAnsiTheme="minorHAnsi"/>
                <w:b/>
                <w:color w:val="FFFFFF" w:themeColor="background1"/>
                <w:sz w:val="22"/>
              </w:rPr>
            </w:pPr>
            <w:r w:rsidRPr="00DF316B">
              <w:rPr>
                <w:rFonts w:asciiTheme="minorHAnsi" w:hAnsiTheme="minorHAnsi"/>
                <w:b/>
                <w:color w:val="FFFFFF" w:themeColor="background1"/>
                <w:sz w:val="22"/>
              </w:rPr>
              <w:t>End of Contract</w:t>
            </w:r>
          </w:p>
        </w:tc>
        <w:tc>
          <w:tcPr>
            <w:tcW w:w="1392" w:type="dxa"/>
            <w:shd w:val="clear" w:color="auto" w:fill="0070C0"/>
            <w:vAlign w:val="center"/>
          </w:tcPr>
          <w:p w:rsidR="00DF316B" w:rsidRPr="00DF316B" w:rsidRDefault="00DF316B" w:rsidP="00803ACA">
            <w:pPr>
              <w:jc w:val="center"/>
              <w:rPr>
                <w:rFonts w:asciiTheme="minorHAnsi" w:hAnsiTheme="minorHAnsi"/>
                <w:b/>
                <w:color w:val="FFFFFF" w:themeColor="background1"/>
                <w:sz w:val="22"/>
              </w:rPr>
            </w:pPr>
            <w:r w:rsidRPr="00DF316B">
              <w:rPr>
                <w:rFonts w:asciiTheme="minorHAnsi" w:hAnsiTheme="minorHAnsi"/>
                <w:b/>
                <w:color w:val="FFFFFF" w:themeColor="background1"/>
                <w:sz w:val="22"/>
              </w:rPr>
              <w:t>Dismissal</w:t>
            </w:r>
          </w:p>
        </w:tc>
        <w:tc>
          <w:tcPr>
            <w:tcW w:w="1393" w:type="dxa"/>
            <w:shd w:val="clear" w:color="auto" w:fill="0070C0"/>
            <w:vAlign w:val="center"/>
          </w:tcPr>
          <w:p w:rsidR="00DF316B" w:rsidRPr="00DF316B" w:rsidRDefault="009B5321" w:rsidP="00DF316B">
            <w:pPr>
              <w:jc w:val="center"/>
              <w:rPr>
                <w:rFonts w:asciiTheme="minorHAnsi" w:hAnsiTheme="minorHAnsi"/>
                <w:b/>
                <w:color w:val="FFFFFF" w:themeColor="background1"/>
                <w:sz w:val="22"/>
              </w:rPr>
            </w:pPr>
            <w:r>
              <w:rPr>
                <w:rFonts w:asciiTheme="minorHAnsi" w:hAnsiTheme="minorHAnsi"/>
                <w:b/>
                <w:color w:val="FFFFFF" w:themeColor="background1"/>
                <w:sz w:val="22"/>
              </w:rPr>
              <w:t>Death</w:t>
            </w:r>
          </w:p>
        </w:tc>
      </w:tr>
      <w:tr w:rsidR="00DF316B" w:rsidRPr="005629D9" w:rsidTr="00DF316B">
        <w:trPr>
          <w:trHeight w:val="396"/>
          <w:jc w:val="center"/>
        </w:trPr>
        <w:tc>
          <w:tcPr>
            <w:tcW w:w="1413" w:type="dxa"/>
            <w:vAlign w:val="center"/>
          </w:tcPr>
          <w:p w:rsidR="00DF316B" w:rsidRPr="005629D9" w:rsidRDefault="00DF316B" w:rsidP="000361FA">
            <w:pPr>
              <w:rPr>
                <w:rFonts w:asciiTheme="minorHAnsi" w:hAnsiTheme="minorHAnsi"/>
              </w:rPr>
            </w:pPr>
            <w:proofErr w:type="spellStart"/>
            <w:r>
              <w:rPr>
                <w:rFonts w:asciiTheme="minorHAnsi" w:hAnsiTheme="minorHAnsi"/>
              </w:rPr>
              <w:t>Wholetime</w:t>
            </w:r>
            <w:proofErr w:type="spellEnd"/>
          </w:p>
        </w:tc>
        <w:tc>
          <w:tcPr>
            <w:tcW w:w="1392" w:type="dxa"/>
            <w:shd w:val="clear" w:color="auto" w:fill="auto"/>
            <w:vAlign w:val="center"/>
          </w:tcPr>
          <w:p w:rsidR="00DF316B" w:rsidRPr="000D0E30" w:rsidRDefault="00DF316B" w:rsidP="0012350E">
            <w:pPr>
              <w:jc w:val="center"/>
              <w:rPr>
                <w:rFonts w:asciiTheme="minorHAnsi" w:hAnsiTheme="minorHAnsi"/>
                <w:szCs w:val="22"/>
              </w:rPr>
            </w:pPr>
            <w:r>
              <w:rPr>
                <w:rFonts w:asciiTheme="minorHAnsi" w:hAnsiTheme="minorHAnsi"/>
                <w:szCs w:val="22"/>
              </w:rPr>
              <w:t>5</w:t>
            </w:r>
          </w:p>
        </w:tc>
        <w:tc>
          <w:tcPr>
            <w:tcW w:w="1392"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25</w:t>
            </w:r>
          </w:p>
        </w:tc>
        <w:tc>
          <w:tcPr>
            <w:tcW w:w="1392"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11</w:t>
            </w:r>
          </w:p>
        </w:tc>
        <w:tc>
          <w:tcPr>
            <w:tcW w:w="1393"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0</w:t>
            </w:r>
          </w:p>
        </w:tc>
        <w:tc>
          <w:tcPr>
            <w:tcW w:w="1392"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0</w:t>
            </w:r>
          </w:p>
        </w:tc>
        <w:tc>
          <w:tcPr>
            <w:tcW w:w="1392"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1</w:t>
            </w:r>
          </w:p>
        </w:tc>
        <w:tc>
          <w:tcPr>
            <w:tcW w:w="1393" w:type="dxa"/>
          </w:tcPr>
          <w:p w:rsidR="00DF316B" w:rsidRDefault="00DF316B" w:rsidP="00DF316B">
            <w:pPr>
              <w:jc w:val="center"/>
              <w:rPr>
                <w:rFonts w:asciiTheme="minorHAnsi" w:hAnsiTheme="minorHAnsi"/>
                <w:szCs w:val="22"/>
              </w:rPr>
            </w:pPr>
            <w:r>
              <w:rPr>
                <w:rFonts w:asciiTheme="minorHAnsi" w:hAnsiTheme="minorHAnsi"/>
                <w:szCs w:val="22"/>
              </w:rPr>
              <w:t>0</w:t>
            </w:r>
          </w:p>
        </w:tc>
      </w:tr>
      <w:tr w:rsidR="00DF316B" w:rsidRPr="005629D9" w:rsidTr="00DF316B">
        <w:trPr>
          <w:trHeight w:val="396"/>
          <w:jc w:val="center"/>
        </w:trPr>
        <w:tc>
          <w:tcPr>
            <w:tcW w:w="1413" w:type="dxa"/>
            <w:vAlign w:val="center"/>
          </w:tcPr>
          <w:p w:rsidR="00DF316B" w:rsidRPr="005629D9" w:rsidRDefault="00DF316B" w:rsidP="000361FA">
            <w:pPr>
              <w:rPr>
                <w:rFonts w:asciiTheme="minorHAnsi" w:hAnsiTheme="minorHAnsi"/>
              </w:rPr>
            </w:pPr>
            <w:r>
              <w:rPr>
                <w:rFonts w:asciiTheme="minorHAnsi" w:hAnsiTheme="minorHAnsi"/>
              </w:rPr>
              <w:t>On-Call</w:t>
            </w:r>
          </w:p>
        </w:tc>
        <w:tc>
          <w:tcPr>
            <w:tcW w:w="1392" w:type="dxa"/>
            <w:shd w:val="clear" w:color="auto" w:fill="auto"/>
            <w:vAlign w:val="center"/>
          </w:tcPr>
          <w:p w:rsidR="00DF316B" w:rsidRPr="000D0E30" w:rsidRDefault="00DF316B" w:rsidP="0012350E">
            <w:pPr>
              <w:jc w:val="center"/>
              <w:rPr>
                <w:rFonts w:asciiTheme="minorHAnsi" w:hAnsiTheme="minorHAnsi"/>
                <w:szCs w:val="22"/>
              </w:rPr>
            </w:pPr>
            <w:r>
              <w:rPr>
                <w:rFonts w:asciiTheme="minorHAnsi" w:hAnsiTheme="minorHAnsi"/>
                <w:szCs w:val="22"/>
              </w:rPr>
              <w:t>0</w:t>
            </w:r>
          </w:p>
        </w:tc>
        <w:tc>
          <w:tcPr>
            <w:tcW w:w="1392"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4</w:t>
            </w:r>
          </w:p>
        </w:tc>
        <w:tc>
          <w:tcPr>
            <w:tcW w:w="1392"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74</w:t>
            </w:r>
          </w:p>
        </w:tc>
        <w:tc>
          <w:tcPr>
            <w:tcW w:w="1393"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0</w:t>
            </w:r>
          </w:p>
        </w:tc>
        <w:tc>
          <w:tcPr>
            <w:tcW w:w="1392"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0</w:t>
            </w:r>
          </w:p>
        </w:tc>
        <w:tc>
          <w:tcPr>
            <w:tcW w:w="1392"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4</w:t>
            </w:r>
          </w:p>
        </w:tc>
        <w:tc>
          <w:tcPr>
            <w:tcW w:w="1393" w:type="dxa"/>
          </w:tcPr>
          <w:p w:rsidR="00DF316B" w:rsidRDefault="00DF316B" w:rsidP="0012350E">
            <w:pPr>
              <w:jc w:val="center"/>
              <w:rPr>
                <w:rFonts w:asciiTheme="minorHAnsi" w:hAnsiTheme="minorHAnsi"/>
                <w:szCs w:val="22"/>
              </w:rPr>
            </w:pPr>
            <w:r>
              <w:rPr>
                <w:rFonts w:asciiTheme="minorHAnsi" w:hAnsiTheme="minorHAnsi"/>
                <w:szCs w:val="22"/>
              </w:rPr>
              <w:t>1</w:t>
            </w:r>
          </w:p>
        </w:tc>
      </w:tr>
      <w:tr w:rsidR="00DF316B" w:rsidRPr="005629D9" w:rsidTr="00DF316B">
        <w:trPr>
          <w:trHeight w:val="396"/>
          <w:jc w:val="center"/>
        </w:trPr>
        <w:tc>
          <w:tcPr>
            <w:tcW w:w="1413" w:type="dxa"/>
            <w:vAlign w:val="center"/>
          </w:tcPr>
          <w:p w:rsidR="00DF316B" w:rsidRPr="005629D9" w:rsidRDefault="00DF316B" w:rsidP="000361FA">
            <w:pPr>
              <w:rPr>
                <w:rFonts w:asciiTheme="minorHAnsi" w:hAnsiTheme="minorHAnsi"/>
              </w:rPr>
            </w:pPr>
            <w:r>
              <w:rPr>
                <w:rFonts w:asciiTheme="minorHAnsi" w:hAnsiTheme="minorHAnsi"/>
              </w:rPr>
              <w:t>Support</w:t>
            </w:r>
          </w:p>
        </w:tc>
        <w:tc>
          <w:tcPr>
            <w:tcW w:w="1392" w:type="dxa"/>
            <w:shd w:val="clear" w:color="auto" w:fill="auto"/>
            <w:vAlign w:val="center"/>
          </w:tcPr>
          <w:p w:rsidR="00DF316B" w:rsidRPr="000D0E30" w:rsidRDefault="00DF316B" w:rsidP="0012350E">
            <w:pPr>
              <w:jc w:val="center"/>
              <w:rPr>
                <w:rFonts w:asciiTheme="minorHAnsi" w:hAnsiTheme="minorHAnsi"/>
                <w:szCs w:val="22"/>
              </w:rPr>
            </w:pPr>
            <w:r>
              <w:rPr>
                <w:rFonts w:asciiTheme="minorHAnsi" w:hAnsiTheme="minorHAnsi"/>
                <w:szCs w:val="22"/>
              </w:rPr>
              <w:t>10</w:t>
            </w:r>
          </w:p>
        </w:tc>
        <w:tc>
          <w:tcPr>
            <w:tcW w:w="1392"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8</w:t>
            </w:r>
          </w:p>
        </w:tc>
        <w:tc>
          <w:tcPr>
            <w:tcW w:w="1392"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30</w:t>
            </w:r>
          </w:p>
        </w:tc>
        <w:tc>
          <w:tcPr>
            <w:tcW w:w="1393"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1</w:t>
            </w:r>
          </w:p>
        </w:tc>
        <w:tc>
          <w:tcPr>
            <w:tcW w:w="1392"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12</w:t>
            </w:r>
          </w:p>
        </w:tc>
        <w:tc>
          <w:tcPr>
            <w:tcW w:w="1392"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1</w:t>
            </w:r>
          </w:p>
        </w:tc>
        <w:tc>
          <w:tcPr>
            <w:tcW w:w="1393" w:type="dxa"/>
          </w:tcPr>
          <w:p w:rsidR="00DF316B" w:rsidRDefault="00DF316B" w:rsidP="0012350E">
            <w:pPr>
              <w:jc w:val="center"/>
              <w:rPr>
                <w:rFonts w:asciiTheme="minorHAnsi" w:hAnsiTheme="minorHAnsi"/>
                <w:szCs w:val="22"/>
              </w:rPr>
            </w:pPr>
            <w:r>
              <w:rPr>
                <w:rFonts w:asciiTheme="minorHAnsi" w:hAnsiTheme="minorHAnsi"/>
                <w:szCs w:val="22"/>
              </w:rPr>
              <w:t>1</w:t>
            </w:r>
          </w:p>
        </w:tc>
      </w:tr>
      <w:tr w:rsidR="00DF316B" w:rsidRPr="005629D9" w:rsidTr="00DF316B">
        <w:trPr>
          <w:trHeight w:val="396"/>
          <w:jc w:val="center"/>
        </w:trPr>
        <w:tc>
          <w:tcPr>
            <w:tcW w:w="1413" w:type="dxa"/>
            <w:vAlign w:val="center"/>
          </w:tcPr>
          <w:p w:rsidR="00DF316B" w:rsidRPr="005629D9" w:rsidRDefault="00DF316B" w:rsidP="000361FA">
            <w:pPr>
              <w:rPr>
                <w:rFonts w:asciiTheme="minorHAnsi" w:hAnsiTheme="minorHAnsi"/>
              </w:rPr>
            </w:pPr>
            <w:r>
              <w:rPr>
                <w:rFonts w:asciiTheme="minorHAnsi" w:hAnsiTheme="minorHAnsi"/>
              </w:rPr>
              <w:t>Control</w:t>
            </w:r>
          </w:p>
        </w:tc>
        <w:tc>
          <w:tcPr>
            <w:tcW w:w="1392" w:type="dxa"/>
            <w:shd w:val="clear" w:color="auto" w:fill="auto"/>
            <w:vAlign w:val="center"/>
          </w:tcPr>
          <w:p w:rsidR="00DF316B" w:rsidRPr="000D0E30" w:rsidRDefault="00DF316B" w:rsidP="0012350E">
            <w:pPr>
              <w:jc w:val="center"/>
              <w:rPr>
                <w:rFonts w:asciiTheme="minorHAnsi" w:hAnsiTheme="minorHAnsi"/>
                <w:szCs w:val="22"/>
              </w:rPr>
            </w:pPr>
            <w:r>
              <w:rPr>
                <w:rFonts w:asciiTheme="minorHAnsi" w:hAnsiTheme="minorHAnsi"/>
                <w:szCs w:val="22"/>
              </w:rPr>
              <w:t>0</w:t>
            </w:r>
          </w:p>
        </w:tc>
        <w:tc>
          <w:tcPr>
            <w:tcW w:w="1392"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0</w:t>
            </w:r>
          </w:p>
        </w:tc>
        <w:tc>
          <w:tcPr>
            <w:tcW w:w="1392"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0</w:t>
            </w:r>
          </w:p>
        </w:tc>
        <w:tc>
          <w:tcPr>
            <w:tcW w:w="1393"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0</w:t>
            </w:r>
          </w:p>
        </w:tc>
        <w:tc>
          <w:tcPr>
            <w:tcW w:w="1392"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0</w:t>
            </w:r>
          </w:p>
        </w:tc>
        <w:tc>
          <w:tcPr>
            <w:tcW w:w="1392" w:type="dxa"/>
            <w:vAlign w:val="center"/>
          </w:tcPr>
          <w:p w:rsidR="00DF316B" w:rsidRPr="000D0E30" w:rsidRDefault="00DF316B" w:rsidP="0012350E">
            <w:pPr>
              <w:jc w:val="center"/>
              <w:rPr>
                <w:rFonts w:asciiTheme="minorHAnsi" w:hAnsiTheme="minorHAnsi"/>
                <w:szCs w:val="22"/>
              </w:rPr>
            </w:pPr>
            <w:r>
              <w:rPr>
                <w:rFonts w:asciiTheme="minorHAnsi" w:hAnsiTheme="minorHAnsi"/>
                <w:szCs w:val="22"/>
              </w:rPr>
              <w:t>0</w:t>
            </w:r>
          </w:p>
        </w:tc>
        <w:tc>
          <w:tcPr>
            <w:tcW w:w="1393" w:type="dxa"/>
          </w:tcPr>
          <w:p w:rsidR="00DF316B" w:rsidRDefault="00DF316B" w:rsidP="0012350E">
            <w:pPr>
              <w:jc w:val="center"/>
              <w:rPr>
                <w:rFonts w:asciiTheme="minorHAnsi" w:hAnsiTheme="minorHAnsi"/>
                <w:szCs w:val="22"/>
              </w:rPr>
            </w:pPr>
            <w:r>
              <w:rPr>
                <w:rFonts w:asciiTheme="minorHAnsi" w:hAnsiTheme="minorHAnsi"/>
                <w:szCs w:val="22"/>
              </w:rPr>
              <w:t>0</w:t>
            </w:r>
          </w:p>
        </w:tc>
      </w:tr>
      <w:tr w:rsidR="00DF316B" w:rsidRPr="005629D9" w:rsidTr="00DF316B">
        <w:trPr>
          <w:trHeight w:val="396"/>
          <w:jc w:val="center"/>
        </w:trPr>
        <w:tc>
          <w:tcPr>
            <w:tcW w:w="1413" w:type="dxa"/>
            <w:shd w:val="clear" w:color="auto" w:fill="E7E6E6" w:themeFill="background2"/>
            <w:vAlign w:val="center"/>
          </w:tcPr>
          <w:p w:rsidR="00DF316B" w:rsidRPr="005629D9" w:rsidRDefault="00DF316B" w:rsidP="000361FA">
            <w:pPr>
              <w:rPr>
                <w:rFonts w:asciiTheme="minorHAnsi" w:hAnsiTheme="minorHAnsi"/>
                <w:b/>
              </w:rPr>
            </w:pPr>
            <w:r>
              <w:rPr>
                <w:rFonts w:asciiTheme="minorHAnsi" w:hAnsiTheme="minorHAnsi"/>
                <w:b/>
              </w:rPr>
              <w:t>OVERALL</w:t>
            </w:r>
          </w:p>
        </w:tc>
        <w:tc>
          <w:tcPr>
            <w:tcW w:w="1392" w:type="dxa"/>
            <w:shd w:val="clear" w:color="auto" w:fill="E7E6E6" w:themeFill="background2"/>
            <w:vAlign w:val="center"/>
          </w:tcPr>
          <w:p w:rsidR="00DF316B" w:rsidRPr="000D0E30" w:rsidRDefault="00DF316B" w:rsidP="0012350E">
            <w:pPr>
              <w:jc w:val="center"/>
              <w:rPr>
                <w:rFonts w:asciiTheme="minorHAnsi" w:hAnsiTheme="minorHAnsi"/>
                <w:b/>
                <w:szCs w:val="22"/>
              </w:rPr>
            </w:pPr>
            <w:r>
              <w:rPr>
                <w:rFonts w:asciiTheme="minorHAnsi" w:hAnsiTheme="minorHAnsi"/>
                <w:b/>
                <w:szCs w:val="22"/>
              </w:rPr>
              <w:t>15</w:t>
            </w:r>
          </w:p>
        </w:tc>
        <w:tc>
          <w:tcPr>
            <w:tcW w:w="1392" w:type="dxa"/>
            <w:shd w:val="clear" w:color="auto" w:fill="E7E6E6" w:themeFill="background2"/>
            <w:vAlign w:val="center"/>
          </w:tcPr>
          <w:p w:rsidR="00DF316B" w:rsidRPr="000D0E30" w:rsidRDefault="00DF316B" w:rsidP="0012350E">
            <w:pPr>
              <w:jc w:val="center"/>
              <w:rPr>
                <w:rFonts w:asciiTheme="minorHAnsi" w:hAnsiTheme="minorHAnsi"/>
                <w:b/>
                <w:szCs w:val="22"/>
              </w:rPr>
            </w:pPr>
            <w:r>
              <w:rPr>
                <w:rFonts w:asciiTheme="minorHAnsi" w:hAnsiTheme="minorHAnsi"/>
                <w:b/>
                <w:szCs w:val="22"/>
              </w:rPr>
              <w:t>37</w:t>
            </w:r>
          </w:p>
        </w:tc>
        <w:tc>
          <w:tcPr>
            <w:tcW w:w="1392" w:type="dxa"/>
            <w:shd w:val="clear" w:color="auto" w:fill="E7E6E6" w:themeFill="background2"/>
            <w:vAlign w:val="center"/>
          </w:tcPr>
          <w:p w:rsidR="00DF316B" w:rsidRPr="000D0E30" w:rsidRDefault="00DF316B" w:rsidP="0012350E">
            <w:pPr>
              <w:jc w:val="center"/>
              <w:rPr>
                <w:rFonts w:asciiTheme="minorHAnsi" w:hAnsiTheme="minorHAnsi"/>
                <w:b/>
                <w:szCs w:val="22"/>
              </w:rPr>
            </w:pPr>
            <w:r>
              <w:rPr>
                <w:rFonts w:asciiTheme="minorHAnsi" w:hAnsiTheme="minorHAnsi"/>
                <w:b/>
                <w:szCs w:val="22"/>
              </w:rPr>
              <w:t>115</w:t>
            </w:r>
          </w:p>
        </w:tc>
        <w:tc>
          <w:tcPr>
            <w:tcW w:w="1393" w:type="dxa"/>
            <w:shd w:val="clear" w:color="auto" w:fill="E7E6E6" w:themeFill="background2"/>
            <w:vAlign w:val="center"/>
          </w:tcPr>
          <w:p w:rsidR="00DF316B" w:rsidRPr="000D0E30" w:rsidRDefault="00DF316B" w:rsidP="0012350E">
            <w:pPr>
              <w:jc w:val="center"/>
              <w:rPr>
                <w:rFonts w:asciiTheme="minorHAnsi" w:hAnsiTheme="minorHAnsi"/>
                <w:b/>
                <w:szCs w:val="22"/>
              </w:rPr>
            </w:pPr>
            <w:r>
              <w:rPr>
                <w:rFonts w:asciiTheme="minorHAnsi" w:hAnsiTheme="minorHAnsi"/>
                <w:b/>
                <w:szCs w:val="22"/>
              </w:rPr>
              <w:t>1</w:t>
            </w:r>
          </w:p>
        </w:tc>
        <w:tc>
          <w:tcPr>
            <w:tcW w:w="1392" w:type="dxa"/>
            <w:shd w:val="clear" w:color="auto" w:fill="E7E6E6" w:themeFill="background2"/>
            <w:vAlign w:val="center"/>
          </w:tcPr>
          <w:p w:rsidR="00DF316B" w:rsidRPr="000D0E30" w:rsidRDefault="00DF316B" w:rsidP="0012350E">
            <w:pPr>
              <w:jc w:val="center"/>
              <w:rPr>
                <w:rFonts w:asciiTheme="minorHAnsi" w:hAnsiTheme="minorHAnsi"/>
                <w:b/>
                <w:szCs w:val="22"/>
              </w:rPr>
            </w:pPr>
            <w:r>
              <w:rPr>
                <w:rFonts w:asciiTheme="minorHAnsi" w:hAnsiTheme="minorHAnsi"/>
                <w:b/>
                <w:szCs w:val="22"/>
              </w:rPr>
              <w:t>12</w:t>
            </w:r>
          </w:p>
        </w:tc>
        <w:tc>
          <w:tcPr>
            <w:tcW w:w="1392" w:type="dxa"/>
            <w:shd w:val="clear" w:color="auto" w:fill="E7E6E6" w:themeFill="background2"/>
            <w:vAlign w:val="center"/>
          </w:tcPr>
          <w:p w:rsidR="00DF316B" w:rsidRPr="000D0E30" w:rsidRDefault="00DF316B" w:rsidP="0012350E">
            <w:pPr>
              <w:jc w:val="center"/>
              <w:rPr>
                <w:rFonts w:asciiTheme="minorHAnsi" w:hAnsiTheme="minorHAnsi"/>
                <w:b/>
                <w:szCs w:val="22"/>
              </w:rPr>
            </w:pPr>
            <w:r>
              <w:rPr>
                <w:rFonts w:asciiTheme="minorHAnsi" w:hAnsiTheme="minorHAnsi"/>
                <w:b/>
                <w:szCs w:val="22"/>
              </w:rPr>
              <w:t>6</w:t>
            </w:r>
          </w:p>
        </w:tc>
        <w:tc>
          <w:tcPr>
            <w:tcW w:w="1393" w:type="dxa"/>
            <w:shd w:val="clear" w:color="auto" w:fill="E7E6E6" w:themeFill="background2"/>
          </w:tcPr>
          <w:p w:rsidR="00DF316B" w:rsidRDefault="00DF316B" w:rsidP="0012350E">
            <w:pPr>
              <w:jc w:val="center"/>
              <w:rPr>
                <w:rFonts w:asciiTheme="minorHAnsi" w:hAnsiTheme="minorHAnsi"/>
                <w:b/>
                <w:szCs w:val="22"/>
              </w:rPr>
            </w:pPr>
            <w:r>
              <w:rPr>
                <w:rFonts w:asciiTheme="minorHAnsi" w:hAnsiTheme="minorHAnsi"/>
                <w:b/>
                <w:szCs w:val="22"/>
              </w:rPr>
              <w:t>2</w:t>
            </w:r>
          </w:p>
        </w:tc>
      </w:tr>
    </w:tbl>
    <w:p w:rsidR="00803ACA" w:rsidRDefault="00803ACA" w:rsidP="00803ACA">
      <w:pPr>
        <w:jc w:val="both"/>
      </w:pPr>
    </w:p>
    <w:p w:rsidR="00856683" w:rsidRDefault="00856683" w:rsidP="000349EE">
      <w:pPr>
        <w:pStyle w:val="ListParagraph"/>
        <w:ind w:left="360"/>
        <w:jc w:val="both"/>
      </w:pPr>
      <w:r>
        <w:t xml:space="preserve">Apart from retirement the main reason for leaving was broadly attributed to natural turnover with resignation accounting as leaving for On-Call, Support and Control. Table </w:t>
      </w:r>
      <w:r w:rsidR="00B46015">
        <w:t>12</w:t>
      </w:r>
      <w:r>
        <w:t xml:space="preserve"> provides a further breakdown of this data and shows that the </w:t>
      </w:r>
      <w:r w:rsidR="005B7E30">
        <w:t>On Call</w:t>
      </w:r>
      <w:r>
        <w:t xml:space="preserve"> staffing group have the highest number of leavers for the reason of </w:t>
      </w:r>
      <w:r w:rsidR="005B7E30">
        <w:t>Resignation</w:t>
      </w:r>
      <w:r>
        <w:t xml:space="preserve"> followed by </w:t>
      </w:r>
      <w:r w:rsidR="005B7E30">
        <w:t>Support</w:t>
      </w:r>
      <w:r>
        <w:t xml:space="preserve"> accounting for the second highest leavers due to resignations. This is consistent with previous trends and is mainly due to the fact that the majority of people taking on the On-Call duty system will take on the role as secondary employment.</w:t>
      </w:r>
      <w:r w:rsidR="00404853">
        <w:t xml:space="preserve">  </w:t>
      </w:r>
      <w:r w:rsidR="00404853">
        <w:lastRenderedPageBreak/>
        <w:t xml:space="preserve">Table 13 shows the length of service at leaving which highlights that the majority of On-Call leavers left within 1-3 years. </w:t>
      </w:r>
    </w:p>
    <w:p w:rsidR="00C033D8" w:rsidRDefault="00C033D8" w:rsidP="000349EE">
      <w:pPr>
        <w:pStyle w:val="ListParagraph"/>
        <w:ind w:left="360"/>
        <w:jc w:val="both"/>
      </w:pPr>
    </w:p>
    <w:tbl>
      <w:tblPr>
        <w:tblStyle w:val="TableGrid"/>
        <w:tblW w:w="10627" w:type="dxa"/>
        <w:jc w:val="center"/>
        <w:tblLayout w:type="fixed"/>
        <w:tblLook w:val="04A0" w:firstRow="1" w:lastRow="0" w:firstColumn="1" w:lastColumn="0" w:noHBand="0" w:noVBand="1"/>
      </w:tblPr>
      <w:tblGrid>
        <w:gridCol w:w="2405"/>
        <w:gridCol w:w="1276"/>
        <w:gridCol w:w="1417"/>
        <w:gridCol w:w="1418"/>
        <w:gridCol w:w="1417"/>
        <w:gridCol w:w="1418"/>
        <w:gridCol w:w="1276"/>
      </w:tblGrid>
      <w:tr w:rsidR="009B5EE4" w:rsidRPr="005629D9" w:rsidTr="00045516">
        <w:trPr>
          <w:trHeight w:val="503"/>
          <w:jc w:val="center"/>
        </w:trPr>
        <w:tc>
          <w:tcPr>
            <w:tcW w:w="10627" w:type="dxa"/>
            <w:gridSpan w:val="7"/>
            <w:shd w:val="clear" w:color="auto" w:fill="0070C0"/>
            <w:vAlign w:val="center"/>
          </w:tcPr>
          <w:p w:rsidR="009B5EE4" w:rsidRDefault="009B5EE4" w:rsidP="009B5EE4">
            <w:pPr>
              <w:jc w:val="center"/>
              <w:rPr>
                <w:rFonts w:asciiTheme="minorHAnsi" w:hAnsiTheme="minorHAnsi"/>
                <w:b/>
                <w:color w:val="FFFFFF" w:themeColor="background1"/>
              </w:rPr>
            </w:pPr>
            <w:r>
              <w:rPr>
                <w:rFonts w:asciiTheme="minorHAnsi" w:hAnsiTheme="minorHAnsi"/>
                <w:b/>
                <w:color w:val="FFFFFF" w:themeColor="background1"/>
              </w:rPr>
              <w:t>Table 13: Length of Service at Leaving</w:t>
            </w:r>
          </w:p>
        </w:tc>
      </w:tr>
      <w:tr w:rsidR="009B5EE4" w:rsidRPr="005629D9" w:rsidTr="00045516">
        <w:trPr>
          <w:trHeight w:val="400"/>
          <w:jc w:val="center"/>
        </w:trPr>
        <w:tc>
          <w:tcPr>
            <w:tcW w:w="2405" w:type="dxa"/>
            <w:shd w:val="clear" w:color="auto" w:fill="0070C0"/>
            <w:vAlign w:val="center"/>
          </w:tcPr>
          <w:p w:rsidR="009B5EE4" w:rsidRPr="00764CC1" w:rsidRDefault="009B5EE4" w:rsidP="00045516">
            <w:pPr>
              <w:jc w:val="center"/>
              <w:rPr>
                <w:rFonts w:asciiTheme="minorHAnsi" w:hAnsiTheme="minorHAnsi"/>
                <w:b/>
              </w:rPr>
            </w:pPr>
            <w:r w:rsidRPr="00764CC1">
              <w:rPr>
                <w:rFonts w:asciiTheme="minorHAnsi" w:hAnsiTheme="minorHAnsi"/>
                <w:b/>
                <w:color w:val="FFFFFF" w:themeColor="background1"/>
              </w:rPr>
              <w:t>Employee</w:t>
            </w:r>
            <w:r w:rsidR="00045516">
              <w:rPr>
                <w:rFonts w:asciiTheme="minorHAnsi" w:hAnsiTheme="minorHAnsi"/>
                <w:b/>
                <w:color w:val="FFFFFF" w:themeColor="background1"/>
              </w:rPr>
              <w:t xml:space="preserve"> </w:t>
            </w:r>
            <w:r w:rsidRPr="00764CC1">
              <w:rPr>
                <w:rFonts w:asciiTheme="minorHAnsi" w:hAnsiTheme="minorHAnsi"/>
                <w:b/>
                <w:color w:val="FFFFFF" w:themeColor="background1"/>
              </w:rPr>
              <w:t>Group</w:t>
            </w:r>
          </w:p>
        </w:tc>
        <w:tc>
          <w:tcPr>
            <w:tcW w:w="1276" w:type="dxa"/>
            <w:shd w:val="clear" w:color="auto" w:fill="0070C0"/>
            <w:vAlign w:val="center"/>
          </w:tcPr>
          <w:p w:rsidR="009B5EE4" w:rsidRDefault="009B5EE4" w:rsidP="000361FA">
            <w:pPr>
              <w:jc w:val="center"/>
              <w:rPr>
                <w:rFonts w:asciiTheme="minorHAnsi" w:hAnsiTheme="minorHAnsi"/>
              </w:rPr>
            </w:pPr>
            <w:r>
              <w:rPr>
                <w:rFonts w:asciiTheme="minorHAnsi" w:hAnsiTheme="minorHAnsi"/>
                <w:b/>
                <w:color w:val="FFFFFF" w:themeColor="background1"/>
              </w:rPr>
              <w:t>&lt; 1 Year</w:t>
            </w:r>
          </w:p>
        </w:tc>
        <w:tc>
          <w:tcPr>
            <w:tcW w:w="1417" w:type="dxa"/>
            <w:shd w:val="clear" w:color="auto" w:fill="0070C0"/>
            <w:vAlign w:val="center"/>
          </w:tcPr>
          <w:p w:rsidR="009B5EE4" w:rsidRDefault="009B5EE4" w:rsidP="000361FA">
            <w:pPr>
              <w:jc w:val="center"/>
              <w:rPr>
                <w:rFonts w:asciiTheme="minorHAnsi" w:hAnsiTheme="minorHAnsi"/>
              </w:rPr>
            </w:pPr>
            <w:r>
              <w:rPr>
                <w:rFonts w:asciiTheme="minorHAnsi" w:hAnsiTheme="minorHAnsi"/>
                <w:b/>
                <w:color w:val="FFFFFF" w:themeColor="background1"/>
              </w:rPr>
              <w:t>1-3 Years</w:t>
            </w:r>
          </w:p>
        </w:tc>
        <w:tc>
          <w:tcPr>
            <w:tcW w:w="1418" w:type="dxa"/>
            <w:shd w:val="clear" w:color="auto" w:fill="0070C0"/>
            <w:vAlign w:val="center"/>
          </w:tcPr>
          <w:p w:rsidR="009B5EE4" w:rsidRDefault="009B5EE4" w:rsidP="000361FA">
            <w:pPr>
              <w:jc w:val="center"/>
              <w:rPr>
                <w:rFonts w:asciiTheme="minorHAnsi" w:hAnsiTheme="minorHAnsi"/>
                <w:b/>
                <w:color w:val="FFFFFF" w:themeColor="background1"/>
              </w:rPr>
            </w:pPr>
            <w:r>
              <w:rPr>
                <w:rFonts w:asciiTheme="minorHAnsi" w:hAnsiTheme="minorHAnsi"/>
                <w:b/>
                <w:color w:val="FFFFFF" w:themeColor="background1"/>
              </w:rPr>
              <w:t>4-5 Years</w:t>
            </w:r>
          </w:p>
        </w:tc>
        <w:tc>
          <w:tcPr>
            <w:tcW w:w="1417" w:type="dxa"/>
            <w:shd w:val="clear" w:color="auto" w:fill="0070C0"/>
            <w:vAlign w:val="center"/>
          </w:tcPr>
          <w:p w:rsidR="009B5EE4" w:rsidRDefault="009B5EE4" w:rsidP="000361FA">
            <w:pPr>
              <w:jc w:val="center"/>
              <w:rPr>
                <w:rFonts w:asciiTheme="minorHAnsi" w:hAnsiTheme="minorHAnsi"/>
                <w:b/>
                <w:color w:val="FFFFFF" w:themeColor="background1"/>
              </w:rPr>
            </w:pPr>
            <w:r>
              <w:rPr>
                <w:rFonts w:asciiTheme="minorHAnsi" w:hAnsiTheme="minorHAnsi"/>
                <w:b/>
                <w:color w:val="FFFFFF" w:themeColor="background1"/>
              </w:rPr>
              <w:t>6-10 Years</w:t>
            </w:r>
          </w:p>
        </w:tc>
        <w:tc>
          <w:tcPr>
            <w:tcW w:w="1418" w:type="dxa"/>
            <w:shd w:val="clear" w:color="auto" w:fill="0070C0"/>
            <w:vAlign w:val="center"/>
          </w:tcPr>
          <w:p w:rsidR="009B5EE4" w:rsidRDefault="009B5EE4" w:rsidP="000361FA">
            <w:pPr>
              <w:jc w:val="center"/>
              <w:rPr>
                <w:rFonts w:asciiTheme="minorHAnsi" w:hAnsiTheme="minorHAnsi"/>
                <w:b/>
                <w:color w:val="FFFFFF" w:themeColor="background1"/>
              </w:rPr>
            </w:pPr>
            <w:r>
              <w:rPr>
                <w:rFonts w:asciiTheme="minorHAnsi" w:hAnsiTheme="minorHAnsi"/>
                <w:b/>
                <w:color w:val="FFFFFF" w:themeColor="background1"/>
              </w:rPr>
              <w:t>11-20 Years</w:t>
            </w:r>
          </w:p>
        </w:tc>
        <w:tc>
          <w:tcPr>
            <w:tcW w:w="1276" w:type="dxa"/>
            <w:shd w:val="clear" w:color="auto" w:fill="0070C0"/>
            <w:vAlign w:val="center"/>
          </w:tcPr>
          <w:p w:rsidR="009B5EE4" w:rsidRDefault="009B5EE4" w:rsidP="000361FA">
            <w:pPr>
              <w:jc w:val="center"/>
              <w:rPr>
                <w:rFonts w:asciiTheme="minorHAnsi" w:hAnsiTheme="minorHAnsi"/>
                <w:b/>
                <w:color w:val="FFFFFF" w:themeColor="background1"/>
              </w:rPr>
            </w:pPr>
            <w:r>
              <w:rPr>
                <w:rFonts w:asciiTheme="minorHAnsi" w:hAnsiTheme="minorHAnsi"/>
                <w:b/>
                <w:color w:val="FFFFFF" w:themeColor="background1"/>
              </w:rPr>
              <w:t>20 Years +</w:t>
            </w:r>
          </w:p>
        </w:tc>
      </w:tr>
      <w:tr w:rsidR="00EE2846" w:rsidRPr="005629D9" w:rsidTr="00045516">
        <w:trPr>
          <w:trHeight w:val="400"/>
          <w:jc w:val="center"/>
        </w:trPr>
        <w:tc>
          <w:tcPr>
            <w:tcW w:w="2405" w:type="dxa"/>
            <w:vAlign w:val="center"/>
          </w:tcPr>
          <w:p w:rsidR="00EE2846" w:rsidRPr="005629D9" w:rsidRDefault="00EE2846" w:rsidP="00EE2846">
            <w:pPr>
              <w:rPr>
                <w:rFonts w:asciiTheme="minorHAnsi" w:hAnsiTheme="minorHAnsi"/>
              </w:rPr>
            </w:pPr>
            <w:proofErr w:type="spellStart"/>
            <w:r>
              <w:rPr>
                <w:rFonts w:asciiTheme="minorHAnsi" w:hAnsiTheme="minorHAnsi"/>
              </w:rPr>
              <w:t>Wholetime</w:t>
            </w:r>
            <w:proofErr w:type="spellEnd"/>
          </w:p>
        </w:tc>
        <w:tc>
          <w:tcPr>
            <w:tcW w:w="1276" w:type="dxa"/>
            <w:shd w:val="clear" w:color="auto" w:fill="auto"/>
            <w:vAlign w:val="center"/>
          </w:tcPr>
          <w:p w:rsidR="00EE2846" w:rsidRPr="00EE2846" w:rsidRDefault="00EE2846" w:rsidP="00EE2846">
            <w:pPr>
              <w:jc w:val="center"/>
              <w:rPr>
                <w:rFonts w:asciiTheme="minorHAnsi" w:hAnsiTheme="minorHAnsi"/>
                <w:szCs w:val="22"/>
              </w:rPr>
            </w:pPr>
            <w:r w:rsidRPr="00EE2846">
              <w:rPr>
                <w:rFonts w:asciiTheme="minorHAnsi" w:hAnsiTheme="minorHAnsi"/>
              </w:rPr>
              <w:t>2</w:t>
            </w:r>
          </w:p>
        </w:tc>
        <w:tc>
          <w:tcPr>
            <w:tcW w:w="1417" w:type="dxa"/>
            <w:vAlign w:val="center"/>
          </w:tcPr>
          <w:p w:rsidR="00EE2846" w:rsidRPr="00EE2846" w:rsidRDefault="00EE2846" w:rsidP="00EE2846">
            <w:pPr>
              <w:jc w:val="center"/>
              <w:rPr>
                <w:rFonts w:asciiTheme="minorHAnsi" w:hAnsiTheme="minorHAnsi"/>
                <w:szCs w:val="22"/>
              </w:rPr>
            </w:pPr>
          </w:p>
        </w:tc>
        <w:tc>
          <w:tcPr>
            <w:tcW w:w="1418" w:type="dxa"/>
            <w:vAlign w:val="center"/>
          </w:tcPr>
          <w:p w:rsidR="00EE2846" w:rsidRPr="00EE2846" w:rsidRDefault="00EE2846" w:rsidP="00EE2846">
            <w:pPr>
              <w:jc w:val="center"/>
              <w:rPr>
                <w:rFonts w:asciiTheme="minorHAnsi" w:hAnsiTheme="minorHAnsi"/>
                <w:szCs w:val="22"/>
              </w:rPr>
            </w:pPr>
            <w:r w:rsidRPr="00EE2846">
              <w:rPr>
                <w:rFonts w:asciiTheme="minorHAnsi" w:hAnsiTheme="minorHAnsi"/>
              </w:rPr>
              <w:t>3</w:t>
            </w:r>
          </w:p>
        </w:tc>
        <w:tc>
          <w:tcPr>
            <w:tcW w:w="1417" w:type="dxa"/>
            <w:vAlign w:val="center"/>
          </w:tcPr>
          <w:p w:rsidR="00EE2846" w:rsidRPr="00EE2846" w:rsidRDefault="00EE2846" w:rsidP="00EE2846">
            <w:pPr>
              <w:jc w:val="center"/>
              <w:rPr>
                <w:rFonts w:asciiTheme="minorHAnsi" w:hAnsiTheme="minorHAnsi"/>
                <w:szCs w:val="22"/>
              </w:rPr>
            </w:pPr>
            <w:r w:rsidRPr="00EE2846">
              <w:rPr>
                <w:rFonts w:asciiTheme="minorHAnsi" w:hAnsiTheme="minorHAnsi"/>
              </w:rPr>
              <w:t>1</w:t>
            </w:r>
          </w:p>
        </w:tc>
        <w:tc>
          <w:tcPr>
            <w:tcW w:w="1418" w:type="dxa"/>
            <w:vAlign w:val="center"/>
          </w:tcPr>
          <w:p w:rsidR="00EE2846" w:rsidRPr="00EE2846" w:rsidRDefault="00EE2846" w:rsidP="00EE2846">
            <w:pPr>
              <w:jc w:val="center"/>
              <w:rPr>
                <w:rFonts w:asciiTheme="minorHAnsi" w:hAnsiTheme="minorHAnsi"/>
                <w:szCs w:val="22"/>
              </w:rPr>
            </w:pPr>
            <w:r w:rsidRPr="00EE2846">
              <w:rPr>
                <w:rFonts w:asciiTheme="minorHAnsi" w:hAnsiTheme="minorHAnsi"/>
              </w:rPr>
              <w:t>9</w:t>
            </w:r>
          </w:p>
        </w:tc>
        <w:tc>
          <w:tcPr>
            <w:tcW w:w="1276" w:type="dxa"/>
            <w:vAlign w:val="center"/>
          </w:tcPr>
          <w:p w:rsidR="00EE2846" w:rsidRPr="00EE2846" w:rsidRDefault="00EE2846" w:rsidP="00EE2846">
            <w:pPr>
              <w:jc w:val="center"/>
              <w:rPr>
                <w:rFonts w:asciiTheme="minorHAnsi" w:hAnsiTheme="minorHAnsi"/>
                <w:szCs w:val="22"/>
              </w:rPr>
            </w:pPr>
            <w:r w:rsidRPr="00EE2846">
              <w:rPr>
                <w:rFonts w:asciiTheme="minorHAnsi" w:hAnsiTheme="minorHAnsi"/>
              </w:rPr>
              <w:t>27</w:t>
            </w:r>
          </w:p>
        </w:tc>
      </w:tr>
      <w:tr w:rsidR="00EE2846" w:rsidRPr="005629D9" w:rsidTr="00045516">
        <w:trPr>
          <w:trHeight w:val="400"/>
          <w:jc w:val="center"/>
        </w:trPr>
        <w:tc>
          <w:tcPr>
            <w:tcW w:w="2405" w:type="dxa"/>
            <w:vAlign w:val="center"/>
          </w:tcPr>
          <w:p w:rsidR="00EE2846" w:rsidRPr="00EE2846" w:rsidRDefault="00EE2846" w:rsidP="00EE2846">
            <w:pPr>
              <w:rPr>
                <w:rFonts w:asciiTheme="minorHAnsi" w:hAnsiTheme="minorHAnsi"/>
              </w:rPr>
            </w:pPr>
            <w:r w:rsidRPr="00EE2846">
              <w:rPr>
                <w:rFonts w:asciiTheme="minorHAnsi" w:hAnsiTheme="minorHAnsi"/>
              </w:rPr>
              <w:t>On-Call</w:t>
            </w:r>
          </w:p>
        </w:tc>
        <w:tc>
          <w:tcPr>
            <w:tcW w:w="1276" w:type="dxa"/>
            <w:shd w:val="clear" w:color="auto" w:fill="auto"/>
            <w:vAlign w:val="center"/>
          </w:tcPr>
          <w:p w:rsidR="00EE2846" w:rsidRPr="00EE2846" w:rsidRDefault="00EE2846" w:rsidP="00EE2846">
            <w:pPr>
              <w:jc w:val="center"/>
              <w:rPr>
                <w:rFonts w:asciiTheme="minorHAnsi" w:hAnsiTheme="minorHAnsi"/>
              </w:rPr>
            </w:pPr>
            <w:r w:rsidRPr="00EE2846">
              <w:rPr>
                <w:rFonts w:asciiTheme="minorHAnsi" w:hAnsiTheme="minorHAnsi"/>
              </w:rPr>
              <w:t>14</w:t>
            </w:r>
          </w:p>
        </w:tc>
        <w:tc>
          <w:tcPr>
            <w:tcW w:w="1417" w:type="dxa"/>
            <w:vAlign w:val="center"/>
          </w:tcPr>
          <w:p w:rsidR="00EE2846" w:rsidRPr="00EE2846" w:rsidRDefault="00EE2846" w:rsidP="00EE2846">
            <w:pPr>
              <w:jc w:val="center"/>
              <w:rPr>
                <w:rFonts w:asciiTheme="minorHAnsi" w:hAnsiTheme="minorHAnsi"/>
              </w:rPr>
            </w:pPr>
            <w:r w:rsidRPr="00EE2846">
              <w:rPr>
                <w:rFonts w:asciiTheme="minorHAnsi" w:hAnsiTheme="minorHAnsi"/>
              </w:rPr>
              <w:t>24</w:t>
            </w:r>
          </w:p>
        </w:tc>
        <w:tc>
          <w:tcPr>
            <w:tcW w:w="1418" w:type="dxa"/>
            <w:vAlign w:val="center"/>
          </w:tcPr>
          <w:p w:rsidR="00EE2846" w:rsidRPr="00EE2846" w:rsidRDefault="00EE2846" w:rsidP="00EE2846">
            <w:pPr>
              <w:jc w:val="center"/>
              <w:rPr>
                <w:rFonts w:asciiTheme="minorHAnsi" w:hAnsiTheme="minorHAnsi"/>
              </w:rPr>
            </w:pPr>
            <w:r w:rsidRPr="00EE2846">
              <w:rPr>
                <w:rFonts w:asciiTheme="minorHAnsi" w:hAnsiTheme="minorHAnsi"/>
              </w:rPr>
              <w:t>4</w:t>
            </w:r>
          </w:p>
        </w:tc>
        <w:tc>
          <w:tcPr>
            <w:tcW w:w="1417" w:type="dxa"/>
            <w:vAlign w:val="center"/>
          </w:tcPr>
          <w:p w:rsidR="00EE2846" w:rsidRPr="00EE2846" w:rsidRDefault="00EE2846" w:rsidP="00EE2846">
            <w:pPr>
              <w:jc w:val="center"/>
              <w:rPr>
                <w:rFonts w:asciiTheme="minorHAnsi" w:hAnsiTheme="minorHAnsi"/>
              </w:rPr>
            </w:pPr>
            <w:r w:rsidRPr="00EE2846">
              <w:rPr>
                <w:rFonts w:asciiTheme="minorHAnsi" w:hAnsiTheme="minorHAnsi"/>
              </w:rPr>
              <w:t>10</w:t>
            </w:r>
          </w:p>
        </w:tc>
        <w:tc>
          <w:tcPr>
            <w:tcW w:w="1418" w:type="dxa"/>
            <w:vAlign w:val="center"/>
          </w:tcPr>
          <w:p w:rsidR="00EE2846" w:rsidRPr="00EE2846" w:rsidRDefault="00EE2846" w:rsidP="00EE2846">
            <w:pPr>
              <w:jc w:val="center"/>
              <w:rPr>
                <w:rFonts w:asciiTheme="minorHAnsi" w:hAnsiTheme="minorHAnsi"/>
              </w:rPr>
            </w:pPr>
            <w:r w:rsidRPr="00EE2846">
              <w:rPr>
                <w:rFonts w:asciiTheme="minorHAnsi" w:hAnsiTheme="minorHAnsi"/>
              </w:rPr>
              <w:t>16</w:t>
            </w:r>
          </w:p>
        </w:tc>
        <w:tc>
          <w:tcPr>
            <w:tcW w:w="1276" w:type="dxa"/>
            <w:vAlign w:val="center"/>
          </w:tcPr>
          <w:p w:rsidR="00EE2846" w:rsidRPr="00EE2846" w:rsidRDefault="00EE2846" w:rsidP="00EE2846">
            <w:pPr>
              <w:jc w:val="center"/>
              <w:rPr>
                <w:rFonts w:asciiTheme="minorHAnsi" w:hAnsiTheme="minorHAnsi"/>
              </w:rPr>
            </w:pPr>
            <w:r w:rsidRPr="00EE2846">
              <w:rPr>
                <w:rFonts w:asciiTheme="minorHAnsi" w:hAnsiTheme="minorHAnsi"/>
              </w:rPr>
              <w:t>15</w:t>
            </w:r>
          </w:p>
        </w:tc>
      </w:tr>
      <w:tr w:rsidR="00EE2846" w:rsidRPr="005629D9" w:rsidTr="00045516">
        <w:trPr>
          <w:trHeight w:val="400"/>
          <w:jc w:val="center"/>
        </w:trPr>
        <w:tc>
          <w:tcPr>
            <w:tcW w:w="2405" w:type="dxa"/>
            <w:vAlign w:val="center"/>
          </w:tcPr>
          <w:p w:rsidR="00EE2846" w:rsidRPr="00EE2846" w:rsidRDefault="00EE2846" w:rsidP="00EE2846">
            <w:pPr>
              <w:rPr>
                <w:rFonts w:asciiTheme="minorHAnsi" w:hAnsiTheme="minorHAnsi"/>
              </w:rPr>
            </w:pPr>
            <w:r w:rsidRPr="00EE2846">
              <w:rPr>
                <w:rFonts w:asciiTheme="minorHAnsi" w:hAnsiTheme="minorHAnsi"/>
              </w:rPr>
              <w:t>Support</w:t>
            </w:r>
          </w:p>
        </w:tc>
        <w:tc>
          <w:tcPr>
            <w:tcW w:w="1276" w:type="dxa"/>
            <w:shd w:val="clear" w:color="auto" w:fill="auto"/>
            <w:vAlign w:val="center"/>
          </w:tcPr>
          <w:p w:rsidR="00EE2846" w:rsidRPr="00EE2846" w:rsidRDefault="00EE2846" w:rsidP="00EE2846">
            <w:pPr>
              <w:jc w:val="center"/>
              <w:rPr>
                <w:rFonts w:asciiTheme="minorHAnsi" w:hAnsiTheme="minorHAnsi"/>
              </w:rPr>
            </w:pPr>
            <w:r w:rsidRPr="00EE2846">
              <w:rPr>
                <w:rFonts w:asciiTheme="minorHAnsi" w:hAnsiTheme="minorHAnsi"/>
                <w:color w:val="000000"/>
              </w:rPr>
              <w:t>10</w:t>
            </w:r>
          </w:p>
        </w:tc>
        <w:tc>
          <w:tcPr>
            <w:tcW w:w="1417" w:type="dxa"/>
            <w:vAlign w:val="center"/>
          </w:tcPr>
          <w:p w:rsidR="00EE2846" w:rsidRPr="00EE2846" w:rsidRDefault="00EE2846" w:rsidP="00EE2846">
            <w:pPr>
              <w:jc w:val="center"/>
              <w:rPr>
                <w:rFonts w:asciiTheme="minorHAnsi" w:hAnsiTheme="minorHAnsi"/>
              </w:rPr>
            </w:pPr>
            <w:r w:rsidRPr="00EE2846">
              <w:rPr>
                <w:rFonts w:asciiTheme="minorHAnsi" w:hAnsiTheme="minorHAnsi"/>
                <w:color w:val="000000"/>
              </w:rPr>
              <w:t>20</w:t>
            </w:r>
          </w:p>
        </w:tc>
        <w:tc>
          <w:tcPr>
            <w:tcW w:w="1418" w:type="dxa"/>
            <w:vAlign w:val="center"/>
          </w:tcPr>
          <w:p w:rsidR="00EE2846" w:rsidRPr="00EE2846" w:rsidRDefault="00EE2846" w:rsidP="00EE2846">
            <w:pPr>
              <w:jc w:val="center"/>
              <w:rPr>
                <w:rFonts w:asciiTheme="minorHAnsi" w:hAnsiTheme="minorHAnsi"/>
              </w:rPr>
            </w:pPr>
            <w:r w:rsidRPr="00EE2846">
              <w:rPr>
                <w:rFonts w:asciiTheme="minorHAnsi" w:hAnsiTheme="minorHAnsi"/>
                <w:color w:val="000000"/>
              </w:rPr>
              <w:t>6</w:t>
            </w:r>
          </w:p>
        </w:tc>
        <w:tc>
          <w:tcPr>
            <w:tcW w:w="1417" w:type="dxa"/>
            <w:vAlign w:val="center"/>
          </w:tcPr>
          <w:p w:rsidR="00EE2846" w:rsidRPr="00EE2846" w:rsidRDefault="00EE2846" w:rsidP="00EE2846">
            <w:pPr>
              <w:jc w:val="center"/>
              <w:rPr>
                <w:rFonts w:asciiTheme="minorHAnsi" w:hAnsiTheme="minorHAnsi"/>
              </w:rPr>
            </w:pPr>
            <w:r w:rsidRPr="00EE2846">
              <w:rPr>
                <w:rFonts w:asciiTheme="minorHAnsi" w:hAnsiTheme="minorHAnsi"/>
                <w:color w:val="000000"/>
              </w:rPr>
              <w:t>13</w:t>
            </w:r>
          </w:p>
        </w:tc>
        <w:tc>
          <w:tcPr>
            <w:tcW w:w="1418" w:type="dxa"/>
            <w:vAlign w:val="center"/>
          </w:tcPr>
          <w:p w:rsidR="00EE2846" w:rsidRPr="00EE2846" w:rsidRDefault="00EE2846" w:rsidP="00EE2846">
            <w:pPr>
              <w:jc w:val="center"/>
              <w:rPr>
                <w:rFonts w:asciiTheme="minorHAnsi" w:hAnsiTheme="minorHAnsi"/>
              </w:rPr>
            </w:pPr>
            <w:r w:rsidRPr="00EE2846">
              <w:rPr>
                <w:rFonts w:asciiTheme="minorHAnsi" w:hAnsiTheme="minorHAnsi"/>
                <w:color w:val="000000"/>
              </w:rPr>
              <w:t>12</w:t>
            </w:r>
          </w:p>
        </w:tc>
        <w:tc>
          <w:tcPr>
            <w:tcW w:w="1276" w:type="dxa"/>
            <w:vAlign w:val="center"/>
          </w:tcPr>
          <w:p w:rsidR="00EE2846" w:rsidRPr="00EE2846" w:rsidRDefault="00EE2846" w:rsidP="00EE2846">
            <w:pPr>
              <w:jc w:val="center"/>
              <w:rPr>
                <w:rFonts w:asciiTheme="minorHAnsi" w:hAnsiTheme="minorHAnsi"/>
              </w:rPr>
            </w:pPr>
            <w:r w:rsidRPr="00EE2846">
              <w:rPr>
                <w:rFonts w:asciiTheme="minorHAnsi" w:hAnsiTheme="minorHAnsi"/>
                <w:color w:val="000000"/>
              </w:rPr>
              <w:t>2</w:t>
            </w:r>
          </w:p>
        </w:tc>
      </w:tr>
      <w:tr w:rsidR="009B5EE4" w:rsidRPr="005629D9" w:rsidTr="00045516">
        <w:trPr>
          <w:trHeight w:val="400"/>
          <w:jc w:val="center"/>
        </w:trPr>
        <w:tc>
          <w:tcPr>
            <w:tcW w:w="2405" w:type="dxa"/>
            <w:vAlign w:val="center"/>
          </w:tcPr>
          <w:p w:rsidR="009B5EE4" w:rsidRPr="00EE2846" w:rsidRDefault="009B5EE4" w:rsidP="00EE2846">
            <w:pPr>
              <w:rPr>
                <w:rFonts w:asciiTheme="minorHAnsi" w:hAnsiTheme="minorHAnsi"/>
              </w:rPr>
            </w:pPr>
            <w:r w:rsidRPr="00270718">
              <w:rPr>
                <w:rFonts w:asciiTheme="minorHAnsi" w:hAnsiTheme="minorHAnsi"/>
              </w:rPr>
              <w:t>Control</w:t>
            </w:r>
          </w:p>
        </w:tc>
        <w:tc>
          <w:tcPr>
            <w:tcW w:w="1276" w:type="dxa"/>
            <w:shd w:val="clear" w:color="auto" w:fill="auto"/>
            <w:vAlign w:val="center"/>
          </w:tcPr>
          <w:p w:rsidR="009B5EE4" w:rsidRPr="00EE2846" w:rsidRDefault="00895B1E" w:rsidP="00EE2846">
            <w:pPr>
              <w:jc w:val="center"/>
              <w:rPr>
                <w:rFonts w:asciiTheme="minorHAnsi" w:hAnsiTheme="minorHAnsi"/>
              </w:rPr>
            </w:pPr>
            <w:r>
              <w:rPr>
                <w:rFonts w:asciiTheme="minorHAnsi" w:hAnsiTheme="minorHAnsi"/>
              </w:rPr>
              <w:t>-</w:t>
            </w:r>
          </w:p>
        </w:tc>
        <w:tc>
          <w:tcPr>
            <w:tcW w:w="1417" w:type="dxa"/>
            <w:vAlign w:val="center"/>
          </w:tcPr>
          <w:p w:rsidR="009B5EE4" w:rsidRPr="00EE2846" w:rsidRDefault="00895B1E" w:rsidP="00EE2846">
            <w:pPr>
              <w:jc w:val="center"/>
              <w:rPr>
                <w:rFonts w:asciiTheme="minorHAnsi" w:hAnsiTheme="minorHAnsi"/>
              </w:rPr>
            </w:pPr>
            <w:r>
              <w:rPr>
                <w:rFonts w:asciiTheme="minorHAnsi" w:hAnsiTheme="minorHAnsi"/>
              </w:rPr>
              <w:t>-</w:t>
            </w:r>
          </w:p>
        </w:tc>
        <w:tc>
          <w:tcPr>
            <w:tcW w:w="1418" w:type="dxa"/>
            <w:vAlign w:val="center"/>
          </w:tcPr>
          <w:p w:rsidR="009B5EE4" w:rsidRPr="00EE2846" w:rsidRDefault="00895B1E" w:rsidP="00EE2846">
            <w:pPr>
              <w:jc w:val="center"/>
              <w:rPr>
                <w:rFonts w:asciiTheme="minorHAnsi" w:hAnsiTheme="minorHAnsi"/>
              </w:rPr>
            </w:pPr>
            <w:r>
              <w:rPr>
                <w:rFonts w:asciiTheme="minorHAnsi" w:hAnsiTheme="minorHAnsi"/>
              </w:rPr>
              <w:t>-</w:t>
            </w:r>
          </w:p>
        </w:tc>
        <w:tc>
          <w:tcPr>
            <w:tcW w:w="1417" w:type="dxa"/>
            <w:vAlign w:val="center"/>
          </w:tcPr>
          <w:p w:rsidR="009B5EE4" w:rsidRPr="00EE2846" w:rsidRDefault="00895B1E" w:rsidP="00EE2846">
            <w:pPr>
              <w:jc w:val="center"/>
              <w:rPr>
                <w:rFonts w:asciiTheme="minorHAnsi" w:hAnsiTheme="minorHAnsi"/>
              </w:rPr>
            </w:pPr>
            <w:r>
              <w:rPr>
                <w:rFonts w:asciiTheme="minorHAnsi" w:hAnsiTheme="minorHAnsi"/>
              </w:rPr>
              <w:t>-</w:t>
            </w:r>
          </w:p>
        </w:tc>
        <w:tc>
          <w:tcPr>
            <w:tcW w:w="1418" w:type="dxa"/>
            <w:vAlign w:val="center"/>
          </w:tcPr>
          <w:p w:rsidR="009B5EE4" w:rsidRPr="00EE2846" w:rsidRDefault="00895B1E" w:rsidP="00EE2846">
            <w:pPr>
              <w:jc w:val="center"/>
              <w:rPr>
                <w:rFonts w:asciiTheme="minorHAnsi" w:hAnsiTheme="minorHAnsi"/>
              </w:rPr>
            </w:pPr>
            <w:r>
              <w:rPr>
                <w:rFonts w:asciiTheme="minorHAnsi" w:hAnsiTheme="minorHAnsi"/>
              </w:rPr>
              <w:t>-</w:t>
            </w:r>
          </w:p>
        </w:tc>
        <w:tc>
          <w:tcPr>
            <w:tcW w:w="1276" w:type="dxa"/>
            <w:vAlign w:val="center"/>
          </w:tcPr>
          <w:p w:rsidR="009B5EE4" w:rsidRPr="00EE2846" w:rsidRDefault="00895B1E" w:rsidP="00EE2846">
            <w:pPr>
              <w:jc w:val="center"/>
              <w:rPr>
                <w:rFonts w:asciiTheme="minorHAnsi" w:hAnsiTheme="minorHAnsi"/>
              </w:rPr>
            </w:pPr>
            <w:r>
              <w:rPr>
                <w:rFonts w:asciiTheme="minorHAnsi" w:hAnsiTheme="minorHAnsi"/>
              </w:rPr>
              <w:t>-</w:t>
            </w:r>
          </w:p>
        </w:tc>
      </w:tr>
      <w:tr w:rsidR="009B5EE4" w:rsidRPr="005629D9" w:rsidTr="00045516">
        <w:trPr>
          <w:trHeight w:val="400"/>
          <w:jc w:val="center"/>
        </w:trPr>
        <w:tc>
          <w:tcPr>
            <w:tcW w:w="2405" w:type="dxa"/>
            <w:shd w:val="clear" w:color="auto" w:fill="E7E6E6" w:themeFill="background2"/>
            <w:vAlign w:val="center"/>
          </w:tcPr>
          <w:p w:rsidR="009B5EE4" w:rsidRPr="005629D9" w:rsidRDefault="009B5EE4" w:rsidP="000361FA">
            <w:pPr>
              <w:rPr>
                <w:rFonts w:asciiTheme="minorHAnsi" w:hAnsiTheme="minorHAnsi"/>
                <w:b/>
              </w:rPr>
            </w:pPr>
            <w:r>
              <w:rPr>
                <w:rFonts w:asciiTheme="minorHAnsi" w:hAnsiTheme="minorHAnsi"/>
                <w:b/>
              </w:rPr>
              <w:t>OVERALL</w:t>
            </w:r>
          </w:p>
        </w:tc>
        <w:tc>
          <w:tcPr>
            <w:tcW w:w="1276" w:type="dxa"/>
            <w:shd w:val="clear" w:color="auto" w:fill="E7E6E6" w:themeFill="background2"/>
            <w:vAlign w:val="center"/>
          </w:tcPr>
          <w:p w:rsidR="009B5EE4" w:rsidRPr="000D0E30" w:rsidRDefault="00996E56" w:rsidP="00996E56">
            <w:pPr>
              <w:jc w:val="center"/>
              <w:rPr>
                <w:rFonts w:asciiTheme="minorHAnsi" w:hAnsiTheme="minorHAnsi"/>
                <w:b/>
                <w:szCs w:val="22"/>
              </w:rPr>
            </w:pPr>
            <w:r>
              <w:rPr>
                <w:rFonts w:asciiTheme="minorHAnsi" w:hAnsiTheme="minorHAnsi"/>
                <w:b/>
                <w:szCs w:val="22"/>
              </w:rPr>
              <w:t>26</w:t>
            </w:r>
          </w:p>
        </w:tc>
        <w:tc>
          <w:tcPr>
            <w:tcW w:w="1417" w:type="dxa"/>
            <w:shd w:val="clear" w:color="auto" w:fill="E7E6E6" w:themeFill="background2"/>
            <w:vAlign w:val="center"/>
          </w:tcPr>
          <w:p w:rsidR="009B5EE4" w:rsidRPr="000D0E30" w:rsidRDefault="00996E56" w:rsidP="00996E56">
            <w:pPr>
              <w:jc w:val="center"/>
              <w:rPr>
                <w:rFonts w:asciiTheme="minorHAnsi" w:hAnsiTheme="minorHAnsi"/>
                <w:b/>
                <w:szCs w:val="22"/>
              </w:rPr>
            </w:pPr>
            <w:r>
              <w:rPr>
                <w:rFonts w:asciiTheme="minorHAnsi" w:hAnsiTheme="minorHAnsi"/>
                <w:b/>
                <w:szCs w:val="22"/>
              </w:rPr>
              <w:t>44</w:t>
            </w:r>
          </w:p>
        </w:tc>
        <w:tc>
          <w:tcPr>
            <w:tcW w:w="1418" w:type="dxa"/>
            <w:shd w:val="clear" w:color="auto" w:fill="E7E6E6" w:themeFill="background2"/>
            <w:vAlign w:val="center"/>
          </w:tcPr>
          <w:p w:rsidR="009B5EE4" w:rsidRPr="000D0E30" w:rsidRDefault="00996E56" w:rsidP="00996E56">
            <w:pPr>
              <w:jc w:val="center"/>
              <w:rPr>
                <w:rFonts w:asciiTheme="minorHAnsi" w:hAnsiTheme="minorHAnsi"/>
                <w:b/>
                <w:szCs w:val="22"/>
              </w:rPr>
            </w:pPr>
            <w:r>
              <w:rPr>
                <w:rFonts w:asciiTheme="minorHAnsi" w:hAnsiTheme="minorHAnsi"/>
                <w:b/>
                <w:szCs w:val="22"/>
              </w:rPr>
              <w:t>13</w:t>
            </w:r>
          </w:p>
        </w:tc>
        <w:tc>
          <w:tcPr>
            <w:tcW w:w="1417" w:type="dxa"/>
            <w:shd w:val="clear" w:color="auto" w:fill="E7E6E6" w:themeFill="background2"/>
            <w:vAlign w:val="center"/>
          </w:tcPr>
          <w:p w:rsidR="009B5EE4" w:rsidRPr="000D0E30" w:rsidRDefault="00996E56" w:rsidP="00996E56">
            <w:pPr>
              <w:jc w:val="center"/>
              <w:rPr>
                <w:rFonts w:asciiTheme="minorHAnsi" w:hAnsiTheme="minorHAnsi"/>
                <w:b/>
                <w:szCs w:val="22"/>
              </w:rPr>
            </w:pPr>
            <w:r>
              <w:rPr>
                <w:rFonts w:asciiTheme="minorHAnsi" w:hAnsiTheme="minorHAnsi"/>
                <w:b/>
                <w:szCs w:val="22"/>
              </w:rPr>
              <w:t>24</w:t>
            </w:r>
          </w:p>
        </w:tc>
        <w:tc>
          <w:tcPr>
            <w:tcW w:w="1418" w:type="dxa"/>
            <w:shd w:val="clear" w:color="auto" w:fill="E7E6E6" w:themeFill="background2"/>
            <w:vAlign w:val="center"/>
          </w:tcPr>
          <w:p w:rsidR="009B5EE4" w:rsidRPr="000D0E30" w:rsidRDefault="00996E56" w:rsidP="00996E56">
            <w:pPr>
              <w:jc w:val="center"/>
              <w:rPr>
                <w:rFonts w:asciiTheme="minorHAnsi" w:hAnsiTheme="minorHAnsi"/>
                <w:b/>
                <w:szCs w:val="22"/>
              </w:rPr>
            </w:pPr>
            <w:r>
              <w:rPr>
                <w:rFonts w:asciiTheme="minorHAnsi" w:hAnsiTheme="minorHAnsi"/>
                <w:b/>
                <w:szCs w:val="22"/>
              </w:rPr>
              <w:t>37</w:t>
            </w:r>
          </w:p>
        </w:tc>
        <w:tc>
          <w:tcPr>
            <w:tcW w:w="1276" w:type="dxa"/>
            <w:shd w:val="clear" w:color="auto" w:fill="E7E6E6" w:themeFill="background2"/>
            <w:vAlign w:val="center"/>
          </w:tcPr>
          <w:p w:rsidR="009B5EE4" w:rsidRPr="000D0E30" w:rsidRDefault="00996E56" w:rsidP="00996E56">
            <w:pPr>
              <w:jc w:val="center"/>
              <w:rPr>
                <w:rFonts w:asciiTheme="minorHAnsi" w:hAnsiTheme="minorHAnsi"/>
                <w:b/>
                <w:szCs w:val="22"/>
              </w:rPr>
            </w:pPr>
            <w:r>
              <w:rPr>
                <w:rFonts w:asciiTheme="minorHAnsi" w:hAnsiTheme="minorHAnsi"/>
                <w:b/>
                <w:szCs w:val="22"/>
              </w:rPr>
              <w:t>44</w:t>
            </w:r>
          </w:p>
        </w:tc>
      </w:tr>
    </w:tbl>
    <w:p w:rsidR="001921F5" w:rsidRDefault="001921F5" w:rsidP="000349EE">
      <w:pPr>
        <w:pStyle w:val="ListParagraph"/>
        <w:ind w:left="360"/>
        <w:jc w:val="both"/>
        <w:rPr>
          <w:color w:val="FF0000"/>
          <w:highlight w:val="yellow"/>
        </w:rPr>
      </w:pPr>
    </w:p>
    <w:p w:rsidR="002C6E58" w:rsidRPr="002F7488" w:rsidRDefault="002C6E58" w:rsidP="00F20BB1">
      <w:pPr>
        <w:pStyle w:val="ListParagraph"/>
        <w:numPr>
          <w:ilvl w:val="1"/>
          <w:numId w:val="24"/>
        </w:numPr>
        <w:ind w:left="426"/>
        <w:jc w:val="both"/>
        <w:rPr>
          <w:b/>
        </w:rPr>
      </w:pPr>
      <w:r w:rsidRPr="002F7488">
        <w:rPr>
          <w:b/>
        </w:rPr>
        <w:t>Joiners/Recruitment</w:t>
      </w:r>
    </w:p>
    <w:p w:rsidR="002C6E58" w:rsidRDefault="002C6E58" w:rsidP="00F20BB1">
      <w:pPr>
        <w:ind w:left="426"/>
        <w:jc w:val="both"/>
      </w:pPr>
    </w:p>
    <w:p w:rsidR="00D016BB" w:rsidRDefault="00070DC0" w:rsidP="00F20BB1">
      <w:pPr>
        <w:pStyle w:val="ListParagraph"/>
        <w:ind w:left="0"/>
        <w:jc w:val="both"/>
      </w:pPr>
      <w:r>
        <w:t>T</w:t>
      </w:r>
      <w:r w:rsidR="00024F69">
        <w:t xml:space="preserve">hroughout 2018 there has been a further </w:t>
      </w:r>
      <w:r>
        <w:t xml:space="preserve">increase in joiners with </w:t>
      </w:r>
      <w:r w:rsidR="00024F69">
        <w:t xml:space="preserve">27 </w:t>
      </w:r>
      <w:r>
        <w:t xml:space="preserve">more staff being recruited than the year before. The largest group of joiners being </w:t>
      </w:r>
      <w:r w:rsidR="00024F69">
        <w:t xml:space="preserve">On-Call </w:t>
      </w:r>
      <w:r>
        <w:t xml:space="preserve">followed by </w:t>
      </w:r>
      <w:proofErr w:type="spellStart"/>
      <w:r w:rsidR="00024F69">
        <w:t>Wholetime</w:t>
      </w:r>
      <w:proofErr w:type="spellEnd"/>
      <w:r w:rsidR="0053514E">
        <w:t xml:space="preserve"> this is reflective of the recruitment campaign during 2018 to</w:t>
      </w:r>
      <w:r w:rsidR="004B1F51">
        <w:t xml:space="preserve"> recruited </w:t>
      </w:r>
      <w:proofErr w:type="spellStart"/>
      <w:r w:rsidR="004B1F51">
        <w:t>Wholetime</w:t>
      </w:r>
      <w:proofErr w:type="spellEnd"/>
      <w:r w:rsidR="004B1F51">
        <w:t xml:space="preserve"> Firefighters to main</w:t>
      </w:r>
      <w:r w:rsidR="0053514E">
        <w:t>tain our operational capability.</w:t>
      </w:r>
    </w:p>
    <w:p w:rsidR="004B1F51" w:rsidRDefault="004B1F51" w:rsidP="00D016BB">
      <w:pPr>
        <w:pStyle w:val="ListParagraph"/>
        <w:ind w:left="360"/>
        <w:jc w:val="both"/>
      </w:pPr>
    </w:p>
    <w:tbl>
      <w:tblPr>
        <w:tblStyle w:val="TableGrid"/>
        <w:tblW w:w="7366" w:type="dxa"/>
        <w:jc w:val="center"/>
        <w:tblLayout w:type="fixed"/>
        <w:tblLook w:val="04A0" w:firstRow="1" w:lastRow="0" w:firstColumn="1" w:lastColumn="0" w:noHBand="0" w:noVBand="1"/>
      </w:tblPr>
      <w:tblGrid>
        <w:gridCol w:w="1838"/>
        <w:gridCol w:w="2764"/>
        <w:gridCol w:w="2764"/>
      </w:tblGrid>
      <w:tr w:rsidR="000A11CD" w:rsidRPr="005629D9" w:rsidTr="000361FA">
        <w:trPr>
          <w:trHeight w:val="510"/>
          <w:jc w:val="center"/>
        </w:trPr>
        <w:tc>
          <w:tcPr>
            <w:tcW w:w="7366" w:type="dxa"/>
            <w:gridSpan w:val="3"/>
            <w:shd w:val="clear" w:color="auto" w:fill="0070C0"/>
            <w:vAlign w:val="center"/>
          </w:tcPr>
          <w:p w:rsidR="000A11CD" w:rsidRDefault="000A11CD" w:rsidP="000A11CD">
            <w:pPr>
              <w:jc w:val="center"/>
              <w:rPr>
                <w:rFonts w:asciiTheme="minorHAnsi" w:hAnsiTheme="minorHAnsi"/>
                <w:b/>
                <w:color w:val="FFFFFF" w:themeColor="background1"/>
              </w:rPr>
            </w:pPr>
            <w:r>
              <w:rPr>
                <w:rFonts w:asciiTheme="minorHAnsi" w:hAnsiTheme="minorHAnsi"/>
                <w:b/>
                <w:color w:val="FFFFFF" w:themeColor="background1"/>
              </w:rPr>
              <w:t>Table 14: Joiners</w:t>
            </w:r>
          </w:p>
        </w:tc>
      </w:tr>
      <w:tr w:rsidR="000A11CD" w:rsidRPr="005629D9" w:rsidTr="000361FA">
        <w:trPr>
          <w:trHeight w:val="385"/>
          <w:jc w:val="center"/>
        </w:trPr>
        <w:tc>
          <w:tcPr>
            <w:tcW w:w="1838" w:type="dxa"/>
            <w:shd w:val="clear" w:color="auto" w:fill="0070C0"/>
            <w:vAlign w:val="center"/>
          </w:tcPr>
          <w:p w:rsidR="000A11CD" w:rsidRDefault="000A11CD" w:rsidP="000361FA">
            <w:pPr>
              <w:jc w:val="center"/>
              <w:rPr>
                <w:rFonts w:asciiTheme="minorHAnsi" w:hAnsiTheme="minorHAnsi"/>
              </w:rPr>
            </w:pPr>
            <w:r>
              <w:rPr>
                <w:rFonts w:asciiTheme="minorHAnsi" w:hAnsiTheme="minorHAnsi"/>
                <w:b/>
                <w:color w:val="FFFFFF" w:themeColor="background1"/>
              </w:rPr>
              <w:t>Employee Group</w:t>
            </w:r>
          </w:p>
        </w:tc>
        <w:tc>
          <w:tcPr>
            <w:tcW w:w="2764" w:type="dxa"/>
            <w:shd w:val="clear" w:color="auto" w:fill="0070C0"/>
            <w:vAlign w:val="center"/>
          </w:tcPr>
          <w:p w:rsidR="000A11CD" w:rsidRDefault="000A11CD" w:rsidP="000361FA">
            <w:pPr>
              <w:jc w:val="center"/>
              <w:rPr>
                <w:rFonts w:asciiTheme="minorHAnsi" w:hAnsiTheme="minorHAnsi"/>
              </w:rPr>
            </w:pPr>
            <w:r>
              <w:rPr>
                <w:rFonts w:asciiTheme="minorHAnsi" w:hAnsiTheme="minorHAnsi"/>
                <w:b/>
                <w:color w:val="FFFFFF" w:themeColor="background1"/>
              </w:rPr>
              <w:t>2017</w:t>
            </w:r>
          </w:p>
        </w:tc>
        <w:tc>
          <w:tcPr>
            <w:tcW w:w="2764" w:type="dxa"/>
            <w:shd w:val="clear" w:color="auto" w:fill="0070C0"/>
            <w:vAlign w:val="center"/>
          </w:tcPr>
          <w:p w:rsidR="000A11CD" w:rsidRDefault="000A11CD" w:rsidP="000361FA">
            <w:pPr>
              <w:jc w:val="center"/>
              <w:rPr>
                <w:rFonts w:asciiTheme="minorHAnsi" w:hAnsiTheme="minorHAnsi"/>
              </w:rPr>
            </w:pPr>
            <w:r>
              <w:rPr>
                <w:rFonts w:asciiTheme="minorHAnsi" w:hAnsiTheme="minorHAnsi"/>
                <w:b/>
                <w:color w:val="FFFFFF" w:themeColor="background1"/>
              </w:rPr>
              <w:t>2018</w:t>
            </w:r>
          </w:p>
        </w:tc>
      </w:tr>
      <w:tr w:rsidR="000A11CD" w:rsidRPr="005629D9" w:rsidTr="000361FA">
        <w:trPr>
          <w:trHeight w:val="385"/>
          <w:jc w:val="center"/>
        </w:trPr>
        <w:tc>
          <w:tcPr>
            <w:tcW w:w="1838" w:type="dxa"/>
            <w:vAlign w:val="center"/>
          </w:tcPr>
          <w:p w:rsidR="000A11CD" w:rsidRPr="005629D9" w:rsidRDefault="000A11CD" w:rsidP="000361FA">
            <w:pPr>
              <w:rPr>
                <w:rFonts w:asciiTheme="minorHAnsi" w:hAnsiTheme="minorHAnsi"/>
              </w:rPr>
            </w:pPr>
            <w:proofErr w:type="spellStart"/>
            <w:r>
              <w:rPr>
                <w:rFonts w:asciiTheme="minorHAnsi" w:hAnsiTheme="minorHAnsi"/>
              </w:rPr>
              <w:t>Wholetime</w:t>
            </w:r>
            <w:proofErr w:type="spellEnd"/>
          </w:p>
        </w:tc>
        <w:tc>
          <w:tcPr>
            <w:tcW w:w="2764" w:type="dxa"/>
            <w:shd w:val="clear" w:color="auto" w:fill="auto"/>
            <w:vAlign w:val="center"/>
          </w:tcPr>
          <w:p w:rsidR="000A11CD" w:rsidRPr="005629D9" w:rsidRDefault="000A11CD" w:rsidP="000361FA">
            <w:pPr>
              <w:jc w:val="center"/>
              <w:rPr>
                <w:rFonts w:asciiTheme="minorHAnsi" w:hAnsiTheme="minorHAnsi"/>
              </w:rPr>
            </w:pPr>
            <w:r>
              <w:rPr>
                <w:rFonts w:asciiTheme="minorHAnsi" w:hAnsiTheme="minorHAnsi"/>
              </w:rPr>
              <w:t>4</w:t>
            </w:r>
          </w:p>
        </w:tc>
        <w:tc>
          <w:tcPr>
            <w:tcW w:w="2764" w:type="dxa"/>
            <w:vAlign w:val="center"/>
          </w:tcPr>
          <w:p w:rsidR="000A11CD" w:rsidRDefault="006D053B" w:rsidP="000361FA">
            <w:pPr>
              <w:jc w:val="center"/>
              <w:rPr>
                <w:rFonts w:asciiTheme="minorHAnsi" w:hAnsiTheme="minorHAnsi"/>
              </w:rPr>
            </w:pPr>
            <w:r>
              <w:rPr>
                <w:rFonts w:asciiTheme="minorHAnsi" w:hAnsiTheme="minorHAnsi"/>
              </w:rPr>
              <w:t>62</w:t>
            </w:r>
          </w:p>
        </w:tc>
      </w:tr>
      <w:tr w:rsidR="000A11CD" w:rsidRPr="005629D9" w:rsidTr="000361FA">
        <w:trPr>
          <w:trHeight w:val="385"/>
          <w:jc w:val="center"/>
        </w:trPr>
        <w:tc>
          <w:tcPr>
            <w:tcW w:w="1838" w:type="dxa"/>
            <w:vAlign w:val="center"/>
          </w:tcPr>
          <w:p w:rsidR="000A11CD" w:rsidRPr="005629D9" w:rsidRDefault="000A11CD" w:rsidP="000361FA">
            <w:pPr>
              <w:rPr>
                <w:rFonts w:asciiTheme="minorHAnsi" w:hAnsiTheme="minorHAnsi"/>
              </w:rPr>
            </w:pPr>
            <w:r>
              <w:rPr>
                <w:rFonts w:asciiTheme="minorHAnsi" w:hAnsiTheme="minorHAnsi"/>
              </w:rPr>
              <w:t>On-Call</w:t>
            </w:r>
          </w:p>
        </w:tc>
        <w:tc>
          <w:tcPr>
            <w:tcW w:w="2764" w:type="dxa"/>
            <w:shd w:val="clear" w:color="auto" w:fill="auto"/>
            <w:vAlign w:val="center"/>
          </w:tcPr>
          <w:p w:rsidR="000A11CD" w:rsidRPr="005629D9" w:rsidRDefault="000A11CD" w:rsidP="000361FA">
            <w:pPr>
              <w:jc w:val="center"/>
              <w:rPr>
                <w:rFonts w:asciiTheme="minorHAnsi" w:hAnsiTheme="minorHAnsi"/>
              </w:rPr>
            </w:pPr>
            <w:r>
              <w:rPr>
                <w:rFonts w:asciiTheme="minorHAnsi" w:hAnsiTheme="minorHAnsi"/>
              </w:rPr>
              <w:t>87</w:t>
            </w:r>
          </w:p>
        </w:tc>
        <w:tc>
          <w:tcPr>
            <w:tcW w:w="2764" w:type="dxa"/>
            <w:vAlign w:val="center"/>
          </w:tcPr>
          <w:p w:rsidR="000A11CD" w:rsidRDefault="006D053B" w:rsidP="000361FA">
            <w:pPr>
              <w:jc w:val="center"/>
              <w:rPr>
                <w:rFonts w:asciiTheme="minorHAnsi" w:hAnsiTheme="minorHAnsi"/>
              </w:rPr>
            </w:pPr>
            <w:r>
              <w:rPr>
                <w:rFonts w:asciiTheme="minorHAnsi" w:hAnsiTheme="minorHAnsi"/>
              </w:rPr>
              <w:t>73</w:t>
            </w:r>
          </w:p>
        </w:tc>
      </w:tr>
      <w:tr w:rsidR="000A11CD" w:rsidRPr="005629D9" w:rsidTr="000361FA">
        <w:trPr>
          <w:trHeight w:val="385"/>
          <w:jc w:val="center"/>
        </w:trPr>
        <w:tc>
          <w:tcPr>
            <w:tcW w:w="1838" w:type="dxa"/>
            <w:vAlign w:val="center"/>
          </w:tcPr>
          <w:p w:rsidR="000A11CD" w:rsidRPr="005629D9" w:rsidRDefault="000A11CD" w:rsidP="000361FA">
            <w:pPr>
              <w:rPr>
                <w:rFonts w:asciiTheme="minorHAnsi" w:hAnsiTheme="minorHAnsi"/>
              </w:rPr>
            </w:pPr>
            <w:r>
              <w:rPr>
                <w:rFonts w:asciiTheme="minorHAnsi" w:hAnsiTheme="minorHAnsi"/>
              </w:rPr>
              <w:t>Support</w:t>
            </w:r>
          </w:p>
        </w:tc>
        <w:tc>
          <w:tcPr>
            <w:tcW w:w="2764" w:type="dxa"/>
            <w:shd w:val="clear" w:color="auto" w:fill="auto"/>
            <w:vAlign w:val="center"/>
          </w:tcPr>
          <w:p w:rsidR="000A11CD" w:rsidRPr="005629D9" w:rsidRDefault="006D053B" w:rsidP="000361FA">
            <w:pPr>
              <w:jc w:val="center"/>
              <w:rPr>
                <w:rFonts w:asciiTheme="minorHAnsi" w:hAnsiTheme="minorHAnsi"/>
              </w:rPr>
            </w:pPr>
            <w:r>
              <w:rPr>
                <w:rFonts w:asciiTheme="minorHAnsi" w:hAnsiTheme="minorHAnsi"/>
              </w:rPr>
              <w:t>66</w:t>
            </w:r>
          </w:p>
        </w:tc>
        <w:tc>
          <w:tcPr>
            <w:tcW w:w="2764" w:type="dxa"/>
            <w:vAlign w:val="center"/>
          </w:tcPr>
          <w:p w:rsidR="000A11CD" w:rsidRDefault="006D053B" w:rsidP="000361FA">
            <w:pPr>
              <w:jc w:val="center"/>
              <w:rPr>
                <w:rFonts w:asciiTheme="minorHAnsi" w:hAnsiTheme="minorHAnsi"/>
              </w:rPr>
            </w:pPr>
            <w:r>
              <w:rPr>
                <w:rFonts w:asciiTheme="minorHAnsi" w:hAnsiTheme="minorHAnsi"/>
              </w:rPr>
              <w:t>51</w:t>
            </w:r>
          </w:p>
        </w:tc>
      </w:tr>
      <w:tr w:rsidR="000A11CD" w:rsidRPr="005629D9" w:rsidTr="000361FA">
        <w:trPr>
          <w:trHeight w:val="385"/>
          <w:jc w:val="center"/>
        </w:trPr>
        <w:tc>
          <w:tcPr>
            <w:tcW w:w="1838" w:type="dxa"/>
            <w:vAlign w:val="center"/>
          </w:tcPr>
          <w:p w:rsidR="000A11CD" w:rsidRPr="005629D9" w:rsidRDefault="000A11CD" w:rsidP="000361FA">
            <w:pPr>
              <w:rPr>
                <w:rFonts w:asciiTheme="minorHAnsi" w:hAnsiTheme="minorHAnsi"/>
              </w:rPr>
            </w:pPr>
            <w:r>
              <w:rPr>
                <w:rFonts w:asciiTheme="minorHAnsi" w:hAnsiTheme="minorHAnsi"/>
              </w:rPr>
              <w:t>Control</w:t>
            </w:r>
          </w:p>
        </w:tc>
        <w:tc>
          <w:tcPr>
            <w:tcW w:w="2764" w:type="dxa"/>
            <w:shd w:val="clear" w:color="auto" w:fill="auto"/>
            <w:vAlign w:val="center"/>
          </w:tcPr>
          <w:p w:rsidR="000A11CD" w:rsidRPr="005629D9" w:rsidRDefault="006D053B" w:rsidP="000361FA">
            <w:pPr>
              <w:jc w:val="center"/>
              <w:rPr>
                <w:rFonts w:asciiTheme="minorHAnsi" w:hAnsiTheme="minorHAnsi"/>
              </w:rPr>
            </w:pPr>
            <w:r>
              <w:rPr>
                <w:rFonts w:asciiTheme="minorHAnsi" w:hAnsiTheme="minorHAnsi"/>
              </w:rPr>
              <w:t>4</w:t>
            </w:r>
          </w:p>
        </w:tc>
        <w:tc>
          <w:tcPr>
            <w:tcW w:w="2764" w:type="dxa"/>
            <w:vAlign w:val="center"/>
          </w:tcPr>
          <w:p w:rsidR="000A11CD" w:rsidRDefault="006D053B" w:rsidP="000361FA">
            <w:pPr>
              <w:jc w:val="center"/>
              <w:rPr>
                <w:rFonts w:asciiTheme="minorHAnsi" w:hAnsiTheme="minorHAnsi"/>
              </w:rPr>
            </w:pPr>
            <w:r>
              <w:rPr>
                <w:rFonts w:asciiTheme="minorHAnsi" w:hAnsiTheme="minorHAnsi"/>
              </w:rPr>
              <w:t>3</w:t>
            </w:r>
          </w:p>
        </w:tc>
      </w:tr>
      <w:tr w:rsidR="000A11CD" w:rsidRPr="005629D9" w:rsidTr="000361FA">
        <w:trPr>
          <w:trHeight w:val="385"/>
          <w:jc w:val="center"/>
        </w:trPr>
        <w:tc>
          <w:tcPr>
            <w:tcW w:w="1838" w:type="dxa"/>
            <w:shd w:val="clear" w:color="auto" w:fill="E7E6E6" w:themeFill="background2"/>
            <w:vAlign w:val="center"/>
          </w:tcPr>
          <w:p w:rsidR="000A11CD" w:rsidRPr="005629D9" w:rsidRDefault="000A11CD" w:rsidP="000361FA">
            <w:pPr>
              <w:rPr>
                <w:rFonts w:asciiTheme="minorHAnsi" w:hAnsiTheme="minorHAnsi"/>
                <w:b/>
              </w:rPr>
            </w:pPr>
            <w:r>
              <w:rPr>
                <w:rFonts w:asciiTheme="minorHAnsi" w:hAnsiTheme="minorHAnsi"/>
                <w:b/>
              </w:rPr>
              <w:t>OVERALL</w:t>
            </w:r>
          </w:p>
        </w:tc>
        <w:tc>
          <w:tcPr>
            <w:tcW w:w="2764" w:type="dxa"/>
            <w:shd w:val="clear" w:color="auto" w:fill="E7E6E6" w:themeFill="background2"/>
            <w:vAlign w:val="center"/>
          </w:tcPr>
          <w:p w:rsidR="000A11CD" w:rsidRPr="005629D9" w:rsidRDefault="000A11CD" w:rsidP="000361FA">
            <w:pPr>
              <w:jc w:val="center"/>
              <w:rPr>
                <w:rFonts w:asciiTheme="minorHAnsi" w:hAnsiTheme="minorHAnsi"/>
                <w:b/>
              </w:rPr>
            </w:pPr>
            <w:r>
              <w:rPr>
                <w:rFonts w:asciiTheme="minorHAnsi" w:hAnsiTheme="minorHAnsi"/>
                <w:b/>
              </w:rPr>
              <w:t>161</w:t>
            </w:r>
          </w:p>
        </w:tc>
        <w:tc>
          <w:tcPr>
            <w:tcW w:w="2764" w:type="dxa"/>
            <w:shd w:val="clear" w:color="auto" w:fill="E7E6E6" w:themeFill="background2"/>
            <w:vAlign w:val="center"/>
          </w:tcPr>
          <w:p w:rsidR="000A11CD" w:rsidRDefault="006D053B" w:rsidP="000361FA">
            <w:pPr>
              <w:jc w:val="center"/>
              <w:rPr>
                <w:rFonts w:asciiTheme="minorHAnsi" w:hAnsiTheme="minorHAnsi"/>
                <w:b/>
              </w:rPr>
            </w:pPr>
            <w:r>
              <w:rPr>
                <w:rFonts w:asciiTheme="minorHAnsi" w:hAnsiTheme="minorHAnsi"/>
                <w:b/>
              </w:rPr>
              <w:t>188</w:t>
            </w:r>
          </w:p>
        </w:tc>
      </w:tr>
    </w:tbl>
    <w:p w:rsidR="000A11CD" w:rsidRDefault="000A11CD" w:rsidP="00D016BB">
      <w:pPr>
        <w:pStyle w:val="ListParagraph"/>
        <w:ind w:left="360"/>
        <w:jc w:val="both"/>
      </w:pPr>
    </w:p>
    <w:p w:rsidR="000A11CD" w:rsidRDefault="000A11CD" w:rsidP="00D016BB">
      <w:pPr>
        <w:pStyle w:val="ListParagraph"/>
        <w:ind w:left="360"/>
        <w:jc w:val="both"/>
      </w:pPr>
    </w:p>
    <w:p w:rsidR="00712271" w:rsidRDefault="00712271" w:rsidP="00F20BB1">
      <w:pPr>
        <w:pStyle w:val="ListParagraph"/>
        <w:ind w:left="0"/>
        <w:jc w:val="both"/>
      </w:pPr>
      <w:r>
        <w:t xml:space="preserve">Agency worker numbers continue to decrease further from when energies began to be focussed on the reduction of this cost. </w:t>
      </w:r>
    </w:p>
    <w:p w:rsidR="002C6E58" w:rsidRPr="00A924A7" w:rsidRDefault="002C6E58" w:rsidP="008C28CF">
      <w:pPr>
        <w:jc w:val="both"/>
      </w:pPr>
    </w:p>
    <w:p w:rsidR="002C6E58" w:rsidRPr="00E60198" w:rsidRDefault="002C6E58" w:rsidP="008C28CF">
      <w:pPr>
        <w:pStyle w:val="Heading1"/>
        <w:numPr>
          <w:ilvl w:val="0"/>
          <w:numId w:val="24"/>
        </w:numPr>
        <w:spacing w:after="0" w:line="600" w:lineRule="auto"/>
        <w:jc w:val="both"/>
      </w:pPr>
      <w:r w:rsidRPr="00E60198">
        <w:t>absence</w:t>
      </w:r>
    </w:p>
    <w:p w:rsidR="00070DC0" w:rsidRPr="00872C0A" w:rsidRDefault="00E60198" w:rsidP="00F20BB1">
      <w:pPr>
        <w:jc w:val="both"/>
      </w:pPr>
      <w:r w:rsidRPr="00872C0A">
        <w:t xml:space="preserve">Following the move from SAP to </w:t>
      </w:r>
      <w:proofErr w:type="spellStart"/>
      <w:r w:rsidRPr="00872C0A">
        <w:t>Civica</w:t>
      </w:r>
      <w:proofErr w:type="spellEnd"/>
      <w:r w:rsidRPr="00872C0A">
        <w:t xml:space="preserve"> at the start of December 2018, On-Call employee sickness is now recorded in the system</w:t>
      </w:r>
      <w:r w:rsidR="00F476A4">
        <w:t>. However, i</w:t>
      </w:r>
      <w:r w:rsidRPr="00872C0A">
        <w:t>t has been identified that there are issues with the data migration, in that some absence records have not been transferred</w:t>
      </w:r>
      <w:r w:rsidR="00681137" w:rsidRPr="00872C0A">
        <w:t>, while others have been duplicated. Further analysis of the data is required to ensure it is reliable</w:t>
      </w:r>
      <w:r w:rsidR="00870508" w:rsidRPr="00872C0A">
        <w:t xml:space="preserve"> before accurate absence data and costs can be reported</w:t>
      </w:r>
      <w:r w:rsidR="00681137" w:rsidRPr="00872C0A">
        <w:t>.</w:t>
      </w:r>
    </w:p>
    <w:p w:rsidR="00070DC0" w:rsidRPr="00EE401F" w:rsidRDefault="00070DC0" w:rsidP="00070DC0">
      <w:pPr>
        <w:ind w:left="360"/>
        <w:rPr>
          <w:highlight w:val="yellow"/>
        </w:rPr>
      </w:pPr>
    </w:p>
    <w:p w:rsidR="002C6E58" w:rsidRDefault="002C6E58" w:rsidP="008C28CF">
      <w:pPr>
        <w:pStyle w:val="Heading1"/>
        <w:numPr>
          <w:ilvl w:val="0"/>
          <w:numId w:val="24"/>
        </w:numPr>
        <w:spacing w:after="0" w:line="600" w:lineRule="auto"/>
        <w:jc w:val="both"/>
      </w:pPr>
      <w:r>
        <w:t>employee relations</w:t>
      </w:r>
    </w:p>
    <w:p w:rsidR="00513076" w:rsidRDefault="00513076" w:rsidP="00513076">
      <w:r>
        <w:t>Table 17 shows the overall case volumes of both informal and formal cases for all employee groups.</w:t>
      </w:r>
    </w:p>
    <w:p w:rsidR="00513076" w:rsidRPr="00513076" w:rsidRDefault="00513076" w:rsidP="00513076"/>
    <w:tbl>
      <w:tblPr>
        <w:tblStyle w:val="TableGrid"/>
        <w:tblW w:w="9178" w:type="dxa"/>
        <w:jc w:val="center"/>
        <w:tblLayout w:type="fixed"/>
        <w:tblLook w:val="04A0" w:firstRow="1" w:lastRow="0" w:firstColumn="1" w:lastColumn="0" w:noHBand="0" w:noVBand="1"/>
      </w:tblPr>
      <w:tblGrid>
        <w:gridCol w:w="1529"/>
        <w:gridCol w:w="1530"/>
        <w:gridCol w:w="1530"/>
        <w:gridCol w:w="1529"/>
        <w:gridCol w:w="1530"/>
        <w:gridCol w:w="1530"/>
      </w:tblGrid>
      <w:tr w:rsidR="00E71EBA" w:rsidRPr="005629D9" w:rsidTr="00E71EBA">
        <w:trPr>
          <w:trHeight w:val="495"/>
          <w:jc w:val="center"/>
        </w:trPr>
        <w:tc>
          <w:tcPr>
            <w:tcW w:w="9178" w:type="dxa"/>
            <w:gridSpan w:val="6"/>
            <w:shd w:val="clear" w:color="auto" w:fill="0070C0"/>
            <w:vAlign w:val="center"/>
          </w:tcPr>
          <w:p w:rsidR="00E71EBA" w:rsidRDefault="00E71EBA" w:rsidP="00CF1282">
            <w:pPr>
              <w:jc w:val="center"/>
              <w:rPr>
                <w:rFonts w:asciiTheme="minorHAnsi" w:hAnsiTheme="minorHAnsi"/>
                <w:b/>
                <w:color w:val="FFFFFF" w:themeColor="background1"/>
              </w:rPr>
            </w:pPr>
            <w:r>
              <w:rPr>
                <w:rFonts w:asciiTheme="minorHAnsi" w:hAnsiTheme="minorHAnsi"/>
                <w:b/>
                <w:color w:val="FFFFFF" w:themeColor="background1"/>
              </w:rPr>
              <w:lastRenderedPageBreak/>
              <w:t xml:space="preserve">Table 17: Casework </w:t>
            </w:r>
            <w:r w:rsidR="00CF1282">
              <w:rPr>
                <w:rFonts w:asciiTheme="minorHAnsi" w:hAnsiTheme="minorHAnsi"/>
                <w:b/>
                <w:color w:val="FFFFFF" w:themeColor="background1"/>
              </w:rPr>
              <w:t>Volumes</w:t>
            </w:r>
          </w:p>
        </w:tc>
      </w:tr>
      <w:tr w:rsidR="00E71EBA" w:rsidRPr="005629D9" w:rsidTr="00E71EBA">
        <w:trPr>
          <w:trHeight w:val="394"/>
          <w:jc w:val="center"/>
        </w:trPr>
        <w:tc>
          <w:tcPr>
            <w:tcW w:w="1529" w:type="dxa"/>
            <w:shd w:val="clear" w:color="auto" w:fill="0070C0"/>
            <w:vAlign w:val="center"/>
          </w:tcPr>
          <w:p w:rsidR="00E71EBA" w:rsidRDefault="00E71EBA" w:rsidP="00592ED8">
            <w:pPr>
              <w:jc w:val="center"/>
              <w:rPr>
                <w:rFonts w:asciiTheme="minorHAnsi" w:hAnsiTheme="minorHAnsi"/>
                <w:b/>
                <w:color w:val="FFFFFF" w:themeColor="background1"/>
              </w:rPr>
            </w:pPr>
            <w:r w:rsidRPr="00764CC1">
              <w:rPr>
                <w:rFonts w:asciiTheme="minorHAnsi" w:hAnsiTheme="minorHAnsi"/>
                <w:b/>
                <w:color w:val="FFFFFF" w:themeColor="background1"/>
              </w:rPr>
              <w:t>Employee</w:t>
            </w:r>
          </w:p>
          <w:p w:rsidR="00E71EBA" w:rsidRPr="00764CC1" w:rsidRDefault="00E71EBA" w:rsidP="00592ED8">
            <w:pPr>
              <w:jc w:val="center"/>
              <w:rPr>
                <w:rFonts w:asciiTheme="minorHAnsi" w:hAnsiTheme="minorHAnsi"/>
                <w:b/>
              </w:rPr>
            </w:pPr>
            <w:r w:rsidRPr="00764CC1">
              <w:rPr>
                <w:rFonts w:asciiTheme="minorHAnsi" w:hAnsiTheme="minorHAnsi"/>
                <w:b/>
                <w:color w:val="FFFFFF" w:themeColor="background1"/>
              </w:rPr>
              <w:t>Group</w:t>
            </w:r>
          </w:p>
        </w:tc>
        <w:tc>
          <w:tcPr>
            <w:tcW w:w="1530" w:type="dxa"/>
            <w:shd w:val="clear" w:color="auto" w:fill="0070C0"/>
            <w:vAlign w:val="center"/>
          </w:tcPr>
          <w:p w:rsidR="00E71EBA" w:rsidRDefault="00E71EBA" w:rsidP="00592ED8">
            <w:pPr>
              <w:jc w:val="center"/>
              <w:rPr>
                <w:rFonts w:asciiTheme="minorHAnsi" w:hAnsiTheme="minorHAnsi"/>
              </w:rPr>
            </w:pPr>
            <w:r>
              <w:rPr>
                <w:rFonts w:asciiTheme="minorHAnsi" w:hAnsiTheme="minorHAnsi"/>
                <w:b/>
                <w:color w:val="FFFFFF" w:themeColor="background1"/>
              </w:rPr>
              <w:t>Attendance</w:t>
            </w:r>
          </w:p>
        </w:tc>
        <w:tc>
          <w:tcPr>
            <w:tcW w:w="1530" w:type="dxa"/>
            <w:shd w:val="clear" w:color="auto" w:fill="0070C0"/>
            <w:vAlign w:val="center"/>
          </w:tcPr>
          <w:p w:rsidR="00E71EBA" w:rsidRDefault="00E71EBA" w:rsidP="00592ED8">
            <w:pPr>
              <w:jc w:val="center"/>
              <w:rPr>
                <w:rFonts w:asciiTheme="minorHAnsi" w:hAnsiTheme="minorHAnsi"/>
              </w:rPr>
            </w:pPr>
            <w:r>
              <w:rPr>
                <w:rFonts w:asciiTheme="minorHAnsi" w:hAnsiTheme="minorHAnsi"/>
                <w:b/>
                <w:color w:val="FFFFFF" w:themeColor="background1"/>
              </w:rPr>
              <w:t>Disciplinary</w:t>
            </w:r>
          </w:p>
        </w:tc>
        <w:tc>
          <w:tcPr>
            <w:tcW w:w="1529" w:type="dxa"/>
            <w:shd w:val="clear" w:color="auto" w:fill="0070C0"/>
            <w:vAlign w:val="center"/>
          </w:tcPr>
          <w:p w:rsidR="00E71EBA" w:rsidRDefault="00E71EBA" w:rsidP="00592ED8">
            <w:pPr>
              <w:jc w:val="center"/>
              <w:rPr>
                <w:rFonts w:asciiTheme="minorHAnsi" w:hAnsiTheme="minorHAnsi"/>
                <w:b/>
                <w:color w:val="FFFFFF" w:themeColor="background1"/>
              </w:rPr>
            </w:pPr>
            <w:r>
              <w:rPr>
                <w:rFonts w:asciiTheme="minorHAnsi" w:hAnsiTheme="minorHAnsi"/>
                <w:b/>
                <w:color w:val="FFFFFF" w:themeColor="background1"/>
              </w:rPr>
              <w:t>Grievance</w:t>
            </w:r>
          </w:p>
        </w:tc>
        <w:tc>
          <w:tcPr>
            <w:tcW w:w="1530" w:type="dxa"/>
            <w:shd w:val="clear" w:color="auto" w:fill="0070C0"/>
            <w:vAlign w:val="center"/>
          </w:tcPr>
          <w:p w:rsidR="00E71EBA" w:rsidRDefault="00E71EBA" w:rsidP="00592ED8">
            <w:pPr>
              <w:jc w:val="center"/>
              <w:rPr>
                <w:rFonts w:asciiTheme="minorHAnsi" w:hAnsiTheme="minorHAnsi"/>
                <w:b/>
                <w:color w:val="FFFFFF" w:themeColor="background1"/>
              </w:rPr>
            </w:pPr>
            <w:r>
              <w:rPr>
                <w:rFonts w:asciiTheme="minorHAnsi" w:hAnsiTheme="minorHAnsi"/>
                <w:b/>
                <w:color w:val="FFFFFF" w:themeColor="background1"/>
              </w:rPr>
              <w:t>Performance</w:t>
            </w:r>
          </w:p>
        </w:tc>
        <w:tc>
          <w:tcPr>
            <w:tcW w:w="1530" w:type="dxa"/>
            <w:shd w:val="clear" w:color="auto" w:fill="0070C0"/>
            <w:vAlign w:val="center"/>
          </w:tcPr>
          <w:p w:rsidR="00E71EBA" w:rsidRDefault="00E71EBA" w:rsidP="00592ED8">
            <w:pPr>
              <w:jc w:val="center"/>
              <w:rPr>
                <w:rFonts w:asciiTheme="minorHAnsi" w:hAnsiTheme="minorHAnsi"/>
                <w:b/>
                <w:color w:val="FFFFFF" w:themeColor="background1"/>
              </w:rPr>
            </w:pPr>
            <w:r>
              <w:rPr>
                <w:rFonts w:asciiTheme="minorHAnsi" w:hAnsiTheme="minorHAnsi"/>
                <w:b/>
                <w:color w:val="FFFFFF" w:themeColor="background1"/>
              </w:rPr>
              <w:t>Total</w:t>
            </w:r>
          </w:p>
        </w:tc>
      </w:tr>
      <w:tr w:rsidR="004F724A" w:rsidRPr="005629D9" w:rsidTr="004F724A">
        <w:trPr>
          <w:trHeight w:val="394"/>
          <w:jc w:val="center"/>
        </w:trPr>
        <w:tc>
          <w:tcPr>
            <w:tcW w:w="1529" w:type="dxa"/>
            <w:vAlign w:val="center"/>
          </w:tcPr>
          <w:p w:rsidR="004F724A" w:rsidRPr="005629D9" w:rsidRDefault="004F724A" w:rsidP="004F724A">
            <w:pPr>
              <w:rPr>
                <w:rFonts w:asciiTheme="minorHAnsi" w:hAnsiTheme="minorHAnsi"/>
              </w:rPr>
            </w:pPr>
            <w:proofErr w:type="spellStart"/>
            <w:r>
              <w:rPr>
                <w:rFonts w:asciiTheme="minorHAnsi" w:hAnsiTheme="minorHAnsi"/>
              </w:rPr>
              <w:t>Wholetime</w:t>
            </w:r>
            <w:proofErr w:type="spellEnd"/>
          </w:p>
        </w:tc>
        <w:tc>
          <w:tcPr>
            <w:tcW w:w="1530" w:type="dxa"/>
            <w:shd w:val="clear" w:color="auto" w:fill="auto"/>
            <w:vAlign w:val="center"/>
          </w:tcPr>
          <w:p w:rsidR="004F724A" w:rsidRPr="004F724A" w:rsidRDefault="004F724A" w:rsidP="004F724A">
            <w:pPr>
              <w:jc w:val="center"/>
              <w:rPr>
                <w:rFonts w:asciiTheme="minorHAnsi" w:hAnsiTheme="minorHAnsi"/>
                <w:szCs w:val="22"/>
              </w:rPr>
            </w:pPr>
            <w:r w:rsidRPr="004F724A">
              <w:rPr>
                <w:rFonts w:asciiTheme="minorHAnsi" w:hAnsiTheme="minorHAnsi"/>
              </w:rPr>
              <w:t>85</w:t>
            </w:r>
          </w:p>
        </w:tc>
        <w:tc>
          <w:tcPr>
            <w:tcW w:w="1530" w:type="dxa"/>
            <w:vAlign w:val="center"/>
          </w:tcPr>
          <w:p w:rsidR="004F724A" w:rsidRPr="004F724A" w:rsidRDefault="004F724A" w:rsidP="004F724A">
            <w:pPr>
              <w:jc w:val="center"/>
              <w:rPr>
                <w:rFonts w:asciiTheme="minorHAnsi" w:hAnsiTheme="minorHAnsi"/>
                <w:szCs w:val="22"/>
              </w:rPr>
            </w:pPr>
            <w:r w:rsidRPr="004F724A">
              <w:rPr>
                <w:rFonts w:asciiTheme="minorHAnsi" w:hAnsiTheme="minorHAnsi"/>
              </w:rPr>
              <w:t>7</w:t>
            </w:r>
          </w:p>
        </w:tc>
        <w:tc>
          <w:tcPr>
            <w:tcW w:w="1529" w:type="dxa"/>
            <w:vAlign w:val="center"/>
          </w:tcPr>
          <w:p w:rsidR="004F724A" w:rsidRPr="004F724A" w:rsidRDefault="004F724A" w:rsidP="004F724A">
            <w:pPr>
              <w:jc w:val="center"/>
              <w:rPr>
                <w:rFonts w:asciiTheme="minorHAnsi" w:hAnsiTheme="minorHAnsi"/>
                <w:szCs w:val="22"/>
              </w:rPr>
            </w:pPr>
            <w:r w:rsidRPr="004F724A">
              <w:rPr>
                <w:rFonts w:asciiTheme="minorHAnsi" w:hAnsiTheme="minorHAnsi"/>
              </w:rPr>
              <w:t>6</w:t>
            </w:r>
          </w:p>
        </w:tc>
        <w:tc>
          <w:tcPr>
            <w:tcW w:w="1530" w:type="dxa"/>
            <w:vAlign w:val="center"/>
          </w:tcPr>
          <w:p w:rsidR="004F724A" w:rsidRPr="004F724A" w:rsidRDefault="004F724A" w:rsidP="004F724A">
            <w:pPr>
              <w:jc w:val="center"/>
              <w:rPr>
                <w:rFonts w:asciiTheme="minorHAnsi" w:hAnsiTheme="minorHAnsi"/>
                <w:szCs w:val="22"/>
              </w:rPr>
            </w:pPr>
            <w:r w:rsidRPr="004F724A">
              <w:rPr>
                <w:rFonts w:asciiTheme="minorHAnsi" w:hAnsiTheme="minorHAnsi"/>
              </w:rPr>
              <w:t>7</w:t>
            </w:r>
          </w:p>
        </w:tc>
        <w:tc>
          <w:tcPr>
            <w:tcW w:w="1530" w:type="dxa"/>
            <w:vAlign w:val="center"/>
          </w:tcPr>
          <w:p w:rsidR="004F724A" w:rsidRPr="004F724A" w:rsidRDefault="004F724A" w:rsidP="004F724A">
            <w:pPr>
              <w:jc w:val="center"/>
              <w:rPr>
                <w:rFonts w:asciiTheme="minorHAnsi" w:hAnsiTheme="minorHAnsi"/>
                <w:b/>
                <w:szCs w:val="22"/>
              </w:rPr>
            </w:pPr>
            <w:r w:rsidRPr="004F724A">
              <w:rPr>
                <w:rFonts w:asciiTheme="minorHAnsi" w:hAnsiTheme="minorHAnsi"/>
                <w:b/>
              </w:rPr>
              <w:t>105</w:t>
            </w:r>
          </w:p>
        </w:tc>
      </w:tr>
      <w:tr w:rsidR="004F724A" w:rsidRPr="005629D9" w:rsidTr="004F724A">
        <w:trPr>
          <w:trHeight w:val="394"/>
          <w:jc w:val="center"/>
        </w:trPr>
        <w:tc>
          <w:tcPr>
            <w:tcW w:w="1529" w:type="dxa"/>
            <w:vAlign w:val="center"/>
          </w:tcPr>
          <w:p w:rsidR="004F724A" w:rsidRPr="005629D9" w:rsidRDefault="004F724A" w:rsidP="004F724A">
            <w:pPr>
              <w:rPr>
                <w:rFonts w:asciiTheme="minorHAnsi" w:hAnsiTheme="minorHAnsi"/>
              </w:rPr>
            </w:pPr>
            <w:r>
              <w:rPr>
                <w:rFonts w:asciiTheme="minorHAnsi" w:hAnsiTheme="minorHAnsi"/>
              </w:rPr>
              <w:t>On-Call</w:t>
            </w:r>
          </w:p>
        </w:tc>
        <w:tc>
          <w:tcPr>
            <w:tcW w:w="1530" w:type="dxa"/>
            <w:shd w:val="clear" w:color="auto" w:fill="auto"/>
            <w:vAlign w:val="center"/>
          </w:tcPr>
          <w:p w:rsidR="004F724A" w:rsidRPr="004F724A" w:rsidRDefault="004F724A" w:rsidP="004F724A">
            <w:pPr>
              <w:jc w:val="center"/>
              <w:rPr>
                <w:rFonts w:asciiTheme="minorHAnsi" w:hAnsiTheme="minorHAnsi"/>
                <w:szCs w:val="22"/>
              </w:rPr>
            </w:pPr>
            <w:r w:rsidRPr="004F724A">
              <w:rPr>
                <w:rFonts w:asciiTheme="minorHAnsi" w:hAnsiTheme="minorHAnsi"/>
              </w:rPr>
              <w:t>67</w:t>
            </w:r>
          </w:p>
        </w:tc>
        <w:tc>
          <w:tcPr>
            <w:tcW w:w="1530" w:type="dxa"/>
            <w:vAlign w:val="center"/>
          </w:tcPr>
          <w:p w:rsidR="004F724A" w:rsidRPr="004F724A" w:rsidRDefault="004F724A" w:rsidP="004F724A">
            <w:pPr>
              <w:jc w:val="center"/>
              <w:rPr>
                <w:rFonts w:asciiTheme="minorHAnsi" w:hAnsiTheme="minorHAnsi"/>
                <w:szCs w:val="22"/>
              </w:rPr>
            </w:pPr>
            <w:r w:rsidRPr="004F724A">
              <w:rPr>
                <w:rFonts w:asciiTheme="minorHAnsi" w:hAnsiTheme="minorHAnsi"/>
              </w:rPr>
              <w:t>9</w:t>
            </w:r>
          </w:p>
        </w:tc>
        <w:tc>
          <w:tcPr>
            <w:tcW w:w="1529" w:type="dxa"/>
            <w:vAlign w:val="center"/>
          </w:tcPr>
          <w:p w:rsidR="004F724A" w:rsidRPr="004F724A" w:rsidRDefault="004F724A" w:rsidP="004F724A">
            <w:pPr>
              <w:jc w:val="center"/>
              <w:rPr>
                <w:rFonts w:asciiTheme="minorHAnsi" w:hAnsiTheme="minorHAnsi"/>
                <w:szCs w:val="22"/>
              </w:rPr>
            </w:pPr>
            <w:r w:rsidRPr="004F724A">
              <w:rPr>
                <w:rFonts w:asciiTheme="minorHAnsi" w:hAnsiTheme="minorHAnsi"/>
              </w:rPr>
              <w:t>5</w:t>
            </w:r>
          </w:p>
        </w:tc>
        <w:tc>
          <w:tcPr>
            <w:tcW w:w="1530" w:type="dxa"/>
            <w:vAlign w:val="center"/>
          </w:tcPr>
          <w:p w:rsidR="004F724A" w:rsidRPr="004F724A" w:rsidRDefault="004F724A" w:rsidP="004F724A">
            <w:pPr>
              <w:jc w:val="center"/>
              <w:rPr>
                <w:rFonts w:asciiTheme="minorHAnsi" w:hAnsiTheme="minorHAnsi"/>
                <w:szCs w:val="22"/>
              </w:rPr>
            </w:pPr>
            <w:r w:rsidRPr="004F724A">
              <w:rPr>
                <w:rFonts w:asciiTheme="minorHAnsi" w:hAnsiTheme="minorHAnsi"/>
              </w:rPr>
              <w:t>30</w:t>
            </w:r>
          </w:p>
        </w:tc>
        <w:tc>
          <w:tcPr>
            <w:tcW w:w="1530" w:type="dxa"/>
            <w:vAlign w:val="center"/>
          </w:tcPr>
          <w:p w:rsidR="004F724A" w:rsidRPr="004F724A" w:rsidRDefault="004F724A" w:rsidP="004F724A">
            <w:pPr>
              <w:jc w:val="center"/>
              <w:rPr>
                <w:rFonts w:asciiTheme="minorHAnsi" w:hAnsiTheme="minorHAnsi"/>
                <w:b/>
                <w:szCs w:val="22"/>
              </w:rPr>
            </w:pPr>
            <w:r w:rsidRPr="004F724A">
              <w:rPr>
                <w:rFonts w:asciiTheme="minorHAnsi" w:hAnsiTheme="minorHAnsi"/>
                <w:b/>
              </w:rPr>
              <w:t>111</w:t>
            </w:r>
          </w:p>
        </w:tc>
      </w:tr>
      <w:tr w:rsidR="004F724A" w:rsidRPr="005629D9" w:rsidTr="004F724A">
        <w:trPr>
          <w:trHeight w:val="394"/>
          <w:jc w:val="center"/>
        </w:trPr>
        <w:tc>
          <w:tcPr>
            <w:tcW w:w="1529" w:type="dxa"/>
            <w:vAlign w:val="center"/>
          </w:tcPr>
          <w:p w:rsidR="004F724A" w:rsidRPr="005629D9" w:rsidRDefault="004F724A" w:rsidP="004F724A">
            <w:pPr>
              <w:rPr>
                <w:rFonts w:asciiTheme="minorHAnsi" w:hAnsiTheme="minorHAnsi"/>
              </w:rPr>
            </w:pPr>
            <w:r>
              <w:rPr>
                <w:rFonts w:asciiTheme="minorHAnsi" w:hAnsiTheme="minorHAnsi"/>
              </w:rPr>
              <w:t>Support</w:t>
            </w:r>
          </w:p>
        </w:tc>
        <w:tc>
          <w:tcPr>
            <w:tcW w:w="1530" w:type="dxa"/>
            <w:shd w:val="clear" w:color="auto" w:fill="auto"/>
            <w:vAlign w:val="center"/>
          </w:tcPr>
          <w:p w:rsidR="004F724A" w:rsidRPr="004F724A" w:rsidRDefault="004F724A" w:rsidP="004F724A">
            <w:pPr>
              <w:jc w:val="center"/>
              <w:rPr>
                <w:rFonts w:asciiTheme="minorHAnsi" w:hAnsiTheme="minorHAnsi"/>
                <w:szCs w:val="22"/>
              </w:rPr>
            </w:pPr>
            <w:r w:rsidRPr="004F724A">
              <w:rPr>
                <w:rFonts w:asciiTheme="minorHAnsi" w:hAnsiTheme="minorHAnsi"/>
              </w:rPr>
              <w:t>41</w:t>
            </w:r>
          </w:p>
        </w:tc>
        <w:tc>
          <w:tcPr>
            <w:tcW w:w="1530" w:type="dxa"/>
            <w:vAlign w:val="center"/>
          </w:tcPr>
          <w:p w:rsidR="004F724A" w:rsidRPr="004F724A" w:rsidRDefault="004F724A" w:rsidP="004F724A">
            <w:pPr>
              <w:jc w:val="center"/>
              <w:rPr>
                <w:rFonts w:asciiTheme="minorHAnsi" w:hAnsiTheme="minorHAnsi"/>
                <w:szCs w:val="22"/>
              </w:rPr>
            </w:pPr>
            <w:r w:rsidRPr="004F724A">
              <w:rPr>
                <w:rFonts w:asciiTheme="minorHAnsi" w:hAnsiTheme="minorHAnsi"/>
              </w:rPr>
              <w:t>2</w:t>
            </w:r>
          </w:p>
        </w:tc>
        <w:tc>
          <w:tcPr>
            <w:tcW w:w="1529" w:type="dxa"/>
            <w:vAlign w:val="center"/>
          </w:tcPr>
          <w:p w:rsidR="004F724A" w:rsidRPr="004F724A" w:rsidRDefault="004F724A" w:rsidP="004F724A">
            <w:pPr>
              <w:jc w:val="center"/>
              <w:rPr>
                <w:rFonts w:asciiTheme="minorHAnsi" w:hAnsiTheme="minorHAnsi"/>
                <w:szCs w:val="22"/>
              </w:rPr>
            </w:pPr>
            <w:r w:rsidRPr="004F724A">
              <w:rPr>
                <w:rFonts w:asciiTheme="minorHAnsi" w:hAnsiTheme="minorHAnsi"/>
              </w:rPr>
              <w:t>3</w:t>
            </w:r>
          </w:p>
        </w:tc>
        <w:tc>
          <w:tcPr>
            <w:tcW w:w="1530" w:type="dxa"/>
            <w:vAlign w:val="center"/>
          </w:tcPr>
          <w:p w:rsidR="004F724A" w:rsidRPr="004F724A" w:rsidRDefault="004F724A" w:rsidP="004F724A">
            <w:pPr>
              <w:jc w:val="center"/>
              <w:rPr>
                <w:rFonts w:asciiTheme="minorHAnsi" w:hAnsiTheme="minorHAnsi"/>
                <w:szCs w:val="22"/>
              </w:rPr>
            </w:pPr>
            <w:r w:rsidRPr="004F724A">
              <w:rPr>
                <w:rFonts w:asciiTheme="minorHAnsi" w:hAnsiTheme="minorHAnsi"/>
              </w:rPr>
              <w:t>9</w:t>
            </w:r>
          </w:p>
        </w:tc>
        <w:tc>
          <w:tcPr>
            <w:tcW w:w="1530" w:type="dxa"/>
            <w:vAlign w:val="center"/>
          </w:tcPr>
          <w:p w:rsidR="004F724A" w:rsidRPr="004F724A" w:rsidRDefault="004F724A" w:rsidP="004F724A">
            <w:pPr>
              <w:jc w:val="center"/>
              <w:rPr>
                <w:rFonts w:asciiTheme="minorHAnsi" w:hAnsiTheme="minorHAnsi"/>
                <w:b/>
                <w:szCs w:val="22"/>
              </w:rPr>
            </w:pPr>
            <w:r w:rsidRPr="004F724A">
              <w:rPr>
                <w:rFonts w:asciiTheme="minorHAnsi" w:hAnsiTheme="minorHAnsi"/>
                <w:b/>
              </w:rPr>
              <w:t>55</w:t>
            </w:r>
          </w:p>
        </w:tc>
      </w:tr>
      <w:tr w:rsidR="004F724A" w:rsidRPr="005629D9" w:rsidTr="004F724A">
        <w:trPr>
          <w:trHeight w:val="394"/>
          <w:jc w:val="center"/>
        </w:trPr>
        <w:tc>
          <w:tcPr>
            <w:tcW w:w="1529" w:type="dxa"/>
            <w:vAlign w:val="center"/>
          </w:tcPr>
          <w:p w:rsidR="004F724A" w:rsidRPr="005629D9" w:rsidRDefault="004F724A" w:rsidP="004F724A">
            <w:pPr>
              <w:rPr>
                <w:rFonts w:asciiTheme="minorHAnsi" w:hAnsiTheme="minorHAnsi"/>
              </w:rPr>
            </w:pPr>
            <w:r>
              <w:rPr>
                <w:rFonts w:asciiTheme="minorHAnsi" w:hAnsiTheme="minorHAnsi"/>
              </w:rPr>
              <w:t>Control</w:t>
            </w:r>
          </w:p>
        </w:tc>
        <w:tc>
          <w:tcPr>
            <w:tcW w:w="1530" w:type="dxa"/>
            <w:shd w:val="clear" w:color="auto" w:fill="auto"/>
            <w:vAlign w:val="center"/>
          </w:tcPr>
          <w:p w:rsidR="004F724A" w:rsidRPr="004F724A" w:rsidRDefault="004F724A" w:rsidP="004F724A">
            <w:pPr>
              <w:jc w:val="center"/>
              <w:rPr>
                <w:rFonts w:asciiTheme="minorHAnsi" w:hAnsiTheme="minorHAnsi"/>
                <w:szCs w:val="22"/>
              </w:rPr>
            </w:pPr>
            <w:r w:rsidRPr="004F724A">
              <w:rPr>
                <w:rFonts w:asciiTheme="minorHAnsi" w:hAnsiTheme="minorHAnsi"/>
              </w:rPr>
              <w:t>3</w:t>
            </w:r>
          </w:p>
        </w:tc>
        <w:tc>
          <w:tcPr>
            <w:tcW w:w="1530" w:type="dxa"/>
            <w:vAlign w:val="center"/>
          </w:tcPr>
          <w:p w:rsidR="004F724A" w:rsidRPr="004F724A" w:rsidRDefault="004F724A" w:rsidP="004F724A">
            <w:pPr>
              <w:jc w:val="center"/>
              <w:rPr>
                <w:rFonts w:asciiTheme="minorHAnsi" w:hAnsiTheme="minorHAnsi"/>
                <w:szCs w:val="22"/>
              </w:rPr>
            </w:pPr>
          </w:p>
        </w:tc>
        <w:tc>
          <w:tcPr>
            <w:tcW w:w="1529" w:type="dxa"/>
            <w:vAlign w:val="center"/>
          </w:tcPr>
          <w:p w:rsidR="004F724A" w:rsidRPr="004F724A" w:rsidRDefault="004F724A" w:rsidP="004F724A">
            <w:pPr>
              <w:jc w:val="center"/>
              <w:rPr>
                <w:rFonts w:asciiTheme="minorHAnsi" w:hAnsiTheme="minorHAnsi"/>
                <w:szCs w:val="22"/>
              </w:rPr>
            </w:pPr>
          </w:p>
        </w:tc>
        <w:tc>
          <w:tcPr>
            <w:tcW w:w="1530" w:type="dxa"/>
            <w:vAlign w:val="center"/>
          </w:tcPr>
          <w:p w:rsidR="004F724A" w:rsidRPr="004F724A" w:rsidRDefault="004F724A" w:rsidP="004F724A">
            <w:pPr>
              <w:jc w:val="center"/>
              <w:rPr>
                <w:rFonts w:asciiTheme="minorHAnsi" w:hAnsiTheme="minorHAnsi"/>
                <w:szCs w:val="22"/>
              </w:rPr>
            </w:pPr>
          </w:p>
        </w:tc>
        <w:tc>
          <w:tcPr>
            <w:tcW w:w="1530" w:type="dxa"/>
            <w:vAlign w:val="center"/>
          </w:tcPr>
          <w:p w:rsidR="004F724A" w:rsidRPr="004F724A" w:rsidRDefault="004F724A" w:rsidP="004F724A">
            <w:pPr>
              <w:jc w:val="center"/>
              <w:rPr>
                <w:rFonts w:asciiTheme="minorHAnsi" w:hAnsiTheme="minorHAnsi"/>
                <w:b/>
                <w:szCs w:val="22"/>
              </w:rPr>
            </w:pPr>
            <w:r w:rsidRPr="004F724A">
              <w:rPr>
                <w:rFonts w:asciiTheme="minorHAnsi" w:hAnsiTheme="minorHAnsi"/>
                <w:b/>
              </w:rPr>
              <w:t>3</w:t>
            </w:r>
          </w:p>
        </w:tc>
      </w:tr>
      <w:tr w:rsidR="004F724A" w:rsidRPr="005629D9" w:rsidTr="004F724A">
        <w:trPr>
          <w:trHeight w:val="394"/>
          <w:jc w:val="center"/>
        </w:trPr>
        <w:tc>
          <w:tcPr>
            <w:tcW w:w="1529" w:type="dxa"/>
            <w:shd w:val="clear" w:color="auto" w:fill="E7E6E6" w:themeFill="background2"/>
            <w:vAlign w:val="center"/>
          </w:tcPr>
          <w:p w:rsidR="004F724A" w:rsidRPr="005629D9" w:rsidRDefault="004F724A" w:rsidP="004F724A">
            <w:pPr>
              <w:rPr>
                <w:rFonts w:asciiTheme="minorHAnsi" w:hAnsiTheme="minorHAnsi"/>
                <w:b/>
              </w:rPr>
            </w:pPr>
            <w:r>
              <w:rPr>
                <w:rFonts w:asciiTheme="minorHAnsi" w:hAnsiTheme="minorHAnsi"/>
                <w:b/>
              </w:rPr>
              <w:t>OVERALL</w:t>
            </w:r>
          </w:p>
        </w:tc>
        <w:tc>
          <w:tcPr>
            <w:tcW w:w="1530" w:type="dxa"/>
            <w:shd w:val="clear" w:color="auto" w:fill="E7E6E6" w:themeFill="background2"/>
            <w:vAlign w:val="center"/>
          </w:tcPr>
          <w:p w:rsidR="004F724A" w:rsidRPr="004F724A" w:rsidRDefault="004F724A" w:rsidP="004F724A">
            <w:pPr>
              <w:jc w:val="center"/>
              <w:rPr>
                <w:rFonts w:asciiTheme="minorHAnsi" w:hAnsiTheme="minorHAnsi"/>
                <w:b/>
                <w:szCs w:val="22"/>
              </w:rPr>
            </w:pPr>
            <w:r w:rsidRPr="004F724A">
              <w:rPr>
                <w:rFonts w:asciiTheme="minorHAnsi" w:hAnsiTheme="minorHAnsi"/>
                <w:b/>
              </w:rPr>
              <w:t>196</w:t>
            </w:r>
          </w:p>
        </w:tc>
        <w:tc>
          <w:tcPr>
            <w:tcW w:w="1530" w:type="dxa"/>
            <w:shd w:val="clear" w:color="auto" w:fill="E7E6E6" w:themeFill="background2"/>
            <w:vAlign w:val="center"/>
          </w:tcPr>
          <w:p w:rsidR="004F724A" w:rsidRPr="004F724A" w:rsidRDefault="004F724A" w:rsidP="004F724A">
            <w:pPr>
              <w:jc w:val="center"/>
              <w:rPr>
                <w:rFonts w:asciiTheme="minorHAnsi" w:hAnsiTheme="minorHAnsi"/>
                <w:b/>
                <w:szCs w:val="22"/>
              </w:rPr>
            </w:pPr>
            <w:r w:rsidRPr="004F724A">
              <w:rPr>
                <w:rFonts w:asciiTheme="minorHAnsi" w:hAnsiTheme="minorHAnsi"/>
                <w:b/>
              </w:rPr>
              <w:t>18</w:t>
            </w:r>
          </w:p>
        </w:tc>
        <w:tc>
          <w:tcPr>
            <w:tcW w:w="1529" w:type="dxa"/>
            <w:shd w:val="clear" w:color="auto" w:fill="E7E6E6" w:themeFill="background2"/>
            <w:vAlign w:val="center"/>
          </w:tcPr>
          <w:p w:rsidR="004F724A" w:rsidRPr="004F724A" w:rsidRDefault="004F724A" w:rsidP="004F724A">
            <w:pPr>
              <w:jc w:val="center"/>
              <w:rPr>
                <w:rFonts w:asciiTheme="minorHAnsi" w:hAnsiTheme="minorHAnsi"/>
                <w:b/>
                <w:szCs w:val="22"/>
              </w:rPr>
            </w:pPr>
            <w:r w:rsidRPr="004F724A">
              <w:rPr>
                <w:rFonts w:asciiTheme="minorHAnsi" w:hAnsiTheme="minorHAnsi"/>
                <w:b/>
              </w:rPr>
              <w:t>14</w:t>
            </w:r>
          </w:p>
        </w:tc>
        <w:tc>
          <w:tcPr>
            <w:tcW w:w="1530" w:type="dxa"/>
            <w:shd w:val="clear" w:color="auto" w:fill="E7E6E6" w:themeFill="background2"/>
            <w:vAlign w:val="center"/>
          </w:tcPr>
          <w:p w:rsidR="004F724A" w:rsidRPr="004F724A" w:rsidRDefault="004F724A" w:rsidP="004F724A">
            <w:pPr>
              <w:jc w:val="center"/>
              <w:rPr>
                <w:rFonts w:asciiTheme="minorHAnsi" w:hAnsiTheme="minorHAnsi"/>
                <w:b/>
                <w:szCs w:val="22"/>
              </w:rPr>
            </w:pPr>
            <w:r w:rsidRPr="004F724A">
              <w:rPr>
                <w:rFonts w:asciiTheme="minorHAnsi" w:hAnsiTheme="minorHAnsi"/>
                <w:b/>
              </w:rPr>
              <w:t>46</w:t>
            </w:r>
          </w:p>
        </w:tc>
        <w:tc>
          <w:tcPr>
            <w:tcW w:w="1530" w:type="dxa"/>
            <w:shd w:val="clear" w:color="auto" w:fill="E7E6E6" w:themeFill="background2"/>
            <w:vAlign w:val="center"/>
          </w:tcPr>
          <w:p w:rsidR="004F724A" w:rsidRPr="004F724A" w:rsidRDefault="004F724A" w:rsidP="004F724A">
            <w:pPr>
              <w:jc w:val="center"/>
              <w:rPr>
                <w:rFonts w:asciiTheme="minorHAnsi" w:hAnsiTheme="minorHAnsi"/>
                <w:b/>
                <w:szCs w:val="22"/>
              </w:rPr>
            </w:pPr>
            <w:r w:rsidRPr="004F724A">
              <w:rPr>
                <w:rFonts w:asciiTheme="minorHAnsi" w:hAnsiTheme="minorHAnsi"/>
                <w:b/>
              </w:rPr>
              <w:t>274</w:t>
            </w:r>
          </w:p>
        </w:tc>
      </w:tr>
    </w:tbl>
    <w:p w:rsidR="00E71EBA" w:rsidRDefault="00E71EBA" w:rsidP="00E71EBA"/>
    <w:p w:rsidR="00E71EBA" w:rsidRDefault="00E71EBA" w:rsidP="00F94EA1">
      <w:pPr>
        <w:ind w:left="360"/>
      </w:pPr>
    </w:p>
    <w:p w:rsidR="002C6E58" w:rsidRDefault="002C6E58" w:rsidP="008C28CF">
      <w:pPr>
        <w:pStyle w:val="ListParagraph"/>
        <w:numPr>
          <w:ilvl w:val="1"/>
          <w:numId w:val="24"/>
        </w:numPr>
        <w:jc w:val="both"/>
        <w:rPr>
          <w:b/>
        </w:rPr>
      </w:pPr>
      <w:r w:rsidRPr="002F7488">
        <w:rPr>
          <w:b/>
        </w:rPr>
        <w:t>Disciplinary Cases</w:t>
      </w:r>
    </w:p>
    <w:p w:rsidR="00824EFB" w:rsidRDefault="00824EFB" w:rsidP="00824EFB">
      <w:pPr>
        <w:ind w:left="360"/>
        <w:jc w:val="both"/>
        <w:rPr>
          <w:b/>
        </w:rPr>
      </w:pPr>
    </w:p>
    <w:p w:rsidR="00824EFB" w:rsidRDefault="00824EFB" w:rsidP="00A76561">
      <w:pPr>
        <w:ind w:left="284"/>
        <w:jc w:val="both"/>
      </w:pPr>
      <w:r>
        <w:t xml:space="preserve">During 2018 there have been </w:t>
      </w:r>
      <w:r w:rsidR="002207E6">
        <w:t>18, t</w:t>
      </w:r>
      <w:r w:rsidR="000261B2">
        <w:t>his is a de</w:t>
      </w:r>
      <w:r>
        <w:t xml:space="preserve">crease of </w:t>
      </w:r>
      <w:r w:rsidR="000261B2">
        <w:t>6</w:t>
      </w:r>
      <w:r>
        <w:t xml:space="preserve"> </w:t>
      </w:r>
      <w:r w:rsidR="000261B2">
        <w:t xml:space="preserve">formal </w:t>
      </w:r>
      <w:r>
        <w:t>cases compared to 2017 figures.</w:t>
      </w:r>
      <w:r w:rsidR="000261B2">
        <w:t xml:space="preserve"> Of these case 4 resulted in a final written warning and 1 first written warning. The remaining </w:t>
      </w:r>
      <w:r w:rsidR="00561E0F">
        <w:t>saw no formal sanction.</w:t>
      </w:r>
    </w:p>
    <w:p w:rsidR="00513076" w:rsidRDefault="00513076" w:rsidP="00A76561">
      <w:pPr>
        <w:ind w:left="284"/>
        <w:jc w:val="both"/>
      </w:pPr>
    </w:p>
    <w:p w:rsidR="00513076" w:rsidRDefault="00513076" w:rsidP="00A76561">
      <w:pPr>
        <w:ind w:left="284"/>
      </w:pPr>
      <w:r>
        <w:t xml:space="preserve">This reflects the drive to resolve informally using alternative methods of resolution like mediation, facilitation or restorative justice. </w:t>
      </w:r>
    </w:p>
    <w:p w:rsidR="00513076" w:rsidRPr="00824EFB" w:rsidRDefault="00513076" w:rsidP="00824EFB">
      <w:pPr>
        <w:ind w:left="360"/>
        <w:jc w:val="both"/>
      </w:pPr>
    </w:p>
    <w:p w:rsidR="002C6E58" w:rsidRDefault="002C6E58" w:rsidP="008C28CF">
      <w:pPr>
        <w:pStyle w:val="ListParagraph"/>
        <w:numPr>
          <w:ilvl w:val="1"/>
          <w:numId w:val="24"/>
        </w:numPr>
        <w:jc w:val="both"/>
        <w:rPr>
          <w:b/>
        </w:rPr>
      </w:pPr>
      <w:r w:rsidRPr="002F7488">
        <w:rPr>
          <w:b/>
        </w:rPr>
        <w:t>Employment Tribunal Claims</w:t>
      </w:r>
    </w:p>
    <w:p w:rsidR="000E6986" w:rsidRDefault="000E6986" w:rsidP="000E6986">
      <w:pPr>
        <w:ind w:left="360"/>
        <w:jc w:val="both"/>
        <w:rPr>
          <w:b/>
        </w:rPr>
      </w:pPr>
    </w:p>
    <w:p w:rsidR="000E6986" w:rsidRPr="000E6986" w:rsidRDefault="000E6986" w:rsidP="00513076">
      <w:pPr>
        <w:ind w:left="284"/>
        <w:jc w:val="both"/>
      </w:pPr>
      <w:r>
        <w:t>During 2018 there were no employment tribunal claims made.</w:t>
      </w:r>
    </w:p>
    <w:p w:rsidR="00BD3889" w:rsidRPr="00BD3889" w:rsidRDefault="00BD3889" w:rsidP="00BD3889">
      <w:pPr>
        <w:ind w:left="360"/>
        <w:jc w:val="both"/>
        <w:rPr>
          <w:b/>
        </w:rPr>
      </w:pPr>
    </w:p>
    <w:p w:rsidR="002C6E58" w:rsidRPr="002F7488" w:rsidRDefault="002C6E58" w:rsidP="008C28CF">
      <w:pPr>
        <w:pStyle w:val="ListParagraph"/>
        <w:numPr>
          <w:ilvl w:val="1"/>
          <w:numId w:val="24"/>
        </w:numPr>
        <w:jc w:val="both"/>
        <w:rPr>
          <w:b/>
        </w:rPr>
      </w:pPr>
      <w:r w:rsidRPr="002F7488">
        <w:rPr>
          <w:b/>
        </w:rPr>
        <w:t>Formal Grievance Cases</w:t>
      </w:r>
    </w:p>
    <w:p w:rsidR="002C6E58" w:rsidRDefault="002C6E58" w:rsidP="008C28CF">
      <w:pPr>
        <w:jc w:val="both"/>
      </w:pPr>
    </w:p>
    <w:p w:rsidR="008F102C" w:rsidRDefault="008F102C" w:rsidP="00513076">
      <w:pPr>
        <w:ind w:left="284"/>
        <w:jc w:val="both"/>
      </w:pPr>
      <w:r>
        <w:t xml:space="preserve">During 2018 </w:t>
      </w:r>
      <w:r w:rsidR="004F724A">
        <w:t xml:space="preserve">there were </w:t>
      </w:r>
      <w:r w:rsidR="002207E6">
        <w:t>14</w:t>
      </w:r>
      <w:r w:rsidR="004F724A">
        <w:t xml:space="preserve"> grievances raised, this includes both formal and informal cases. </w:t>
      </w:r>
      <w:r w:rsidR="002207E6">
        <w:t>This is 1 case less than 2017.</w:t>
      </w:r>
    </w:p>
    <w:p w:rsidR="008F102C" w:rsidRPr="00A924A7" w:rsidRDefault="008F102C" w:rsidP="008C28CF">
      <w:pPr>
        <w:jc w:val="both"/>
      </w:pPr>
    </w:p>
    <w:p w:rsidR="002C6E58" w:rsidRDefault="002C6E58" w:rsidP="008C28CF">
      <w:pPr>
        <w:pStyle w:val="Heading1"/>
        <w:numPr>
          <w:ilvl w:val="0"/>
          <w:numId w:val="24"/>
        </w:numPr>
        <w:spacing w:after="0" w:line="600" w:lineRule="auto"/>
        <w:jc w:val="both"/>
      </w:pPr>
      <w:r>
        <w:t>action being taken</w:t>
      </w:r>
    </w:p>
    <w:p w:rsidR="002C6E58" w:rsidRDefault="002C6E58" w:rsidP="008C28CF">
      <w:pPr>
        <w:pStyle w:val="ListParagraph"/>
        <w:numPr>
          <w:ilvl w:val="1"/>
          <w:numId w:val="24"/>
        </w:numPr>
        <w:jc w:val="both"/>
        <w:rPr>
          <w:b/>
        </w:rPr>
      </w:pPr>
      <w:r w:rsidRPr="002F7488">
        <w:rPr>
          <w:b/>
        </w:rPr>
        <w:t>Workforce Demographic Actions</w:t>
      </w:r>
    </w:p>
    <w:p w:rsidR="00B81221" w:rsidRDefault="00B81221" w:rsidP="008C28CF">
      <w:pPr>
        <w:ind w:left="360"/>
        <w:jc w:val="both"/>
        <w:rPr>
          <w:b/>
        </w:rPr>
      </w:pPr>
    </w:p>
    <w:p w:rsidR="00222883" w:rsidRDefault="00222883" w:rsidP="008C28CF">
      <w:pPr>
        <w:ind w:left="360"/>
        <w:jc w:val="both"/>
      </w:pPr>
      <w:r>
        <w:t>The Service is committed to improving fairness and valuing difference within our workforce.</w:t>
      </w:r>
      <w:r w:rsidR="005E697F">
        <w:t xml:space="preserve"> To support </w:t>
      </w:r>
      <w:r w:rsidR="00270718">
        <w:t>this</w:t>
      </w:r>
      <w:r w:rsidR="005E697F">
        <w:t xml:space="preserve">, an Inclusion and Diversity Steering Group meet quarterly. A strategic action plan was ratified in October 2018 to deliver against our published Equality objectives </w:t>
      </w:r>
      <w:r w:rsidR="00205820">
        <w:t xml:space="preserve">(Appendix A) </w:t>
      </w:r>
      <w:r w:rsidR="005E697F">
        <w:t xml:space="preserve">and progress reports will be submitted to the Service Leadership Team and the Performance and Resources Board. The action plan focuses on increasing diversity within the workforce by improving data collection to allow for analysis of all selection processes including recruitment, development and promotion. Positive action will be a key feature of these processes to try to improve representation of all protected characteristics throughout the Service. </w:t>
      </w:r>
    </w:p>
    <w:p w:rsidR="00222883" w:rsidRDefault="00222883" w:rsidP="008C28CF">
      <w:pPr>
        <w:ind w:left="360"/>
        <w:jc w:val="both"/>
      </w:pPr>
    </w:p>
    <w:p w:rsidR="00F718B0" w:rsidRDefault="003220EE" w:rsidP="008C28CF">
      <w:pPr>
        <w:ind w:left="360"/>
        <w:jc w:val="both"/>
      </w:pPr>
      <w:r>
        <w:t xml:space="preserve">The recruitment campaign and attraction strategy used during the 2018 </w:t>
      </w:r>
      <w:proofErr w:type="spellStart"/>
      <w:r>
        <w:t>Wholetime</w:t>
      </w:r>
      <w:proofErr w:type="spellEnd"/>
      <w:r>
        <w:t xml:space="preserve"> Recruitment process was designed to change perceptions of the role of a firefighters, and who can apply to become a firefighter. This was an opportunity to undertake some ‘positive action’ to increase our diversity.</w:t>
      </w:r>
      <w:r w:rsidR="006A7C9D">
        <w:t xml:space="preserve"> The actions we took were cognisant of the Local Government Association (LGA) memorandum of understanding in January 2017 on equality, diversity, behaviours and organisational culture in the fire service.</w:t>
      </w:r>
      <w:r w:rsidR="00B55909">
        <w:t xml:space="preserve"> </w:t>
      </w:r>
      <w:r w:rsidR="007A14AC">
        <w:t xml:space="preserve">Of the </w:t>
      </w:r>
      <w:r w:rsidR="007A14AC">
        <w:lastRenderedPageBreak/>
        <w:t xml:space="preserve">59 conditional offers made from the 2018 </w:t>
      </w:r>
      <w:proofErr w:type="spellStart"/>
      <w:r w:rsidR="007A14AC">
        <w:t>Wholetime</w:t>
      </w:r>
      <w:proofErr w:type="spellEnd"/>
      <w:r w:rsidR="007A14AC">
        <w:t xml:space="preserve"> Recruitment Campaign offers made up 10.2 per cent were female.</w:t>
      </w:r>
      <w:r w:rsidR="00B55909">
        <w:t xml:space="preserve"> </w:t>
      </w:r>
      <w:r w:rsidR="00F718B0">
        <w:t xml:space="preserve">We plan to recruit </w:t>
      </w:r>
      <w:proofErr w:type="spellStart"/>
      <w:r w:rsidR="00F718B0">
        <w:t>Wholetime</w:t>
      </w:r>
      <w:proofErr w:type="spellEnd"/>
      <w:r w:rsidR="00F718B0">
        <w:t xml:space="preserve"> Firefighters in 2019 with specific activity to attract BAME and female firefighters.</w:t>
      </w:r>
    </w:p>
    <w:p w:rsidR="00717F2E" w:rsidRDefault="00717F2E" w:rsidP="008C28CF">
      <w:pPr>
        <w:ind w:left="360"/>
        <w:jc w:val="both"/>
      </w:pPr>
    </w:p>
    <w:p w:rsidR="00717F2E" w:rsidRPr="00B81221" w:rsidRDefault="00717F2E" w:rsidP="008C28CF">
      <w:pPr>
        <w:ind w:left="360"/>
        <w:jc w:val="both"/>
      </w:pPr>
      <w:r>
        <w:t xml:space="preserve">Consideration needs to be given to the strategic impacts of changing workforce demographics. There are 3 key areas of HR challenge which needs to be integrated – retirement forecasting, retention of knowledge and recruiting in line with succession planning in particular for specialist and/or business critical skills or functions. </w:t>
      </w:r>
      <w:r w:rsidR="00347705">
        <w:t>Regularly reviewing the age and retirement profile allows the Service to identify areas of risk and priority for succession planning and recruitment. Data is collected on a regular basis and monitored closely to support decision making and action planning for maintaining organisational capability.</w:t>
      </w:r>
    </w:p>
    <w:p w:rsidR="00B81221" w:rsidRPr="00B81221" w:rsidRDefault="00B81221" w:rsidP="008C28CF">
      <w:pPr>
        <w:ind w:left="360"/>
        <w:jc w:val="both"/>
        <w:rPr>
          <w:b/>
        </w:rPr>
      </w:pPr>
    </w:p>
    <w:p w:rsidR="002C6E58" w:rsidRDefault="002C6E58" w:rsidP="008C28CF">
      <w:pPr>
        <w:pStyle w:val="ListParagraph"/>
        <w:numPr>
          <w:ilvl w:val="1"/>
          <w:numId w:val="24"/>
        </w:numPr>
        <w:jc w:val="both"/>
        <w:rPr>
          <w:b/>
        </w:rPr>
      </w:pPr>
      <w:r w:rsidRPr="002F7488">
        <w:rPr>
          <w:b/>
        </w:rPr>
        <w:t>Turnover Actions</w:t>
      </w:r>
    </w:p>
    <w:p w:rsidR="00B81221" w:rsidRDefault="00B81221" w:rsidP="008C28CF">
      <w:pPr>
        <w:pStyle w:val="ListParagraph"/>
        <w:ind w:left="360"/>
        <w:jc w:val="both"/>
        <w:rPr>
          <w:b/>
        </w:rPr>
      </w:pPr>
    </w:p>
    <w:p w:rsidR="009C2A51" w:rsidRDefault="005E697F" w:rsidP="008C28CF">
      <w:pPr>
        <w:pStyle w:val="ListParagraph"/>
        <w:ind w:left="360"/>
        <w:jc w:val="both"/>
      </w:pPr>
      <w:r>
        <w:t>There will be a focus on retention to ensure that diverse talent can be retained where possible with a greater emphasis on conversations prior to individuals exiting the Service to better understand their reasons and experiences.</w:t>
      </w:r>
    </w:p>
    <w:p w:rsidR="005A7788" w:rsidRDefault="005A7788" w:rsidP="008C28CF">
      <w:pPr>
        <w:pStyle w:val="ListParagraph"/>
        <w:ind w:left="360"/>
        <w:jc w:val="both"/>
      </w:pPr>
    </w:p>
    <w:p w:rsidR="005A7788" w:rsidRDefault="00AE3ABD" w:rsidP="008C28CF">
      <w:pPr>
        <w:pStyle w:val="ListParagraph"/>
        <w:ind w:left="360"/>
        <w:jc w:val="both"/>
      </w:pPr>
      <w:r>
        <w:t xml:space="preserve">It had previously been recognised that the pay policy may not be competitive and the Job Evaluation Project set to address this. </w:t>
      </w:r>
      <w:r w:rsidR="00E606E0">
        <w:t>During 2017 the Service achieved equity and a consistent approach to evaluating jobs, salaries for Green Book jobs were moved to the recommended Hay Market median rates. Phase III of the Job Evaluation project sought to align Green Book staff salaries to the revised 2018 NJC pay spines and associated grades at the same time as ensuing compliance with the Equality Act 2010.</w:t>
      </w:r>
      <w:r w:rsidR="00855559">
        <w:t xml:space="preserve">  Following negotiation with UNISON the Pay and Grading structure was agreed and it was deemed to be fit for purpose and equality proofed</w:t>
      </w:r>
      <w:r w:rsidR="00270718">
        <w:t>.</w:t>
      </w:r>
    </w:p>
    <w:p w:rsidR="00491466" w:rsidRDefault="00491466" w:rsidP="008C28CF">
      <w:pPr>
        <w:pStyle w:val="ListParagraph"/>
        <w:ind w:left="360"/>
        <w:jc w:val="both"/>
      </w:pPr>
    </w:p>
    <w:p w:rsidR="00491466" w:rsidRDefault="00491466" w:rsidP="008C28CF">
      <w:pPr>
        <w:pStyle w:val="ListParagraph"/>
        <w:ind w:left="360"/>
        <w:jc w:val="both"/>
      </w:pPr>
      <w:r>
        <w:t>In 2017 the way the government funds apprenticeships changed. The Service contributes to the apprenticeship levy as the Service pay bill is in excess of £3m, we pay 0.5 per cent of our pay bill to the apprenticeship levy each month. In August 2017 we started to access the funds in our digital account for our first 2 apprenticeships in Workshops. In January 2018 SLT approved a proposal for the best way to utilise these funds following this a further</w:t>
      </w:r>
      <w:r w:rsidR="00895B1E">
        <w:t xml:space="preserve"> 3</w:t>
      </w:r>
      <w:r>
        <w:t xml:space="preserve"> apprenticeships were identified in 2018. In 2019 we plan to recruit apprentice Firefighters drawing on the levy and following the national standard.</w:t>
      </w:r>
    </w:p>
    <w:p w:rsidR="000B1931" w:rsidRDefault="000B1931" w:rsidP="008C28CF">
      <w:pPr>
        <w:pStyle w:val="ListParagraph"/>
        <w:ind w:left="360"/>
        <w:jc w:val="both"/>
      </w:pPr>
    </w:p>
    <w:p w:rsidR="000B1931" w:rsidRDefault="000B1931" w:rsidP="008C28CF">
      <w:pPr>
        <w:pStyle w:val="ListParagraph"/>
        <w:ind w:left="360"/>
        <w:jc w:val="both"/>
      </w:pPr>
      <w:r>
        <w:t>At corporate level, we have a leadership and management development offering. The Institute of Leadership and Management (ILM) externally accredit this. This is developing all of the time. Development needs are identified with colleagues through appraisal and line manager discussion.</w:t>
      </w:r>
      <w:r w:rsidR="00AB1556">
        <w:t xml:space="preserve"> The performance of our Service is reliant on our people. For them to perform we must build and develop a workplace where we feel proud of what we do and how we do it. We have a talent pool process that we use to ensure that we have a group of high-performing, high-potential employees from within our Service. The Talent Pool is the primary source from which we seek to fill vacancies. The Talent Pool process was extended to all colleagues during 2018 and as a result, 52 people are due to be promoted into substantive positions. We have created the following Talent Pools:</w:t>
      </w:r>
    </w:p>
    <w:p w:rsidR="00AB1556" w:rsidRDefault="00AB1556" w:rsidP="008C28CF">
      <w:pPr>
        <w:pStyle w:val="ListParagraph"/>
        <w:ind w:left="360"/>
        <w:jc w:val="both"/>
      </w:pPr>
    </w:p>
    <w:p w:rsidR="003220AA" w:rsidRDefault="003220AA" w:rsidP="008C28CF">
      <w:pPr>
        <w:pStyle w:val="ListParagraph"/>
        <w:ind w:left="360"/>
        <w:jc w:val="both"/>
      </w:pPr>
    </w:p>
    <w:p w:rsidR="003220AA" w:rsidRDefault="003220AA" w:rsidP="008C28CF">
      <w:pPr>
        <w:pStyle w:val="ListParagraph"/>
        <w:ind w:left="360"/>
        <w:jc w:val="both"/>
      </w:pPr>
    </w:p>
    <w:tbl>
      <w:tblPr>
        <w:tblStyle w:val="TableGrid"/>
        <w:tblW w:w="8930" w:type="dxa"/>
        <w:tblInd w:w="421" w:type="dxa"/>
        <w:tblLook w:val="04A0" w:firstRow="1" w:lastRow="0" w:firstColumn="1" w:lastColumn="0" w:noHBand="0" w:noVBand="1"/>
      </w:tblPr>
      <w:tblGrid>
        <w:gridCol w:w="1701"/>
        <w:gridCol w:w="3118"/>
        <w:gridCol w:w="1711"/>
        <w:gridCol w:w="2400"/>
      </w:tblGrid>
      <w:tr w:rsidR="00AB1556" w:rsidRPr="00AB1556" w:rsidTr="00C73E6D">
        <w:trPr>
          <w:trHeight w:val="379"/>
        </w:trPr>
        <w:tc>
          <w:tcPr>
            <w:tcW w:w="1701" w:type="dxa"/>
            <w:shd w:val="clear" w:color="auto" w:fill="0070C0"/>
          </w:tcPr>
          <w:p w:rsidR="00AB1556" w:rsidRPr="00AB1556" w:rsidRDefault="00AB1556" w:rsidP="00AB47F7">
            <w:pPr>
              <w:rPr>
                <w:color w:val="FFFFFF" w:themeColor="background1"/>
              </w:rPr>
            </w:pPr>
          </w:p>
        </w:tc>
        <w:tc>
          <w:tcPr>
            <w:tcW w:w="3118" w:type="dxa"/>
            <w:shd w:val="clear" w:color="auto" w:fill="0070C0"/>
          </w:tcPr>
          <w:p w:rsidR="00AB1556" w:rsidRPr="00AB1556" w:rsidRDefault="00AB1556" w:rsidP="00AB47F7">
            <w:pPr>
              <w:rPr>
                <w:b/>
                <w:color w:val="FFFFFF" w:themeColor="background1"/>
                <w:szCs w:val="20"/>
              </w:rPr>
            </w:pPr>
            <w:r w:rsidRPr="00AB1556">
              <w:rPr>
                <w:b/>
                <w:color w:val="FFFFFF" w:themeColor="background1"/>
                <w:szCs w:val="20"/>
              </w:rPr>
              <w:t>Level of Talent Pool</w:t>
            </w:r>
          </w:p>
        </w:tc>
        <w:tc>
          <w:tcPr>
            <w:tcW w:w="1711" w:type="dxa"/>
            <w:shd w:val="clear" w:color="auto" w:fill="0070C0"/>
          </w:tcPr>
          <w:p w:rsidR="00AB1556" w:rsidRPr="00AB1556" w:rsidRDefault="00AB1556" w:rsidP="00AB47F7">
            <w:pPr>
              <w:jc w:val="center"/>
              <w:rPr>
                <w:b/>
                <w:color w:val="FFFFFF" w:themeColor="background1"/>
                <w:szCs w:val="20"/>
              </w:rPr>
            </w:pPr>
            <w:r w:rsidRPr="00AB1556">
              <w:rPr>
                <w:b/>
                <w:color w:val="FFFFFF" w:themeColor="background1"/>
                <w:szCs w:val="20"/>
              </w:rPr>
              <w:t>Number in Talent Pool</w:t>
            </w:r>
          </w:p>
        </w:tc>
        <w:tc>
          <w:tcPr>
            <w:tcW w:w="2400" w:type="dxa"/>
            <w:shd w:val="clear" w:color="auto" w:fill="0070C0"/>
          </w:tcPr>
          <w:p w:rsidR="00AB1556" w:rsidRPr="00AB1556" w:rsidRDefault="00AB1556" w:rsidP="00AB47F7">
            <w:pPr>
              <w:jc w:val="center"/>
              <w:rPr>
                <w:b/>
                <w:color w:val="FFFFFF" w:themeColor="background1"/>
                <w:szCs w:val="20"/>
              </w:rPr>
            </w:pPr>
            <w:r w:rsidRPr="00AB1556">
              <w:rPr>
                <w:b/>
                <w:color w:val="FFFFFF" w:themeColor="background1"/>
                <w:szCs w:val="20"/>
              </w:rPr>
              <w:t>Grey / Green</w:t>
            </w:r>
          </w:p>
        </w:tc>
      </w:tr>
      <w:tr w:rsidR="00AB1556" w:rsidRPr="00AB1556" w:rsidTr="00C73E6D">
        <w:trPr>
          <w:trHeight w:val="379"/>
        </w:trPr>
        <w:tc>
          <w:tcPr>
            <w:tcW w:w="1701" w:type="dxa"/>
            <w:vMerge w:val="restart"/>
          </w:tcPr>
          <w:p w:rsidR="00AB1556" w:rsidRPr="00AB1556" w:rsidRDefault="00AB1556" w:rsidP="00AB47F7">
            <w:pPr>
              <w:rPr>
                <w:b/>
                <w:color w:val="0070C0"/>
                <w:szCs w:val="20"/>
              </w:rPr>
            </w:pPr>
            <w:r w:rsidRPr="00AB1556">
              <w:rPr>
                <w:b/>
                <w:color w:val="0070C0"/>
                <w:szCs w:val="20"/>
              </w:rPr>
              <w:t>Middle Manager</w:t>
            </w:r>
          </w:p>
        </w:tc>
        <w:tc>
          <w:tcPr>
            <w:tcW w:w="3118" w:type="dxa"/>
          </w:tcPr>
          <w:p w:rsidR="00AB1556" w:rsidRPr="00AB1556" w:rsidRDefault="00AB1556" w:rsidP="00AB47F7">
            <w:pPr>
              <w:rPr>
                <w:color w:val="0D0D0D"/>
                <w:szCs w:val="20"/>
              </w:rPr>
            </w:pPr>
            <w:r w:rsidRPr="00AB1556">
              <w:rPr>
                <w:color w:val="0D0D0D"/>
                <w:szCs w:val="20"/>
              </w:rPr>
              <w:t>Group Manager / P01-2</w:t>
            </w:r>
          </w:p>
        </w:tc>
        <w:tc>
          <w:tcPr>
            <w:tcW w:w="1711" w:type="dxa"/>
          </w:tcPr>
          <w:p w:rsidR="00AB1556" w:rsidRPr="00AB1556" w:rsidRDefault="00AB1556" w:rsidP="00AB47F7">
            <w:pPr>
              <w:jc w:val="center"/>
              <w:rPr>
                <w:color w:val="0D0D0D"/>
                <w:szCs w:val="20"/>
              </w:rPr>
            </w:pPr>
            <w:r w:rsidRPr="00AB1556">
              <w:rPr>
                <w:color w:val="0D0D0D"/>
                <w:szCs w:val="20"/>
              </w:rPr>
              <w:t>4 (1 external)</w:t>
            </w:r>
          </w:p>
        </w:tc>
        <w:tc>
          <w:tcPr>
            <w:tcW w:w="2400" w:type="dxa"/>
          </w:tcPr>
          <w:p w:rsidR="00AB1556" w:rsidRPr="00AB1556" w:rsidRDefault="00AB1556" w:rsidP="00AB47F7">
            <w:pPr>
              <w:jc w:val="center"/>
              <w:rPr>
                <w:color w:val="0D0D0D"/>
                <w:szCs w:val="20"/>
              </w:rPr>
            </w:pPr>
            <w:r w:rsidRPr="00AB1556">
              <w:rPr>
                <w:color w:val="0D0D0D"/>
                <w:szCs w:val="20"/>
              </w:rPr>
              <w:t>3 / 1*</w:t>
            </w:r>
          </w:p>
        </w:tc>
      </w:tr>
      <w:tr w:rsidR="00AB1556" w:rsidRPr="00AB1556" w:rsidTr="00C73E6D">
        <w:tc>
          <w:tcPr>
            <w:tcW w:w="1701" w:type="dxa"/>
            <w:vMerge/>
          </w:tcPr>
          <w:p w:rsidR="00AB1556" w:rsidRPr="00AB1556" w:rsidRDefault="00AB1556" w:rsidP="00AB47F7">
            <w:pPr>
              <w:rPr>
                <w:b/>
                <w:color w:val="0070C0"/>
                <w:szCs w:val="20"/>
              </w:rPr>
            </w:pPr>
          </w:p>
        </w:tc>
        <w:tc>
          <w:tcPr>
            <w:tcW w:w="3118" w:type="dxa"/>
          </w:tcPr>
          <w:p w:rsidR="00AB1556" w:rsidRPr="00AB1556" w:rsidRDefault="00AB1556" w:rsidP="00AB47F7">
            <w:pPr>
              <w:rPr>
                <w:color w:val="0D0D0D"/>
                <w:szCs w:val="20"/>
              </w:rPr>
            </w:pPr>
            <w:r w:rsidRPr="00AB1556">
              <w:rPr>
                <w:color w:val="0D0D0D"/>
                <w:szCs w:val="20"/>
              </w:rPr>
              <w:t xml:space="preserve">Station Manager / S01-2 </w:t>
            </w:r>
          </w:p>
        </w:tc>
        <w:tc>
          <w:tcPr>
            <w:tcW w:w="1711" w:type="dxa"/>
          </w:tcPr>
          <w:p w:rsidR="00AB1556" w:rsidRPr="00AB1556" w:rsidRDefault="00AB1556" w:rsidP="00AB47F7">
            <w:pPr>
              <w:jc w:val="center"/>
              <w:rPr>
                <w:color w:val="0D0D0D"/>
                <w:szCs w:val="20"/>
                <w:highlight w:val="yellow"/>
              </w:rPr>
            </w:pPr>
            <w:r w:rsidRPr="00AB1556">
              <w:rPr>
                <w:color w:val="0D0D0D"/>
                <w:szCs w:val="20"/>
              </w:rPr>
              <w:t>6</w:t>
            </w:r>
          </w:p>
        </w:tc>
        <w:tc>
          <w:tcPr>
            <w:tcW w:w="2400" w:type="dxa"/>
          </w:tcPr>
          <w:p w:rsidR="00AB1556" w:rsidRPr="00AB1556" w:rsidRDefault="00AB1556" w:rsidP="00AB47F7">
            <w:pPr>
              <w:jc w:val="center"/>
              <w:rPr>
                <w:color w:val="0D0D0D"/>
                <w:szCs w:val="20"/>
                <w:highlight w:val="yellow"/>
              </w:rPr>
            </w:pPr>
            <w:r w:rsidRPr="00AB1556">
              <w:rPr>
                <w:color w:val="0D0D0D"/>
                <w:szCs w:val="20"/>
              </w:rPr>
              <w:t xml:space="preserve">2 / 4* </w:t>
            </w:r>
          </w:p>
        </w:tc>
      </w:tr>
      <w:tr w:rsidR="00AB1556" w:rsidRPr="00AB1556" w:rsidTr="00C73E6D">
        <w:tc>
          <w:tcPr>
            <w:tcW w:w="1701" w:type="dxa"/>
            <w:vMerge w:val="restart"/>
          </w:tcPr>
          <w:p w:rsidR="00AB1556" w:rsidRPr="00AB1556" w:rsidRDefault="00AB1556" w:rsidP="00AB47F7">
            <w:pPr>
              <w:rPr>
                <w:b/>
                <w:color w:val="0070C0"/>
                <w:szCs w:val="20"/>
              </w:rPr>
            </w:pPr>
            <w:r w:rsidRPr="00AB1556">
              <w:rPr>
                <w:b/>
                <w:color w:val="0070C0"/>
                <w:szCs w:val="20"/>
              </w:rPr>
              <w:t>Supervisory Manager</w:t>
            </w:r>
          </w:p>
        </w:tc>
        <w:tc>
          <w:tcPr>
            <w:tcW w:w="3118" w:type="dxa"/>
          </w:tcPr>
          <w:p w:rsidR="00AB1556" w:rsidRPr="00AB1556" w:rsidRDefault="00AB1556" w:rsidP="00AB47F7">
            <w:pPr>
              <w:rPr>
                <w:color w:val="0D0D0D"/>
                <w:szCs w:val="20"/>
              </w:rPr>
            </w:pPr>
            <w:r w:rsidRPr="00AB1556">
              <w:rPr>
                <w:color w:val="0D0D0D"/>
                <w:szCs w:val="20"/>
              </w:rPr>
              <w:t>Watch Manager / Scale 6</w:t>
            </w:r>
          </w:p>
        </w:tc>
        <w:tc>
          <w:tcPr>
            <w:tcW w:w="1711" w:type="dxa"/>
          </w:tcPr>
          <w:p w:rsidR="00AB1556" w:rsidRPr="00AB1556" w:rsidRDefault="00AB1556" w:rsidP="00AB47F7">
            <w:pPr>
              <w:jc w:val="center"/>
              <w:rPr>
                <w:color w:val="0D0D0D"/>
                <w:szCs w:val="20"/>
                <w:highlight w:val="yellow"/>
              </w:rPr>
            </w:pPr>
            <w:r w:rsidRPr="00AB1556">
              <w:rPr>
                <w:color w:val="0D0D0D"/>
                <w:szCs w:val="20"/>
              </w:rPr>
              <w:t>13</w:t>
            </w:r>
          </w:p>
        </w:tc>
        <w:tc>
          <w:tcPr>
            <w:tcW w:w="2400" w:type="dxa"/>
          </w:tcPr>
          <w:p w:rsidR="00AB1556" w:rsidRPr="00AB1556" w:rsidRDefault="00AB1556" w:rsidP="00AB47F7">
            <w:pPr>
              <w:jc w:val="center"/>
              <w:rPr>
                <w:color w:val="0D0D0D"/>
                <w:szCs w:val="20"/>
                <w:highlight w:val="yellow"/>
              </w:rPr>
            </w:pPr>
            <w:r w:rsidRPr="00AB1556">
              <w:rPr>
                <w:color w:val="0D0D0D"/>
                <w:szCs w:val="20"/>
              </w:rPr>
              <w:t>13 / 0*</w:t>
            </w:r>
          </w:p>
        </w:tc>
      </w:tr>
      <w:tr w:rsidR="00AB1556" w:rsidRPr="00AB1556" w:rsidTr="00C73E6D">
        <w:tc>
          <w:tcPr>
            <w:tcW w:w="1701" w:type="dxa"/>
            <w:vMerge/>
          </w:tcPr>
          <w:p w:rsidR="00AB1556" w:rsidRPr="00AB1556" w:rsidRDefault="00AB1556" w:rsidP="00AB47F7">
            <w:pPr>
              <w:rPr>
                <w:color w:val="0D0D0D"/>
                <w:szCs w:val="20"/>
              </w:rPr>
            </w:pPr>
          </w:p>
        </w:tc>
        <w:tc>
          <w:tcPr>
            <w:tcW w:w="3118" w:type="dxa"/>
          </w:tcPr>
          <w:p w:rsidR="00AB1556" w:rsidRPr="00AB1556" w:rsidRDefault="00AB1556" w:rsidP="00AB47F7">
            <w:pPr>
              <w:rPr>
                <w:color w:val="0D0D0D"/>
                <w:szCs w:val="20"/>
              </w:rPr>
            </w:pPr>
            <w:r w:rsidRPr="00AB1556">
              <w:rPr>
                <w:color w:val="0D0D0D"/>
                <w:szCs w:val="20"/>
              </w:rPr>
              <w:t>Crew Manager / Scale 5</w:t>
            </w:r>
          </w:p>
        </w:tc>
        <w:tc>
          <w:tcPr>
            <w:tcW w:w="1711" w:type="dxa"/>
          </w:tcPr>
          <w:p w:rsidR="00AB1556" w:rsidRPr="00AB1556" w:rsidRDefault="00AB1556" w:rsidP="00AB47F7">
            <w:pPr>
              <w:jc w:val="center"/>
              <w:rPr>
                <w:color w:val="0D0D0D"/>
                <w:szCs w:val="20"/>
                <w:highlight w:val="yellow"/>
              </w:rPr>
            </w:pPr>
            <w:r w:rsidRPr="00AB1556">
              <w:rPr>
                <w:color w:val="0D0D0D"/>
                <w:szCs w:val="20"/>
              </w:rPr>
              <w:t xml:space="preserve">19 </w:t>
            </w:r>
          </w:p>
        </w:tc>
        <w:tc>
          <w:tcPr>
            <w:tcW w:w="2400" w:type="dxa"/>
          </w:tcPr>
          <w:p w:rsidR="00AB1556" w:rsidRPr="00AB1556" w:rsidRDefault="00AB1556" w:rsidP="00AB47F7">
            <w:pPr>
              <w:jc w:val="center"/>
              <w:rPr>
                <w:color w:val="0D0D0D"/>
                <w:szCs w:val="20"/>
                <w:highlight w:val="yellow"/>
              </w:rPr>
            </w:pPr>
            <w:r w:rsidRPr="00AB1556">
              <w:rPr>
                <w:color w:val="0D0D0D"/>
                <w:szCs w:val="20"/>
              </w:rPr>
              <w:t>19 (</w:t>
            </w:r>
            <w:proofErr w:type="spellStart"/>
            <w:r w:rsidRPr="00AB1556">
              <w:rPr>
                <w:color w:val="0D0D0D"/>
                <w:szCs w:val="20"/>
              </w:rPr>
              <w:t>inc</w:t>
            </w:r>
            <w:proofErr w:type="spellEnd"/>
            <w:r w:rsidRPr="00AB1556">
              <w:rPr>
                <w:color w:val="0D0D0D"/>
                <w:szCs w:val="20"/>
              </w:rPr>
              <w:t xml:space="preserve"> 6 in Control) / 0* </w:t>
            </w:r>
          </w:p>
        </w:tc>
      </w:tr>
    </w:tbl>
    <w:p w:rsidR="00AB1556" w:rsidRPr="00E606E0" w:rsidRDefault="00AB1556" w:rsidP="008C28CF">
      <w:pPr>
        <w:pStyle w:val="ListParagraph"/>
        <w:ind w:left="360"/>
        <w:jc w:val="both"/>
      </w:pPr>
    </w:p>
    <w:p w:rsidR="002C6E58" w:rsidRDefault="002C6E58" w:rsidP="008C28CF">
      <w:pPr>
        <w:pStyle w:val="ListParagraph"/>
        <w:numPr>
          <w:ilvl w:val="1"/>
          <w:numId w:val="24"/>
        </w:numPr>
        <w:jc w:val="both"/>
        <w:rPr>
          <w:b/>
        </w:rPr>
      </w:pPr>
      <w:r w:rsidRPr="002F7488">
        <w:rPr>
          <w:b/>
        </w:rPr>
        <w:t>Absence Actions</w:t>
      </w:r>
    </w:p>
    <w:p w:rsidR="00B81221" w:rsidRDefault="00B81221" w:rsidP="008C28CF">
      <w:pPr>
        <w:pStyle w:val="ListParagraph"/>
        <w:ind w:left="360"/>
        <w:jc w:val="both"/>
        <w:rPr>
          <w:b/>
        </w:rPr>
      </w:pPr>
    </w:p>
    <w:p w:rsidR="00B81221" w:rsidRDefault="009755D2" w:rsidP="008C28CF">
      <w:pPr>
        <w:pStyle w:val="ListParagraph"/>
        <w:ind w:left="360"/>
        <w:jc w:val="both"/>
      </w:pPr>
      <w:r>
        <w:t xml:space="preserve">Following the move from SAP to </w:t>
      </w:r>
      <w:proofErr w:type="spellStart"/>
      <w:r>
        <w:t>Civica</w:t>
      </w:r>
      <w:proofErr w:type="spellEnd"/>
      <w:r>
        <w:t xml:space="preserve"> at the start of December 2018, On-Call employee sickness is now recorded in the system and absence data for 2019 will see an increase in sickness data for that group of employees. We recognise that there will be a period of learning/adjustment while users become familiar with the system and during this period, it is likely that we may encounter some data quality issues for this group.</w:t>
      </w:r>
    </w:p>
    <w:p w:rsidR="009074DE" w:rsidRDefault="009074DE" w:rsidP="008C28CF">
      <w:pPr>
        <w:pStyle w:val="ListParagraph"/>
        <w:ind w:left="360"/>
        <w:jc w:val="both"/>
      </w:pPr>
    </w:p>
    <w:p w:rsidR="009074DE" w:rsidRPr="00B81221" w:rsidRDefault="009074DE" w:rsidP="008C28CF">
      <w:pPr>
        <w:pStyle w:val="ListParagraph"/>
        <w:ind w:left="360"/>
        <w:jc w:val="both"/>
      </w:pPr>
      <w:r>
        <w:t>The HR Business Partner Teams have produced some additional guidance regarding absence management including return to work and attendance management</w:t>
      </w:r>
      <w:r w:rsidR="00E44AE1">
        <w:t xml:space="preserve"> steps. This was shared with managers along with offering to meet with watch managers to support their understanding of attendance management to try to build their confidence in tackling things early.</w:t>
      </w:r>
    </w:p>
    <w:p w:rsidR="00B81221" w:rsidRPr="002F7488" w:rsidRDefault="00B81221" w:rsidP="008C28CF">
      <w:pPr>
        <w:pStyle w:val="ListParagraph"/>
        <w:ind w:left="360"/>
        <w:jc w:val="both"/>
        <w:rPr>
          <w:b/>
        </w:rPr>
      </w:pPr>
    </w:p>
    <w:p w:rsidR="002C6E58" w:rsidRDefault="002C6E58" w:rsidP="008C28CF">
      <w:pPr>
        <w:pStyle w:val="ListParagraph"/>
        <w:numPr>
          <w:ilvl w:val="1"/>
          <w:numId w:val="24"/>
        </w:numPr>
        <w:jc w:val="both"/>
        <w:rPr>
          <w:b/>
        </w:rPr>
      </w:pPr>
      <w:r w:rsidRPr="002F7488">
        <w:rPr>
          <w:b/>
        </w:rPr>
        <w:t>Employee Relations Actions</w:t>
      </w:r>
    </w:p>
    <w:p w:rsidR="00B81221" w:rsidRDefault="00B81221" w:rsidP="008C28CF">
      <w:pPr>
        <w:ind w:left="360"/>
        <w:jc w:val="both"/>
        <w:rPr>
          <w:b/>
        </w:rPr>
      </w:pPr>
    </w:p>
    <w:p w:rsidR="00B81221" w:rsidRDefault="00BC6C84" w:rsidP="00BC6C84">
      <w:pPr>
        <w:ind w:left="360"/>
        <w:jc w:val="both"/>
      </w:pPr>
      <w:r>
        <w:t xml:space="preserve">As a result of the Discipline and Grievance workshop work with ACAS and in response to discussions with representative bodies, the recommendation was that managers should attend course on conflict handling, informal resolution and discipline and grievance processes. There was a 1 day investigation skills training held </w:t>
      </w:r>
      <w:r w:rsidR="00B65D68">
        <w:t>in July 2018</w:t>
      </w:r>
      <w:r>
        <w:t>, attended by</w:t>
      </w:r>
      <w:r w:rsidR="00B65D68">
        <w:t xml:space="preserve"> 14 </w:t>
      </w:r>
      <w:r>
        <w:t>employees from across the Service</w:t>
      </w:r>
      <w:r w:rsidR="00B65D68">
        <w:t xml:space="preserve">, a further course is scheduled for January 2019. This training will form the basis of our pool of investigators. </w:t>
      </w:r>
      <w:r>
        <w:t>Further training included Part 1: Conflict Handling (2 days), Part 2: Day 1 Alternative &amp; Informal Resolutions and Day 2 Disciplinary Process.</w:t>
      </w:r>
      <w:r w:rsidR="00E36B37">
        <w:t xml:space="preserve"> These four days (run as 2 sections) were attended by managers. </w:t>
      </w:r>
    </w:p>
    <w:p w:rsidR="00212A4B" w:rsidRDefault="00212A4B" w:rsidP="00BC6C84">
      <w:pPr>
        <w:ind w:left="360"/>
        <w:jc w:val="both"/>
      </w:pPr>
    </w:p>
    <w:p w:rsidR="00212A4B" w:rsidRDefault="00212A4B" w:rsidP="00BC6C84">
      <w:pPr>
        <w:ind w:left="360"/>
        <w:jc w:val="both"/>
      </w:pPr>
      <w:r>
        <w:t>Our People Strategy details the way that we look after our people, promote our values and culture, train our people, ensure fairness and diversity and develop leadership capability. This strategy is key to driving high performance for the Service.</w:t>
      </w:r>
    </w:p>
    <w:p w:rsidR="00212A4B" w:rsidRDefault="00212A4B" w:rsidP="00BC6C84">
      <w:pPr>
        <w:ind w:left="360"/>
        <w:jc w:val="both"/>
      </w:pPr>
    </w:p>
    <w:p w:rsidR="00212A4B" w:rsidRDefault="00212A4B" w:rsidP="00BC6C84">
      <w:pPr>
        <w:ind w:left="360"/>
        <w:jc w:val="both"/>
      </w:pPr>
      <w:r>
        <w:t>‘Looking after’ our people has six key elements:</w:t>
      </w:r>
    </w:p>
    <w:p w:rsidR="00212A4B" w:rsidRDefault="00212A4B" w:rsidP="00BC6C84">
      <w:pPr>
        <w:ind w:left="360"/>
        <w:jc w:val="both"/>
      </w:pPr>
    </w:p>
    <w:p w:rsidR="00212A4B" w:rsidRDefault="00212A4B" w:rsidP="00212A4B">
      <w:pPr>
        <w:pStyle w:val="ListParagraph"/>
        <w:numPr>
          <w:ilvl w:val="0"/>
          <w:numId w:val="28"/>
        </w:numPr>
        <w:jc w:val="both"/>
      </w:pPr>
      <w:r>
        <w:t>Culture – helping people to feel engaged and valued</w:t>
      </w:r>
    </w:p>
    <w:p w:rsidR="00212A4B" w:rsidRDefault="00212A4B" w:rsidP="00212A4B">
      <w:pPr>
        <w:pStyle w:val="ListParagraph"/>
        <w:numPr>
          <w:ilvl w:val="0"/>
          <w:numId w:val="28"/>
        </w:numPr>
        <w:jc w:val="both"/>
      </w:pPr>
      <w:r>
        <w:t>Inclusive workplace</w:t>
      </w:r>
    </w:p>
    <w:p w:rsidR="00212A4B" w:rsidRDefault="00212A4B" w:rsidP="00212A4B">
      <w:pPr>
        <w:pStyle w:val="ListParagraph"/>
        <w:numPr>
          <w:ilvl w:val="0"/>
          <w:numId w:val="28"/>
        </w:numPr>
        <w:jc w:val="both"/>
      </w:pPr>
      <w:r>
        <w:t>Learning and management</w:t>
      </w:r>
    </w:p>
    <w:p w:rsidR="00212A4B" w:rsidRDefault="00212A4B" w:rsidP="00212A4B">
      <w:pPr>
        <w:pStyle w:val="ListParagraph"/>
        <w:numPr>
          <w:ilvl w:val="0"/>
          <w:numId w:val="28"/>
        </w:numPr>
        <w:jc w:val="both"/>
      </w:pPr>
      <w:r>
        <w:t>Recruitment and development</w:t>
      </w:r>
    </w:p>
    <w:p w:rsidR="00212A4B" w:rsidRDefault="00212A4B" w:rsidP="00212A4B">
      <w:pPr>
        <w:pStyle w:val="ListParagraph"/>
        <w:numPr>
          <w:ilvl w:val="0"/>
          <w:numId w:val="28"/>
        </w:numPr>
        <w:jc w:val="both"/>
      </w:pPr>
      <w:r>
        <w:t>Organisational learning and performance</w:t>
      </w:r>
    </w:p>
    <w:p w:rsidR="00212A4B" w:rsidRPr="00B81221" w:rsidRDefault="00212A4B" w:rsidP="00212A4B">
      <w:pPr>
        <w:pStyle w:val="ListParagraph"/>
        <w:numPr>
          <w:ilvl w:val="0"/>
          <w:numId w:val="28"/>
        </w:numPr>
        <w:jc w:val="both"/>
      </w:pPr>
      <w:r>
        <w:t>Employee wellbeing</w:t>
      </w:r>
    </w:p>
    <w:p w:rsidR="00B81221" w:rsidRDefault="00B81221" w:rsidP="008C28CF">
      <w:pPr>
        <w:ind w:left="360"/>
        <w:jc w:val="both"/>
        <w:rPr>
          <w:b/>
        </w:rPr>
      </w:pPr>
    </w:p>
    <w:p w:rsidR="003220AA" w:rsidRDefault="003220AA" w:rsidP="008C28CF">
      <w:pPr>
        <w:ind w:left="360"/>
        <w:jc w:val="both"/>
        <w:rPr>
          <w:b/>
        </w:rPr>
      </w:pPr>
    </w:p>
    <w:p w:rsidR="003220AA" w:rsidRDefault="003220AA" w:rsidP="008C28CF">
      <w:pPr>
        <w:ind w:left="360"/>
        <w:jc w:val="both"/>
        <w:rPr>
          <w:b/>
        </w:rPr>
      </w:pPr>
    </w:p>
    <w:p w:rsidR="003220AA" w:rsidRPr="00B81221" w:rsidRDefault="003220AA" w:rsidP="008C28CF">
      <w:pPr>
        <w:ind w:left="360"/>
        <w:jc w:val="both"/>
        <w:rPr>
          <w:b/>
        </w:rPr>
      </w:pPr>
    </w:p>
    <w:p w:rsidR="002C6E58" w:rsidRPr="002F7488" w:rsidRDefault="002C6E58" w:rsidP="008C28CF">
      <w:pPr>
        <w:pStyle w:val="ListParagraph"/>
        <w:numPr>
          <w:ilvl w:val="1"/>
          <w:numId w:val="24"/>
        </w:numPr>
        <w:jc w:val="both"/>
        <w:rPr>
          <w:b/>
        </w:rPr>
      </w:pPr>
      <w:r w:rsidRPr="002F7488">
        <w:rPr>
          <w:b/>
        </w:rPr>
        <w:lastRenderedPageBreak/>
        <w:t>Cultural Change</w:t>
      </w:r>
    </w:p>
    <w:p w:rsidR="002C6E58" w:rsidRDefault="002C6E58" w:rsidP="008C28CF">
      <w:pPr>
        <w:pStyle w:val="ListParagraph"/>
        <w:ind w:left="360"/>
        <w:jc w:val="both"/>
      </w:pPr>
    </w:p>
    <w:p w:rsidR="00BA79C3" w:rsidRDefault="00BA79C3" w:rsidP="008C28CF">
      <w:pPr>
        <w:pStyle w:val="ListParagraph"/>
        <w:ind w:left="360"/>
        <w:jc w:val="both"/>
      </w:pPr>
      <w:r>
        <w:t>Reports from the Expert Advisory Panel following the Lucas Review and from Sir Ken Knight identified significant changes that were underway. In addition, the Office of the Police, Fire and Crime Commissioner commissioned an independent review of progress on Phase One of culture change within ECFRS. The review concluded:</w:t>
      </w:r>
    </w:p>
    <w:p w:rsidR="00BA79C3" w:rsidRDefault="00BA79C3" w:rsidP="00BA79C3">
      <w:pPr>
        <w:pStyle w:val="ListParagraph"/>
        <w:ind w:left="1080"/>
        <w:jc w:val="both"/>
      </w:pPr>
    </w:p>
    <w:p w:rsidR="00BA79C3" w:rsidRDefault="00BA79C3" w:rsidP="00BA79C3">
      <w:pPr>
        <w:pStyle w:val="ListParagraph"/>
        <w:numPr>
          <w:ilvl w:val="0"/>
          <w:numId w:val="25"/>
        </w:numPr>
        <w:jc w:val="both"/>
      </w:pPr>
      <w:r>
        <w:t>ECFRS had been brave in its response to the challenges of the Lucas Review;</w:t>
      </w:r>
    </w:p>
    <w:p w:rsidR="00BA79C3" w:rsidRDefault="00BA79C3" w:rsidP="00BA79C3">
      <w:pPr>
        <w:pStyle w:val="ListParagraph"/>
        <w:numPr>
          <w:ilvl w:val="0"/>
          <w:numId w:val="25"/>
        </w:numPr>
        <w:jc w:val="both"/>
      </w:pPr>
      <w:r>
        <w:t>That the work undertaken had focussed on what was best for the Service and the well-being of staff;</w:t>
      </w:r>
    </w:p>
    <w:p w:rsidR="00BA79C3" w:rsidRDefault="00BA79C3" w:rsidP="00BA79C3">
      <w:pPr>
        <w:pStyle w:val="ListParagraph"/>
        <w:numPr>
          <w:ilvl w:val="0"/>
          <w:numId w:val="25"/>
        </w:numPr>
        <w:jc w:val="both"/>
      </w:pPr>
      <w:r>
        <w:t>That a lot of excellent work had been done;</w:t>
      </w:r>
    </w:p>
    <w:p w:rsidR="00BA79C3" w:rsidRDefault="00BA79C3" w:rsidP="00BA79C3">
      <w:pPr>
        <w:pStyle w:val="ListParagraph"/>
        <w:numPr>
          <w:ilvl w:val="0"/>
          <w:numId w:val="25"/>
        </w:numPr>
        <w:jc w:val="both"/>
      </w:pPr>
      <w:r>
        <w:t>It identified a need for future culture change work to ensure that all staff were taken on the journey of change and that allowances were made to ensure that all staff completed the journey.</w:t>
      </w:r>
    </w:p>
    <w:p w:rsidR="002D4EA4" w:rsidRDefault="002D4EA4" w:rsidP="002D4EA4">
      <w:pPr>
        <w:jc w:val="both"/>
      </w:pPr>
    </w:p>
    <w:p w:rsidR="002D4EA4" w:rsidRDefault="002D4EA4" w:rsidP="002D4EA4">
      <w:pPr>
        <w:ind w:left="360"/>
        <w:jc w:val="both"/>
      </w:pPr>
      <w:r>
        <w:t>Work-streams relating to the cultural change programme will be introduced incrementally. The key elements of the approach are:</w:t>
      </w:r>
    </w:p>
    <w:p w:rsidR="002D4EA4" w:rsidRDefault="002D4EA4" w:rsidP="002D4EA4">
      <w:pPr>
        <w:ind w:left="360"/>
        <w:jc w:val="both"/>
      </w:pPr>
    </w:p>
    <w:p w:rsidR="002D4EA4" w:rsidRDefault="002D4EA4" w:rsidP="002D4EA4">
      <w:pPr>
        <w:pStyle w:val="ListParagraph"/>
        <w:numPr>
          <w:ilvl w:val="0"/>
          <w:numId w:val="26"/>
        </w:numPr>
        <w:jc w:val="both"/>
      </w:pPr>
      <w:r>
        <w:t>Values and behaviours</w:t>
      </w:r>
    </w:p>
    <w:p w:rsidR="002D4EA4" w:rsidRDefault="002D4EA4" w:rsidP="002D4EA4">
      <w:pPr>
        <w:pStyle w:val="ListParagraph"/>
        <w:numPr>
          <w:ilvl w:val="0"/>
          <w:numId w:val="26"/>
        </w:numPr>
        <w:jc w:val="both"/>
      </w:pPr>
      <w:r>
        <w:t>Recognition</w:t>
      </w:r>
    </w:p>
    <w:p w:rsidR="002D4EA4" w:rsidRDefault="002D4EA4" w:rsidP="002D4EA4">
      <w:pPr>
        <w:pStyle w:val="ListParagraph"/>
        <w:numPr>
          <w:ilvl w:val="0"/>
          <w:numId w:val="26"/>
        </w:numPr>
        <w:jc w:val="both"/>
      </w:pPr>
      <w:r>
        <w:t>Communication</w:t>
      </w:r>
    </w:p>
    <w:p w:rsidR="002D4EA4" w:rsidRDefault="002D4EA4" w:rsidP="002D4EA4">
      <w:pPr>
        <w:pStyle w:val="ListParagraph"/>
        <w:numPr>
          <w:ilvl w:val="0"/>
          <w:numId w:val="26"/>
        </w:numPr>
        <w:jc w:val="both"/>
      </w:pPr>
      <w:r>
        <w:t>Continuous improvement</w:t>
      </w:r>
    </w:p>
    <w:p w:rsidR="002D4EA4" w:rsidRDefault="002D4EA4" w:rsidP="002D4EA4">
      <w:pPr>
        <w:pStyle w:val="ListParagraph"/>
        <w:numPr>
          <w:ilvl w:val="0"/>
          <w:numId w:val="26"/>
        </w:numPr>
        <w:jc w:val="both"/>
      </w:pPr>
      <w:r>
        <w:t>Developing manager self-awareness</w:t>
      </w:r>
    </w:p>
    <w:p w:rsidR="002D4EA4" w:rsidRDefault="002D4EA4" w:rsidP="002D4EA4">
      <w:pPr>
        <w:pStyle w:val="ListParagraph"/>
        <w:numPr>
          <w:ilvl w:val="0"/>
          <w:numId w:val="26"/>
        </w:numPr>
        <w:jc w:val="both"/>
      </w:pPr>
      <w:r>
        <w:t>Implementation</w:t>
      </w:r>
    </w:p>
    <w:p w:rsidR="002D4EA4" w:rsidRDefault="002D4EA4" w:rsidP="002D4EA4">
      <w:pPr>
        <w:jc w:val="both"/>
      </w:pPr>
    </w:p>
    <w:p w:rsidR="00B81221" w:rsidRDefault="00222883" w:rsidP="008C28CF">
      <w:pPr>
        <w:pStyle w:val="ListParagraph"/>
        <w:ind w:left="360"/>
        <w:jc w:val="both"/>
      </w:pPr>
      <w:r>
        <w:t>Dignity at Work Champions have been introduced over the past 12 months to create a network of individuals committed to improving behaviours across the Service. Champions provide an informal route to resolve unacceptable behaviour including bullying and harassment that may arise. In addition, Champions take on a proactive role to identify perceived unfair practice and notify the Inclusion and Diversity Lead who can consider appropriate action.</w:t>
      </w:r>
    </w:p>
    <w:p w:rsidR="00222883" w:rsidRDefault="00222883" w:rsidP="008C28CF">
      <w:pPr>
        <w:pStyle w:val="ListParagraph"/>
        <w:ind w:left="360"/>
        <w:jc w:val="both"/>
      </w:pPr>
    </w:p>
    <w:p w:rsidR="00222883" w:rsidRDefault="00222883" w:rsidP="008C28CF">
      <w:pPr>
        <w:pStyle w:val="ListParagraph"/>
        <w:ind w:left="360"/>
        <w:jc w:val="both"/>
      </w:pPr>
      <w:r>
        <w:t>The Service have also introduced Professional and Inclusive Workplace visits to better understand what works well for small teams and what improvements could be made to make their working environment feel more professional and inclusive. Visits have identified a range of suggestions which are captured within an action tracker to enable a feedback cycle. The visits will continue throughout 2019.</w:t>
      </w:r>
    </w:p>
    <w:p w:rsidR="00927B05" w:rsidRDefault="00927B05" w:rsidP="008C28CF">
      <w:pPr>
        <w:pStyle w:val="ListParagraph"/>
        <w:ind w:left="360"/>
        <w:jc w:val="both"/>
      </w:pPr>
    </w:p>
    <w:p w:rsidR="00927B05" w:rsidRDefault="00927B05" w:rsidP="008C28CF">
      <w:pPr>
        <w:pStyle w:val="ListParagraph"/>
        <w:ind w:left="360"/>
        <w:jc w:val="both"/>
      </w:pPr>
      <w:r>
        <w:t>We are striving for greater inclusion in our workplace and are committed to creating an Inclusive Culture. We have:</w:t>
      </w:r>
    </w:p>
    <w:p w:rsidR="00927B05" w:rsidRDefault="00927B05" w:rsidP="008C28CF">
      <w:pPr>
        <w:pStyle w:val="ListParagraph"/>
        <w:ind w:left="360"/>
        <w:jc w:val="both"/>
      </w:pPr>
    </w:p>
    <w:p w:rsidR="00927B05" w:rsidRDefault="00927B05" w:rsidP="00927B05">
      <w:pPr>
        <w:pStyle w:val="ListParagraph"/>
        <w:numPr>
          <w:ilvl w:val="0"/>
          <w:numId w:val="27"/>
        </w:numPr>
        <w:jc w:val="both"/>
      </w:pPr>
      <w:r>
        <w:t>Established a steering group</w:t>
      </w:r>
    </w:p>
    <w:p w:rsidR="00927B05" w:rsidRDefault="00927B05" w:rsidP="00927B05">
      <w:pPr>
        <w:pStyle w:val="ListParagraph"/>
        <w:numPr>
          <w:ilvl w:val="0"/>
          <w:numId w:val="27"/>
        </w:numPr>
        <w:jc w:val="both"/>
      </w:pPr>
      <w:r>
        <w:t>Published equality objectives</w:t>
      </w:r>
    </w:p>
    <w:p w:rsidR="00927B05" w:rsidRDefault="00927B05" w:rsidP="00927B05">
      <w:pPr>
        <w:pStyle w:val="ListParagraph"/>
        <w:numPr>
          <w:ilvl w:val="0"/>
          <w:numId w:val="27"/>
        </w:numPr>
        <w:jc w:val="both"/>
      </w:pPr>
      <w:r>
        <w:t>Published gender pay information</w:t>
      </w:r>
    </w:p>
    <w:p w:rsidR="00927B05" w:rsidRDefault="00927B05" w:rsidP="00927B05">
      <w:pPr>
        <w:pStyle w:val="ListParagraph"/>
        <w:numPr>
          <w:ilvl w:val="0"/>
          <w:numId w:val="27"/>
        </w:numPr>
        <w:jc w:val="both"/>
      </w:pPr>
      <w:r>
        <w:t>Introduced professional and inclusive workplaces</w:t>
      </w:r>
    </w:p>
    <w:p w:rsidR="00927B05" w:rsidRDefault="00927B05" w:rsidP="00927B05">
      <w:pPr>
        <w:pStyle w:val="ListParagraph"/>
        <w:numPr>
          <w:ilvl w:val="0"/>
          <w:numId w:val="27"/>
        </w:numPr>
        <w:jc w:val="both"/>
      </w:pPr>
      <w:r>
        <w:t>Established Dignity at Work Champions</w:t>
      </w:r>
    </w:p>
    <w:p w:rsidR="00927B05" w:rsidRDefault="00927B05" w:rsidP="00927B05">
      <w:pPr>
        <w:pStyle w:val="ListParagraph"/>
        <w:numPr>
          <w:ilvl w:val="0"/>
          <w:numId w:val="27"/>
        </w:numPr>
        <w:jc w:val="both"/>
      </w:pPr>
      <w:r>
        <w:t>Undertaken positive action in our recent recruitment of firefighters</w:t>
      </w:r>
    </w:p>
    <w:p w:rsidR="00927B05" w:rsidRDefault="00927B05" w:rsidP="00927B05">
      <w:pPr>
        <w:pStyle w:val="ListParagraph"/>
        <w:numPr>
          <w:ilvl w:val="0"/>
          <w:numId w:val="27"/>
        </w:numPr>
        <w:jc w:val="both"/>
      </w:pPr>
      <w:r>
        <w:t>Run development and awareness sessions such as dyslexia awareness</w:t>
      </w:r>
    </w:p>
    <w:p w:rsidR="00222883" w:rsidRDefault="00222883" w:rsidP="008C28CF">
      <w:pPr>
        <w:pStyle w:val="ListParagraph"/>
        <w:ind w:left="360"/>
        <w:jc w:val="both"/>
      </w:pPr>
    </w:p>
    <w:p w:rsidR="00270718" w:rsidRDefault="00270718" w:rsidP="008C28CF">
      <w:pPr>
        <w:pStyle w:val="ListParagraph"/>
        <w:ind w:left="360"/>
        <w:jc w:val="both"/>
      </w:pPr>
    </w:p>
    <w:p w:rsidR="00270718" w:rsidRDefault="00270718" w:rsidP="008C28CF">
      <w:pPr>
        <w:pStyle w:val="ListParagraph"/>
        <w:ind w:left="360"/>
        <w:jc w:val="both"/>
      </w:pPr>
    </w:p>
    <w:p w:rsidR="008F687A" w:rsidRDefault="008F687A" w:rsidP="008C28CF">
      <w:pPr>
        <w:pStyle w:val="ListParagraph"/>
        <w:ind w:left="360"/>
        <w:jc w:val="both"/>
      </w:pPr>
      <w:r>
        <w:lastRenderedPageBreak/>
        <w:t>The People Strategy 2017-2020 introduced a scheme for rewarding and recognising contribution made by individuals and teams that go above and beyond the normal expectations of their role. We launched a Special Performance Recognition Scheme in February 2018 which was developed based on the feedback from a number of workshops, staff meetings and informal conversations conducted across the Service on how reward and recognition could be delivered in a manner that rewards contribution by any employee to bringing the Service values to life. The scheme gives prompt and tangible recognition to those staff who have given an exceptional personal investment to the Service.</w:t>
      </w:r>
    </w:p>
    <w:p w:rsidR="002C6E58" w:rsidRPr="002C6E58" w:rsidRDefault="002C6E58" w:rsidP="008C28CF">
      <w:pPr>
        <w:jc w:val="both"/>
      </w:pPr>
    </w:p>
    <w:p w:rsidR="00C0492F" w:rsidRDefault="00C0492F" w:rsidP="008C28CF">
      <w:pPr>
        <w:pStyle w:val="Heading1"/>
        <w:numPr>
          <w:ilvl w:val="0"/>
          <w:numId w:val="24"/>
        </w:numPr>
        <w:spacing w:after="0" w:line="600" w:lineRule="auto"/>
        <w:jc w:val="both"/>
      </w:pPr>
      <w:r w:rsidRPr="002E1E94">
        <w:t>Benefits and Risk Implications</w:t>
      </w:r>
    </w:p>
    <w:p w:rsidR="00A86E82" w:rsidRDefault="00A86E82" w:rsidP="00A86E82">
      <w:pPr>
        <w:pStyle w:val="ListParagraph"/>
        <w:ind w:left="360"/>
        <w:jc w:val="both"/>
      </w:pPr>
      <w:r>
        <w:t>All cases have been dealt with in accordance with the current Disciplinary Procedure and with current employment legislation by Service managers at the appropriate level, supported by HR Business Partners and their teams.</w:t>
      </w:r>
    </w:p>
    <w:p w:rsidR="00A86E82" w:rsidRDefault="00A86E82" w:rsidP="00A86E82">
      <w:pPr>
        <w:pStyle w:val="ListParagraph"/>
        <w:ind w:left="360"/>
        <w:jc w:val="both"/>
      </w:pPr>
    </w:p>
    <w:p w:rsidR="00A86E82" w:rsidRDefault="00A86E82" w:rsidP="00A86E82">
      <w:pPr>
        <w:pStyle w:val="ListParagraph"/>
        <w:ind w:left="360"/>
        <w:jc w:val="both"/>
      </w:pPr>
      <w:r>
        <w:t>High levels of sickness absence, and poor levels of competence can have a detrimental effect on crewing availability, training and costs including overtime.</w:t>
      </w:r>
    </w:p>
    <w:p w:rsidR="00A86E82" w:rsidRDefault="00A86E82" w:rsidP="00A86E82">
      <w:pPr>
        <w:pStyle w:val="ListParagraph"/>
        <w:ind w:left="360"/>
        <w:jc w:val="both"/>
      </w:pPr>
    </w:p>
    <w:p w:rsidR="00A86E82" w:rsidRDefault="00A86E82" w:rsidP="00A86E82">
      <w:pPr>
        <w:pStyle w:val="ListParagraph"/>
        <w:ind w:left="360"/>
        <w:jc w:val="both"/>
      </w:pPr>
      <w:r>
        <w:t xml:space="preserve">There are no additional risk management implications. </w:t>
      </w:r>
    </w:p>
    <w:p w:rsidR="00A86E82" w:rsidRPr="00A86E82" w:rsidRDefault="00A86E82" w:rsidP="00A86E82"/>
    <w:p w:rsidR="00C0492F" w:rsidRDefault="00C0492F" w:rsidP="008C28CF">
      <w:pPr>
        <w:pStyle w:val="Heading1"/>
        <w:numPr>
          <w:ilvl w:val="0"/>
          <w:numId w:val="24"/>
        </w:numPr>
        <w:spacing w:after="0" w:line="600" w:lineRule="auto"/>
        <w:jc w:val="both"/>
      </w:pPr>
      <w:r w:rsidRPr="002E1E94">
        <w:t>Financial Implications</w:t>
      </w:r>
    </w:p>
    <w:p w:rsidR="00C44F12" w:rsidRDefault="00C44F12" w:rsidP="00C44F12">
      <w:pPr>
        <w:ind w:left="360"/>
      </w:pPr>
      <w:r>
        <w:t>The Service has generous Occupational Sick Pay (OSP) entitlements which bring significant costs to the Service should sickness levels not be managed effectively.</w:t>
      </w:r>
    </w:p>
    <w:p w:rsidR="00C44F12" w:rsidRDefault="00C44F12" w:rsidP="00C44F12">
      <w:pPr>
        <w:ind w:left="360"/>
      </w:pPr>
    </w:p>
    <w:p w:rsidR="00C44F12" w:rsidRDefault="00C44F12" w:rsidP="00C44F12">
      <w:pPr>
        <w:ind w:left="360"/>
      </w:pPr>
      <w:r>
        <w:t>The cost of backfilling the roles of staff either on a regular or ad-hoc basis (e.g. dynamic out duties, agency temps) who are absent due to sickness and in receipt of OSP can be significant.</w:t>
      </w:r>
    </w:p>
    <w:p w:rsidR="00C44F12" w:rsidRPr="00C44F12" w:rsidRDefault="00C44F12" w:rsidP="00C44F12">
      <w:pPr>
        <w:ind w:left="360"/>
      </w:pPr>
    </w:p>
    <w:p w:rsidR="00C0492F" w:rsidRDefault="00C0492F" w:rsidP="008C28CF">
      <w:pPr>
        <w:pStyle w:val="Heading1"/>
        <w:numPr>
          <w:ilvl w:val="0"/>
          <w:numId w:val="24"/>
        </w:numPr>
        <w:spacing w:after="0" w:line="600" w:lineRule="auto"/>
        <w:jc w:val="both"/>
      </w:pPr>
      <w:r w:rsidRPr="002E1E94">
        <w:t>Equality and Diversity Implications</w:t>
      </w:r>
    </w:p>
    <w:p w:rsidR="00ED26B8" w:rsidRDefault="00ED26B8" w:rsidP="008C28CF">
      <w:pPr>
        <w:ind w:left="360"/>
        <w:jc w:val="both"/>
      </w:pPr>
      <w:r>
        <w:t>Essex County Fire and Rescue Service is committed to creating an Inclusive Culture with a workforce that is high performing and values differences to benefit the communities it serves. Our People Strategy is our template for attracting, engaging, developing and retaining our most valuable asset – the people that work here. It provides the components that will equip us to transform our workplace to be more agile, change able and inclusive.</w:t>
      </w:r>
    </w:p>
    <w:p w:rsidR="00E41A9D" w:rsidRDefault="00E41A9D" w:rsidP="008C28CF">
      <w:pPr>
        <w:ind w:left="360"/>
        <w:jc w:val="both"/>
      </w:pPr>
    </w:p>
    <w:p w:rsidR="00E41A9D" w:rsidRDefault="00E41A9D" w:rsidP="008C28CF">
      <w:pPr>
        <w:ind w:left="360"/>
        <w:jc w:val="both"/>
      </w:pPr>
      <w:r>
        <w:t xml:space="preserve">We have several development programmes to encourage development from employees of all backgrounds. Investment in the development of potential is vital in building a pipeline of future supervisors and managers. </w:t>
      </w:r>
    </w:p>
    <w:p w:rsidR="00ED26B8" w:rsidRPr="00ED26B8" w:rsidRDefault="00ED26B8" w:rsidP="008C28CF">
      <w:pPr>
        <w:jc w:val="both"/>
      </w:pPr>
    </w:p>
    <w:p w:rsidR="00C0492F" w:rsidRDefault="00C0492F" w:rsidP="008C28CF">
      <w:pPr>
        <w:pStyle w:val="Heading1"/>
        <w:numPr>
          <w:ilvl w:val="0"/>
          <w:numId w:val="24"/>
        </w:numPr>
        <w:spacing w:after="0" w:line="600" w:lineRule="auto"/>
        <w:jc w:val="both"/>
      </w:pPr>
      <w:r w:rsidRPr="002E1E94">
        <w:t>Workforce Engagement</w:t>
      </w:r>
    </w:p>
    <w:p w:rsidR="00270718" w:rsidRDefault="00270718" w:rsidP="00270718">
      <w:pPr>
        <w:ind w:left="360"/>
      </w:pPr>
      <w:r>
        <w:t xml:space="preserve">We meet regularly with our representative bodies. </w:t>
      </w:r>
      <w:r w:rsidR="003C4A5B">
        <w:t>We listen to our employees through our annual Employee Survey.  There are regularly opportunities for two way communication via forums such as ‘Your Voice’, ‘Manager Briefing’ and ‘Managers Cascade’.</w:t>
      </w:r>
    </w:p>
    <w:p w:rsidR="00270718" w:rsidRPr="00270718" w:rsidRDefault="00270718" w:rsidP="00270718">
      <w:pPr>
        <w:ind w:left="360"/>
      </w:pPr>
    </w:p>
    <w:p w:rsidR="00C0492F" w:rsidRDefault="00A20145" w:rsidP="008C28CF">
      <w:pPr>
        <w:pStyle w:val="Heading1"/>
        <w:numPr>
          <w:ilvl w:val="0"/>
          <w:numId w:val="24"/>
        </w:numPr>
        <w:spacing w:after="0" w:line="600" w:lineRule="auto"/>
        <w:jc w:val="both"/>
      </w:pPr>
      <w:r>
        <w:lastRenderedPageBreak/>
        <w:t>Legal ImplicationS</w:t>
      </w:r>
    </w:p>
    <w:p w:rsidR="00657E3D" w:rsidRDefault="00657E3D" w:rsidP="00657E3D">
      <w:pPr>
        <w:ind w:left="360"/>
      </w:pPr>
      <w:r>
        <w:t>The Service must ensure that attendance management procedures are fair and in accordance with Employment Legislation.</w:t>
      </w:r>
    </w:p>
    <w:p w:rsidR="00657E3D" w:rsidRPr="00657E3D" w:rsidRDefault="00657E3D" w:rsidP="00657E3D">
      <w:pPr>
        <w:ind w:left="360"/>
      </w:pPr>
    </w:p>
    <w:p w:rsidR="00F64805" w:rsidRPr="00A924A7" w:rsidRDefault="00F64805" w:rsidP="008C28CF">
      <w:pPr>
        <w:pStyle w:val="ListParagraph"/>
        <w:numPr>
          <w:ilvl w:val="0"/>
          <w:numId w:val="24"/>
        </w:numPr>
        <w:jc w:val="both"/>
        <w:rPr>
          <w:b/>
        </w:rPr>
      </w:pPr>
      <w:r w:rsidRPr="00A924A7">
        <w:rPr>
          <w:b/>
        </w:rPr>
        <w:t>HEALTH AND SAFETY IMPLICATIONS</w:t>
      </w:r>
    </w:p>
    <w:p w:rsidR="00784EB6" w:rsidRDefault="00784EB6" w:rsidP="008C28CF">
      <w:pPr>
        <w:jc w:val="both"/>
      </w:pPr>
    </w:p>
    <w:p w:rsidR="005D1630" w:rsidRDefault="005D1630" w:rsidP="005D1630">
      <w:pPr>
        <w:ind w:left="360"/>
        <w:jc w:val="both"/>
      </w:pPr>
      <w:r>
        <w:t>There are no health and safety implications associated with the content of this paper.</w:t>
      </w: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Default="00362173" w:rsidP="005D1630">
      <w:pPr>
        <w:ind w:left="360"/>
        <w:jc w:val="both"/>
      </w:pPr>
    </w:p>
    <w:p w:rsidR="00362173" w:rsidRPr="00A938E1" w:rsidRDefault="00362173" w:rsidP="005D1630">
      <w:pPr>
        <w:ind w:left="360"/>
        <w:jc w:val="both"/>
        <w:rPr>
          <w:b/>
        </w:rPr>
      </w:pPr>
      <w:r w:rsidRPr="00A938E1">
        <w:rPr>
          <w:b/>
        </w:rPr>
        <w:lastRenderedPageBreak/>
        <w:t>Appendix A</w:t>
      </w:r>
    </w:p>
    <w:p w:rsidR="00362173" w:rsidRDefault="00362173" w:rsidP="005D1630">
      <w:pPr>
        <w:ind w:left="360"/>
        <w:jc w:val="both"/>
      </w:pPr>
    </w:p>
    <w:p w:rsidR="00362173" w:rsidRPr="00A938E1" w:rsidRDefault="00362173" w:rsidP="005D1630">
      <w:pPr>
        <w:ind w:left="360"/>
        <w:jc w:val="both"/>
        <w:rPr>
          <w:u w:val="single"/>
        </w:rPr>
      </w:pPr>
      <w:r w:rsidRPr="00A938E1">
        <w:rPr>
          <w:u w:val="single"/>
        </w:rPr>
        <w:t>Equality Objectives</w:t>
      </w:r>
    </w:p>
    <w:p w:rsidR="00362173" w:rsidRDefault="00362173" w:rsidP="005D1630">
      <w:pPr>
        <w:ind w:left="360"/>
        <w:jc w:val="both"/>
      </w:pPr>
    </w:p>
    <w:p w:rsidR="00362173" w:rsidRDefault="00362173" w:rsidP="005D1630">
      <w:pPr>
        <w:ind w:left="360"/>
        <w:jc w:val="both"/>
      </w:pPr>
      <w:r>
        <w:t>Our objectives, published in line with The Public Sector Equality Duty (PSED) of the Equality Act 2010, are:</w:t>
      </w:r>
    </w:p>
    <w:p w:rsidR="00362173" w:rsidRDefault="00362173" w:rsidP="005D1630">
      <w:pPr>
        <w:ind w:left="360"/>
        <w:jc w:val="both"/>
      </w:pPr>
    </w:p>
    <w:p w:rsidR="00362173" w:rsidRDefault="00362173" w:rsidP="00362173">
      <w:pPr>
        <w:pStyle w:val="ListParagraph"/>
        <w:numPr>
          <w:ilvl w:val="0"/>
          <w:numId w:val="29"/>
        </w:numPr>
        <w:jc w:val="both"/>
      </w:pPr>
      <w:r>
        <w:t>To improve the recruitment, retention, progression, development and experience of the people employed by Essex County Fire and Rescue Service to enable the organisation to become an inclusive employer of choice.</w:t>
      </w:r>
    </w:p>
    <w:p w:rsidR="00362173" w:rsidRDefault="00362173" w:rsidP="00362173">
      <w:pPr>
        <w:pStyle w:val="ListParagraph"/>
        <w:ind w:left="1080"/>
        <w:jc w:val="both"/>
      </w:pPr>
    </w:p>
    <w:p w:rsidR="00362173" w:rsidRDefault="00362173" w:rsidP="00362173">
      <w:pPr>
        <w:pStyle w:val="ListParagraph"/>
        <w:numPr>
          <w:ilvl w:val="0"/>
          <w:numId w:val="29"/>
        </w:numPr>
        <w:jc w:val="both"/>
      </w:pPr>
      <w:r>
        <w:t>To promote and encourage employees to voluntarily declare their self-classification diversity data to ensure ECFRS actions as an employer are evidence led and improvement focused.</w:t>
      </w:r>
    </w:p>
    <w:p w:rsidR="00362173" w:rsidRDefault="00362173" w:rsidP="00362173">
      <w:pPr>
        <w:pStyle w:val="ListParagraph"/>
        <w:ind w:left="1080"/>
        <w:jc w:val="both"/>
      </w:pPr>
    </w:p>
    <w:p w:rsidR="00362173" w:rsidRDefault="00362173" w:rsidP="00362173">
      <w:pPr>
        <w:pStyle w:val="ListParagraph"/>
        <w:numPr>
          <w:ilvl w:val="0"/>
          <w:numId w:val="29"/>
        </w:numPr>
        <w:jc w:val="both"/>
      </w:pPr>
      <w:r>
        <w:t>To improve the mapping, quality and extent of equality information in order to better facilitate compliance with the public sector equality duty in relation to service delivery including IRMP additional activities.</w:t>
      </w:r>
    </w:p>
    <w:p w:rsidR="00362173" w:rsidRDefault="00362173" w:rsidP="00362173">
      <w:pPr>
        <w:pStyle w:val="ListParagraph"/>
        <w:ind w:left="1080"/>
        <w:jc w:val="both"/>
      </w:pPr>
    </w:p>
    <w:p w:rsidR="00362173" w:rsidRDefault="00362173" w:rsidP="00362173">
      <w:pPr>
        <w:pStyle w:val="ListParagraph"/>
        <w:numPr>
          <w:ilvl w:val="0"/>
          <w:numId w:val="29"/>
        </w:numPr>
        <w:jc w:val="both"/>
      </w:pPr>
      <w:r>
        <w:t>To review the equality impact of key organisational policies for differential impact in areas such as: recruitment and selection, learning and development, absence management, modified duties, talent management, appraisal, disciplinary and grievance.</w:t>
      </w:r>
    </w:p>
    <w:p w:rsidR="00362173" w:rsidRDefault="00362173" w:rsidP="00362173">
      <w:pPr>
        <w:pStyle w:val="ListParagraph"/>
        <w:ind w:left="1080"/>
        <w:jc w:val="both"/>
      </w:pPr>
    </w:p>
    <w:p w:rsidR="00362173" w:rsidRDefault="00362173" w:rsidP="00362173">
      <w:pPr>
        <w:pStyle w:val="ListParagraph"/>
        <w:numPr>
          <w:ilvl w:val="0"/>
          <w:numId w:val="29"/>
        </w:numPr>
        <w:jc w:val="both"/>
      </w:pPr>
      <w:r>
        <w:t>To ensure that all staff are treated with dignity and respect and have a workplace that is free from harassment and bullying by changing the culture of the organisation to one that is genuinely inclusive. All employees are high performing because we value their differences, which includes gender identity, race, or religion, ethnic origin, sexual orientation, disability, age, marital status, pregnancy, caring responsibilities or membership of a trade union.</w:t>
      </w:r>
    </w:p>
    <w:p w:rsidR="00362173" w:rsidRDefault="00362173" w:rsidP="00362173">
      <w:pPr>
        <w:ind w:left="720"/>
        <w:jc w:val="both"/>
      </w:pPr>
    </w:p>
    <w:p w:rsidR="00362173" w:rsidRPr="00784EB6" w:rsidRDefault="00362173" w:rsidP="00362173">
      <w:pPr>
        <w:pStyle w:val="ListParagraph"/>
        <w:numPr>
          <w:ilvl w:val="0"/>
          <w:numId w:val="29"/>
        </w:numPr>
        <w:jc w:val="both"/>
      </w:pPr>
      <w:r>
        <w:t>To seek external review, challenge and accreditation of ECFRS’ actions as an employer by actively participating with relevant equalities standards and benchmarks including the Fire and Rescue Service Equality Framework.</w:t>
      </w:r>
    </w:p>
    <w:sectPr w:rsidR="00362173" w:rsidRPr="00784EB6" w:rsidSect="00A8212D">
      <w:headerReference w:type="default" r:id="rId10"/>
      <w:footerReference w:type="default" r:id="rId11"/>
      <w:footerReference w:type="first" r:id="rId12"/>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98" w:rsidRDefault="00E60198">
      <w:r>
        <w:separator/>
      </w:r>
    </w:p>
  </w:endnote>
  <w:endnote w:type="continuationSeparator" w:id="0">
    <w:p w:rsidR="00E60198" w:rsidRDefault="00E6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98" w:rsidRDefault="00E60198" w:rsidP="00A8212D">
    <w:pPr>
      <w:pStyle w:val="Footer"/>
      <w:jc w:val="center"/>
      <w:rPr>
        <w:sz w:val="22"/>
        <w:szCs w:val="22"/>
      </w:rPr>
    </w:pPr>
  </w:p>
  <w:p w:rsidR="00E60198" w:rsidRPr="00A8212D" w:rsidRDefault="00E60198"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4321EA">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4321EA">
      <w:rPr>
        <w:noProof/>
        <w:sz w:val="22"/>
        <w:szCs w:val="22"/>
      </w:rPr>
      <w:t>16</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98" w:rsidRDefault="00E60198" w:rsidP="00AA60E6">
    <w:pPr>
      <w:pStyle w:val="Footer"/>
      <w:jc w:val="center"/>
      <w:rPr>
        <w:sz w:val="22"/>
        <w:szCs w:val="22"/>
      </w:rPr>
    </w:pPr>
  </w:p>
  <w:p w:rsidR="00E60198" w:rsidRPr="00AA60E6" w:rsidRDefault="00E60198"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4321EA">
      <w:rPr>
        <w:noProof/>
        <w:sz w:val="22"/>
        <w:szCs w:val="22"/>
      </w:rPr>
      <w:t>13</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4321EA">
      <w:rPr>
        <w:noProof/>
        <w:sz w:val="22"/>
        <w:szCs w:val="22"/>
      </w:rPr>
      <w:t>16</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98" w:rsidRPr="00AA60E6" w:rsidRDefault="00E60198"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Pr>
        <w:noProof/>
        <w:sz w:val="22"/>
        <w:szCs w:val="22"/>
      </w:rPr>
      <w:t>3</w:t>
    </w:r>
    <w:r w:rsidRPr="00AA60E6">
      <w:rPr>
        <w:sz w:val="22"/>
        <w:szCs w:val="22"/>
      </w:rPr>
      <w:fldChar w:fldCharType="end"/>
    </w:r>
  </w:p>
  <w:p w:rsidR="00E60198" w:rsidRDefault="00E60198"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98" w:rsidRDefault="00E60198">
      <w:r>
        <w:separator/>
      </w:r>
    </w:p>
  </w:footnote>
  <w:footnote w:type="continuationSeparator" w:id="0">
    <w:p w:rsidR="00E60198" w:rsidRDefault="00E6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98" w:rsidRPr="00A8212D" w:rsidRDefault="00E60198"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316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A71108"/>
    <w:multiLevelType w:val="hybridMultilevel"/>
    <w:tmpl w:val="14206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CC32942"/>
    <w:multiLevelType w:val="hybridMultilevel"/>
    <w:tmpl w:val="27DA3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C21CE8"/>
    <w:multiLevelType w:val="hybridMultilevel"/>
    <w:tmpl w:val="2E640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A477FC"/>
    <w:multiLevelType w:val="hybridMultilevel"/>
    <w:tmpl w:val="A7BEB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007354"/>
    <w:multiLevelType w:val="hybridMultilevel"/>
    <w:tmpl w:val="377CF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4"/>
  </w:num>
  <w:num w:numId="4">
    <w:abstractNumId w:val="0"/>
  </w:num>
  <w:num w:numId="5">
    <w:abstractNumId w:val="20"/>
  </w:num>
  <w:num w:numId="6">
    <w:abstractNumId w:val="8"/>
  </w:num>
  <w:num w:numId="7">
    <w:abstractNumId w:val="5"/>
  </w:num>
  <w:num w:numId="8">
    <w:abstractNumId w:val="1"/>
  </w:num>
  <w:num w:numId="9">
    <w:abstractNumId w:val="12"/>
  </w:num>
  <w:num w:numId="10">
    <w:abstractNumId w:val="12"/>
  </w:num>
  <w:num w:numId="11">
    <w:abstractNumId w:val="13"/>
  </w:num>
  <w:num w:numId="12">
    <w:abstractNumId w:val="18"/>
  </w:num>
  <w:num w:numId="13">
    <w:abstractNumId w:val="17"/>
  </w:num>
  <w:num w:numId="14">
    <w:abstractNumId w:val="19"/>
  </w:num>
  <w:num w:numId="15">
    <w:abstractNumId w:val="2"/>
  </w:num>
  <w:num w:numId="16">
    <w:abstractNumId w:val="11"/>
  </w:num>
  <w:num w:numId="17">
    <w:abstractNumId w:val="25"/>
  </w:num>
  <w:num w:numId="18">
    <w:abstractNumId w:val="21"/>
  </w:num>
  <w:num w:numId="19">
    <w:abstractNumId w:val="10"/>
  </w:num>
  <w:num w:numId="20">
    <w:abstractNumId w:val="15"/>
  </w:num>
  <w:num w:numId="21">
    <w:abstractNumId w:val="6"/>
  </w:num>
  <w:num w:numId="22">
    <w:abstractNumId w:val="23"/>
  </w:num>
  <w:num w:numId="23">
    <w:abstractNumId w:val="22"/>
  </w:num>
  <w:num w:numId="24">
    <w:abstractNumId w:val="3"/>
  </w:num>
  <w:num w:numId="25">
    <w:abstractNumId w:val="7"/>
  </w:num>
  <w:num w:numId="26">
    <w:abstractNumId w:val="26"/>
  </w:num>
  <w:num w:numId="27">
    <w:abstractNumId w:val="16"/>
  </w:num>
  <w:num w:numId="28">
    <w:abstractNumId w:val="14"/>
  </w:num>
  <w:num w:numId="2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15A0"/>
    <w:rsid w:val="000127F2"/>
    <w:rsid w:val="000129FE"/>
    <w:rsid w:val="00014B58"/>
    <w:rsid w:val="0001605A"/>
    <w:rsid w:val="00016E9E"/>
    <w:rsid w:val="000172A6"/>
    <w:rsid w:val="00017E73"/>
    <w:rsid w:val="00021C6E"/>
    <w:rsid w:val="00022849"/>
    <w:rsid w:val="000232BD"/>
    <w:rsid w:val="00023A84"/>
    <w:rsid w:val="00024588"/>
    <w:rsid w:val="00024D0E"/>
    <w:rsid w:val="00024F69"/>
    <w:rsid w:val="00025C65"/>
    <w:rsid w:val="000261B2"/>
    <w:rsid w:val="00026CE5"/>
    <w:rsid w:val="0003039A"/>
    <w:rsid w:val="00030D92"/>
    <w:rsid w:val="00031DE4"/>
    <w:rsid w:val="0003296A"/>
    <w:rsid w:val="00032BE5"/>
    <w:rsid w:val="00032EE9"/>
    <w:rsid w:val="000340B9"/>
    <w:rsid w:val="000349EE"/>
    <w:rsid w:val="00035151"/>
    <w:rsid w:val="000351C5"/>
    <w:rsid w:val="00035A87"/>
    <w:rsid w:val="00035B01"/>
    <w:rsid w:val="00035EBA"/>
    <w:rsid w:val="000361FA"/>
    <w:rsid w:val="00037C5B"/>
    <w:rsid w:val="000440A4"/>
    <w:rsid w:val="00045516"/>
    <w:rsid w:val="000459D8"/>
    <w:rsid w:val="00045D6C"/>
    <w:rsid w:val="00047123"/>
    <w:rsid w:val="00050A61"/>
    <w:rsid w:val="00050FB5"/>
    <w:rsid w:val="000517B6"/>
    <w:rsid w:val="000562DA"/>
    <w:rsid w:val="00057E76"/>
    <w:rsid w:val="000609B3"/>
    <w:rsid w:val="00061F0C"/>
    <w:rsid w:val="0006240E"/>
    <w:rsid w:val="000640BD"/>
    <w:rsid w:val="000640F3"/>
    <w:rsid w:val="00064316"/>
    <w:rsid w:val="000649BD"/>
    <w:rsid w:val="00064DEA"/>
    <w:rsid w:val="000651F2"/>
    <w:rsid w:val="000655B3"/>
    <w:rsid w:val="00066B18"/>
    <w:rsid w:val="00067B17"/>
    <w:rsid w:val="000708BF"/>
    <w:rsid w:val="00070DC0"/>
    <w:rsid w:val="00074824"/>
    <w:rsid w:val="000748FB"/>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11CD"/>
    <w:rsid w:val="000A4F77"/>
    <w:rsid w:val="000A58C0"/>
    <w:rsid w:val="000A5D6C"/>
    <w:rsid w:val="000A68F1"/>
    <w:rsid w:val="000A77CF"/>
    <w:rsid w:val="000A7A2A"/>
    <w:rsid w:val="000A7C91"/>
    <w:rsid w:val="000B0FF6"/>
    <w:rsid w:val="000B11F0"/>
    <w:rsid w:val="000B1931"/>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0E30"/>
    <w:rsid w:val="000D2229"/>
    <w:rsid w:val="000D28AC"/>
    <w:rsid w:val="000D2B69"/>
    <w:rsid w:val="000D2BAC"/>
    <w:rsid w:val="000D34CF"/>
    <w:rsid w:val="000D501B"/>
    <w:rsid w:val="000D664C"/>
    <w:rsid w:val="000E01B6"/>
    <w:rsid w:val="000E4379"/>
    <w:rsid w:val="000E4CAB"/>
    <w:rsid w:val="000E6924"/>
    <w:rsid w:val="000E6986"/>
    <w:rsid w:val="000E69A5"/>
    <w:rsid w:val="000F1BFE"/>
    <w:rsid w:val="000F24CB"/>
    <w:rsid w:val="000F38B9"/>
    <w:rsid w:val="000F41F3"/>
    <w:rsid w:val="000F42AE"/>
    <w:rsid w:val="000F65A2"/>
    <w:rsid w:val="000F78B5"/>
    <w:rsid w:val="00100492"/>
    <w:rsid w:val="00100810"/>
    <w:rsid w:val="00101758"/>
    <w:rsid w:val="00103FA4"/>
    <w:rsid w:val="001041C9"/>
    <w:rsid w:val="00106736"/>
    <w:rsid w:val="0010759D"/>
    <w:rsid w:val="001123A9"/>
    <w:rsid w:val="0011396F"/>
    <w:rsid w:val="0011420E"/>
    <w:rsid w:val="00114345"/>
    <w:rsid w:val="00114758"/>
    <w:rsid w:val="00115CBB"/>
    <w:rsid w:val="00115D0F"/>
    <w:rsid w:val="001160E8"/>
    <w:rsid w:val="001167F8"/>
    <w:rsid w:val="00116860"/>
    <w:rsid w:val="00116F06"/>
    <w:rsid w:val="00120C6E"/>
    <w:rsid w:val="00121537"/>
    <w:rsid w:val="00121710"/>
    <w:rsid w:val="00121C63"/>
    <w:rsid w:val="00122CF7"/>
    <w:rsid w:val="0012350E"/>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5BAD"/>
    <w:rsid w:val="001666C0"/>
    <w:rsid w:val="0016715E"/>
    <w:rsid w:val="00167E80"/>
    <w:rsid w:val="00171207"/>
    <w:rsid w:val="00171B3F"/>
    <w:rsid w:val="00172383"/>
    <w:rsid w:val="00175029"/>
    <w:rsid w:val="0017517B"/>
    <w:rsid w:val="00176705"/>
    <w:rsid w:val="001802CA"/>
    <w:rsid w:val="00181604"/>
    <w:rsid w:val="00181851"/>
    <w:rsid w:val="0018191C"/>
    <w:rsid w:val="0018427B"/>
    <w:rsid w:val="001846AE"/>
    <w:rsid w:val="00185D54"/>
    <w:rsid w:val="00186320"/>
    <w:rsid w:val="00186B3F"/>
    <w:rsid w:val="00187579"/>
    <w:rsid w:val="00187C47"/>
    <w:rsid w:val="00187FB1"/>
    <w:rsid w:val="00190BF5"/>
    <w:rsid w:val="00191D89"/>
    <w:rsid w:val="001921F5"/>
    <w:rsid w:val="0019293A"/>
    <w:rsid w:val="00192B02"/>
    <w:rsid w:val="0019306B"/>
    <w:rsid w:val="00193852"/>
    <w:rsid w:val="00194433"/>
    <w:rsid w:val="001946EE"/>
    <w:rsid w:val="00196CAA"/>
    <w:rsid w:val="001A013D"/>
    <w:rsid w:val="001A05AD"/>
    <w:rsid w:val="001A0754"/>
    <w:rsid w:val="001A07A4"/>
    <w:rsid w:val="001A0CB3"/>
    <w:rsid w:val="001A4AC0"/>
    <w:rsid w:val="001A4D55"/>
    <w:rsid w:val="001A5A58"/>
    <w:rsid w:val="001A7C3C"/>
    <w:rsid w:val="001A7C3E"/>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D7E50"/>
    <w:rsid w:val="001E0EA4"/>
    <w:rsid w:val="001E1D30"/>
    <w:rsid w:val="001E3211"/>
    <w:rsid w:val="001E4BFC"/>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820"/>
    <w:rsid w:val="0020595C"/>
    <w:rsid w:val="00205FB6"/>
    <w:rsid w:val="00211179"/>
    <w:rsid w:val="00211330"/>
    <w:rsid w:val="00212A4B"/>
    <w:rsid w:val="002133CA"/>
    <w:rsid w:val="0021368E"/>
    <w:rsid w:val="0021521F"/>
    <w:rsid w:val="002156C7"/>
    <w:rsid w:val="00216527"/>
    <w:rsid w:val="00216BD3"/>
    <w:rsid w:val="002175AC"/>
    <w:rsid w:val="00217E03"/>
    <w:rsid w:val="002203A9"/>
    <w:rsid w:val="002207C3"/>
    <w:rsid w:val="002207E6"/>
    <w:rsid w:val="00221F30"/>
    <w:rsid w:val="00222883"/>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718"/>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3B6"/>
    <w:rsid w:val="00285409"/>
    <w:rsid w:val="00285B53"/>
    <w:rsid w:val="00286926"/>
    <w:rsid w:val="00287195"/>
    <w:rsid w:val="0028722A"/>
    <w:rsid w:val="00287AF0"/>
    <w:rsid w:val="0029107F"/>
    <w:rsid w:val="002911D7"/>
    <w:rsid w:val="002919BB"/>
    <w:rsid w:val="00292719"/>
    <w:rsid w:val="00293E36"/>
    <w:rsid w:val="002A0622"/>
    <w:rsid w:val="002A10AF"/>
    <w:rsid w:val="002A4AA4"/>
    <w:rsid w:val="002A4CFC"/>
    <w:rsid w:val="002A567E"/>
    <w:rsid w:val="002A5BC9"/>
    <w:rsid w:val="002A6854"/>
    <w:rsid w:val="002A7357"/>
    <w:rsid w:val="002A78AE"/>
    <w:rsid w:val="002B14D7"/>
    <w:rsid w:val="002B14DD"/>
    <w:rsid w:val="002B2C36"/>
    <w:rsid w:val="002B3411"/>
    <w:rsid w:val="002B50DD"/>
    <w:rsid w:val="002B61FB"/>
    <w:rsid w:val="002B631D"/>
    <w:rsid w:val="002B67B3"/>
    <w:rsid w:val="002B7F25"/>
    <w:rsid w:val="002C0FAA"/>
    <w:rsid w:val="002C1247"/>
    <w:rsid w:val="002C18FB"/>
    <w:rsid w:val="002C30F2"/>
    <w:rsid w:val="002C3628"/>
    <w:rsid w:val="002C3DAB"/>
    <w:rsid w:val="002C4FDD"/>
    <w:rsid w:val="002C5DFB"/>
    <w:rsid w:val="002C6728"/>
    <w:rsid w:val="002C6E58"/>
    <w:rsid w:val="002C7BB1"/>
    <w:rsid w:val="002D1648"/>
    <w:rsid w:val="002D1785"/>
    <w:rsid w:val="002D24A7"/>
    <w:rsid w:val="002D2AAD"/>
    <w:rsid w:val="002D4ACF"/>
    <w:rsid w:val="002D4EA4"/>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2F7488"/>
    <w:rsid w:val="00301349"/>
    <w:rsid w:val="00302B59"/>
    <w:rsid w:val="00303742"/>
    <w:rsid w:val="00304F86"/>
    <w:rsid w:val="00306BAF"/>
    <w:rsid w:val="00307867"/>
    <w:rsid w:val="00307A4B"/>
    <w:rsid w:val="00307E2F"/>
    <w:rsid w:val="00310FB4"/>
    <w:rsid w:val="00311DE8"/>
    <w:rsid w:val="0031264D"/>
    <w:rsid w:val="00313226"/>
    <w:rsid w:val="00313AC9"/>
    <w:rsid w:val="00320AFF"/>
    <w:rsid w:val="003213BF"/>
    <w:rsid w:val="00321BED"/>
    <w:rsid w:val="003220AA"/>
    <w:rsid w:val="003220EE"/>
    <w:rsid w:val="00322997"/>
    <w:rsid w:val="00322E3E"/>
    <w:rsid w:val="00323587"/>
    <w:rsid w:val="003242F3"/>
    <w:rsid w:val="00324549"/>
    <w:rsid w:val="003247B7"/>
    <w:rsid w:val="003247D0"/>
    <w:rsid w:val="00325B97"/>
    <w:rsid w:val="00326EE8"/>
    <w:rsid w:val="00327063"/>
    <w:rsid w:val="0032754E"/>
    <w:rsid w:val="00330BBA"/>
    <w:rsid w:val="00330F33"/>
    <w:rsid w:val="003321FF"/>
    <w:rsid w:val="003372DC"/>
    <w:rsid w:val="0033767C"/>
    <w:rsid w:val="00337BFE"/>
    <w:rsid w:val="00337E0A"/>
    <w:rsid w:val="00345B4F"/>
    <w:rsid w:val="003473C1"/>
    <w:rsid w:val="00347705"/>
    <w:rsid w:val="00347FCD"/>
    <w:rsid w:val="00350E86"/>
    <w:rsid w:val="00351CEC"/>
    <w:rsid w:val="0035223F"/>
    <w:rsid w:val="003528A1"/>
    <w:rsid w:val="00353461"/>
    <w:rsid w:val="00354DCE"/>
    <w:rsid w:val="00356339"/>
    <w:rsid w:val="00356C2D"/>
    <w:rsid w:val="003606A2"/>
    <w:rsid w:val="00360A3A"/>
    <w:rsid w:val="0036149C"/>
    <w:rsid w:val="00361EF8"/>
    <w:rsid w:val="00362173"/>
    <w:rsid w:val="00364850"/>
    <w:rsid w:val="003650E4"/>
    <w:rsid w:val="003654F2"/>
    <w:rsid w:val="00365FBE"/>
    <w:rsid w:val="003660C3"/>
    <w:rsid w:val="00367B21"/>
    <w:rsid w:val="003703D3"/>
    <w:rsid w:val="00371DD3"/>
    <w:rsid w:val="003724D0"/>
    <w:rsid w:val="003727BC"/>
    <w:rsid w:val="0037618E"/>
    <w:rsid w:val="00377E91"/>
    <w:rsid w:val="00380585"/>
    <w:rsid w:val="00380A82"/>
    <w:rsid w:val="00380FE4"/>
    <w:rsid w:val="00381CDF"/>
    <w:rsid w:val="00382B0F"/>
    <w:rsid w:val="0039069F"/>
    <w:rsid w:val="00391893"/>
    <w:rsid w:val="0039269C"/>
    <w:rsid w:val="00392E6F"/>
    <w:rsid w:val="003935F3"/>
    <w:rsid w:val="003947DD"/>
    <w:rsid w:val="003956C4"/>
    <w:rsid w:val="00396119"/>
    <w:rsid w:val="00397073"/>
    <w:rsid w:val="003974D8"/>
    <w:rsid w:val="003A00B9"/>
    <w:rsid w:val="003A1A55"/>
    <w:rsid w:val="003A1BF7"/>
    <w:rsid w:val="003A1F56"/>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375A"/>
    <w:rsid w:val="003C4A5B"/>
    <w:rsid w:val="003C603E"/>
    <w:rsid w:val="003C62FF"/>
    <w:rsid w:val="003C6904"/>
    <w:rsid w:val="003D22D1"/>
    <w:rsid w:val="003D25F3"/>
    <w:rsid w:val="003D3121"/>
    <w:rsid w:val="003D3327"/>
    <w:rsid w:val="003D3504"/>
    <w:rsid w:val="003D42DA"/>
    <w:rsid w:val="003D5E8A"/>
    <w:rsid w:val="003D6026"/>
    <w:rsid w:val="003E0237"/>
    <w:rsid w:val="003E23C5"/>
    <w:rsid w:val="003E2B63"/>
    <w:rsid w:val="003E3748"/>
    <w:rsid w:val="003E4DCE"/>
    <w:rsid w:val="003E621F"/>
    <w:rsid w:val="003E707F"/>
    <w:rsid w:val="003E773C"/>
    <w:rsid w:val="003E7E2F"/>
    <w:rsid w:val="003F1243"/>
    <w:rsid w:val="003F15B7"/>
    <w:rsid w:val="003F1E63"/>
    <w:rsid w:val="003F3081"/>
    <w:rsid w:val="003F40D7"/>
    <w:rsid w:val="003F4A6B"/>
    <w:rsid w:val="003F4C81"/>
    <w:rsid w:val="003F5BBE"/>
    <w:rsid w:val="003F60A0"/>
    <w:rsid w:val="003F684E"/>
    <w:rsid w:val="003F6A63"/>
    <w:rsid w:val="003F6C0F"/>
    <w:rsid w:val="004003A2"/>
    <w:rsid w:val="00400510"/>
    <w:rsid w:val="004005B1"/>
    <w:rsid w:val="00404002"/>
    <w:rsid w:val="00404853"/>
    <w:rsid w:val="00405469"/>
    <w:rsid w:val="00406B88"/>
    <w:rsid w:val="00406CE1"/>
    <w:rsid w:val="00407528"/>
    <w:rsid w:val="00410445"/>
    <w:rsid w:val="00410923"/>
    <w:rsid w:val="0041116E"/>
    <w:rsid w:val="0041154E"/>
    <w:rsid w:val="00411F90"/>
    <w:rsid w:val="00413B48"/>
    <w:rsid w:val="00414FE6"/>
    <w:rsid w:val="00416619"/>
    <w:rsid w:val="00416883"/>
    <w:rsid w:val="00420BDF"/>
    <w:rsid w:val="00420F52"/>
    <w:rsid w:val="00421629"/>
    <w:rsid w:val="00422E5F"/>
    <w:rsid w:val="004239D4"/>
    <w:rsid w:val="004261E7"/>
    <w:rsid w:val="00426266"/>
    <w:rsid w:val="004321EA"/>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860"/>
    <w:rsid w:val="00447ECF"/>
    <w:rsid w:val="004521A1"/>
    <w:rsid w:val="0045506D"/>
    <w:rsid w:val="004576F0"/>
    <w:rsid w:val="00457D02"/>
    <w:rsid w:val="00457FF3"/>
    <w:rsid w:val="00460210"/>
    <w:rsid w:val="00463C77"/>
    <w:rsid w:val="00464B78"/>
    <w:rsid w:val="00464C3C"/>
    <w:rsid w:val="00465BBB"/>
    <w:rsid w:val="00466B4D"/>
    <w:rsid w:val="00466D89"/>
    <w:rsid w:val="00467072"/>
    <w:rsid w:val="00467CDC"/>
    <w:rsid w:val="00471842"/>
    <w:rsid w:val="00471E19"/>
    <w:rsid w:val="00473409"/>
    <w:rsid w:val="00473927"/>
    <w:rsid w:val="00474F6A"/>
    <w:rsid w:val="00475CA4"/>
    <w:rsid w:val="00476300"/>
    <w:rsid w:val="00477B61"/>
    <w:rsid w:val="00480728"/>
    <w:rsid w:val="00480C49"/>
    <w:rsid w:val="00480D08"/>
    <w:rsid w:val="004819E5"/>
    <w:rsid w:val="0048282B"/>
    <w:rsid w:val="004830B5"/>
    <w:rsid w:val="00484012"/>
    <w:rsid w:val="00485D14"/>
    <w:rsid w:val="0048662A"/>
    <w:rsid w:val="004866FE"/>
    <w:rsid w:val="00486EEC"/>
    <w:rsid w:val="00487199"/>
    <w:rsid w:val="00491466"/>
    <w:rsid w:val="004914B7"/>
    <w:rsid w:val="00491C6B"/>
    <w:rsid w:val="004944C6"/>
    <w:rsid w:val="00495F79"/>
    <w:rsid w:val="00496384"/>
    <w:rsid w:val="00496C27"/>
    <w:rsid w:val="00496E13"/>
    <w:rsid w:val="00496F4E"/>
    <w:rsid w:val="00497525"/>
    <w:rsid w:val="004A0F5A"/>
    <w:rsid w:val="004A11EB"/>
    <w:rsid w:val="004A31F7"/>
    <w:rsid w:val="004A323C"/>
    <w:rsid w:val="004A4F49"/>
    <w:rsid w:val="004A62B2"/>
    <w:rsid w:val="004B0C8C"/>
    <w:rsid w:val="004B1F51"/>
    <w:rsid w:val="004B2041"/>
    <w:rsid w:val="004B28AE"/>
    <w:rsid w:val="004B3393"/>
    <w:rsid w:val="004B357C"/>
    <w:rsid w:val="004B37E1"/>
    <w:rsid w:val="004B4F48"/>
    <w:rsid w:val="004B5E3E"/>
    <w:rsid w:val="004B6551"/>
    <w:rsid w:val="004B6BFF"/>
    <w:rsid w:val="004B6E99"/>
    <w:rsid w:val="004C0ACD"/>
    <w:rsid w:val="004C0BB5"/>
    <w:rsid w:val="004C1069"/>
    <w:rsid w:val="004C1952"/>
    <w:rsid w:val="004C35FD"/>
    <w:rsid w:val="004C3CA7"/>
    <w:rsid w:val="004C4D69"/>
    <w:rsid w:val="004C543A"/>
    <w:rsid w:val="004C60E0"/>
    <w:rsid w:val="004C6240"/>
    <w:rsid w:val="004C7546"/>
    <w:rsid w:val="004D028D"/>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4F724A"/>
    <w:rsid w:val="004F7282"/>
    <w:rsid w:val="00500754"/>
    <w:rsid w:val="00502356"/>
    <w:rsid w:val="0050277E"/>
    <w:rsid w:val="00502ADB"/>
    <w:rsid w:val="00503D85"/>
    <w:rsid w:val="00505420"/>
    <w:rsid w:val="005063F1"/>
    <w:rsid w:val="0050677A"/>
    <w:rsid w:val="005103A0"/>
    <w:rsid w:val="00510C59"/>
    <w:rsid w:val="00511043"/>
    <w:rsid w:val="00513076"/>
    <w:rsid w:val="005131D1"/>
    <w:rsid w:val="0051689E"/>
    <w:rsid w:val="005170BB"/>
    <w:rsid w:val="00517DE4"/>
    <w:rsid w:val="00520A8B"/>
    <w:rsid w:val="00521749"/>
    <w:rsid w:val="00521BBE"/>
    <w:rsid w:val="0052597D"/>
    <w:rsid w:val="00526681"/>
    <w:rsid w:val="00531668"/>
    <w:rsid w:val="00534B30"/>
    <w:rsid w:val="0053514E"/>
    <w:rsid w:val="005357B0"/>
    <w:rsid w:val="00535F5C"/>
    <w:rsid w:val="00542D12"/>
    <w:rsid w:val="00543DC6"/>
    <w:rsid w:val="005461D8"/>
    <w:rsid w:val="005461F6"/>
    <w:rsid w:val="00550384"/>
    <w:rsid w:val="005509FE"/>
    <w:rsid w:val="005525B4"/>
    <w:rsid w:val="0055273B"/>
    <w:rsid w:val="00552EF2"/>
    <w:rsid w:val="00552FA4"/>
    <w:rsid w:val="00555BA5"/>
    <w:rsid w:val="00560573"/>
    <w:rsid w:val="00561E0F"/>
    <w:rsid w:val="00562129"/>
    <w:rsid w:val="00563DA6"/>
    <w:rsid w:val="005647DD"/>
    <w:rsid w:val="00567022"/>
    <w:rsid w:val="00567AB8"/>
    <w:rsid w:val="0057017A"/>
    <w:rsid w:val="005702DA"/>
    <w:rsid w:val="00570A03"/>
    <w:rsid w:val="00570C22"/>
    <w:rsid w:val="00572BD4"/>
    <w:rsid w:val="00572EA4"/>
    <w:rsid w:val="005754AF"/>
    <w:rsid w:val="005761F4"/>
    <w:rsid w:val="00576820"/>
    <w:rsid w:val="0057749B"/>
    <w:rsid w:val="005774AC"/>
    <w:rsid w:val="00577918"/>
    <w:rsid w:val="00577E0B"/>
    <w:rsid w:val="00580692"/>
    <w:rsid w:val="00582203"/>
    <w:rsid w:val="0058237F"/>
    <w:rsid w:val="00582538"/>
    <w:rsid w:val="005825D2"/>
    <w:rsid w:val="0058284E"/>
    <w:rsid w:val="005849EB"/>
    <w:rsid w:val="00586041"/>
    <w:rsid w:val="00586A15"/>
    <w:rsid w:val="00587957"/>
    <w:rsid w:val="00591204"/>
    <w:rsid w:val="005915B0"/>
    <w:rsid w:val="00591805"/>
    <w:rsid w:val="00591CBC"/>
    <w:rsid w:val="00592A99"/>
    <w:rsid w:val="00592ED8"/>
    <w:rsid w:val="00593B2A"/>
    <w:rsid w:val="00595416"/>
    <w:rsid w:val="00595954"/>
    <w:rsid w:val="00596CDD"/>
    <w:rsid w:val="005A16AD"/>
    <w:rsid w:val="005A186C"/>
    <w:rsid w:val="005A24A7"/>
    <w:rsid w:val="005A2872"/>
    <w:rsid w:val="005A433F"/>
    <w:rsid w:val="005A4EA0"/>
    <w:rsid w:val="005A53DB"/>
    <w:rsid w:val="005A6FFA"/>
    <w:rsid w:val="005A71B2"/>
    <w:rsid w:val="005A7788"/>
    <w:rsid w:val="005A7917"/>
    <w:rsid w:val="005B0195"/>
    <w:rsid w:val="005B0353"/>
    <w:rsid w:val="005B0A84"/>
    <w:rsid w:val="005B3085"/>
    <w:rsid w:val="005B55EA"/>
    <w:rsid w:val="005B6366"/>
    <w:rsid w:val="005B7713"/>
    <w:rsid w:val="005B7E30"/>
    <w:rsid w:val="005C1EC5"/>
    <w:rsid w:val="005C23A4"/>
    <w:rsid w:val="005C324B"/>
    <w:rsid w:val="005C3712"/>
    <w:rsid w:val="005C488E"/>
    <w:rsid w:val="005C6BA6"/>
    <w:rsid w:val="005D0C3D"/>
    <w:rsid w:val="005D1589"/>
    <w:rsid w:val="005D1595"/>
    <w:rsid w:val="005D1630"/>
    <w:rsid w:val="005D1D2F"/>
    <w:rsid w:val="005D41E9"/>
    <w:rsid w:val="005D74B8"/>
    <w:rsid w:val="005E0DB3"/>
    <w:rsid w:val="005E1ABF"/>
    <w:rsid w:val="005E317F"/>
    <w:rsid w:val="005E360D"/>
    <w:rsid w:val="005E41B0"/>
    <w:rsid w:val="005E539D"/>
    <w:rsid w:val="005E5B4A"/>
    <w:rsid w:val="005E697F"/>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0208"/>
    <w:rsid w:val="0061038B"/>
    <w:rsid w:val="00612012"/>
    <w:rsid w:val="00613206"/>
    <w:rsid w:val="006138CD"/>
    <w:rsid w:val="0061459E"/>
    <w:rsid w:val="0061598E"/>
    <w:rsid w:val="006167A7"/>
    <w:rsid w:val="00622082"/>
    <w:rsid w:val="006236EB"/>
    <w:rsid w:val="006255D0"/>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57E3C"/>
    <w:rsid w:val="00657E3D"/>
    <w:rsid w:val="00665177"/>
    <w:rsid w:val="00665ED6"/>
    <w:rsid w:val="0066631D"/>
    <w:rsid w:val="00666D7B"/>
    <w:rsid w:val="0066769F"/>
    <w:rsid w:val="0067032E"/>
    <w:rsid w:val="00670BC3"/>
    <w:rsid w:val="006729AD"/>
    <w:rsid w:val="00674926"/>
    <w:rsid w:val="006759F4"/>
    <w:rsid w:val="00675C98"/>
    <w:rsid w:val="00675E9D"/>
    <w:rsid w:val="0067624F"/>
    <w:rsid w:val="0067750B"/>
    <w:rsid w:val="00677B60"/>
    <w:rsid w:val="0068042F"/>
    <w:rsid w:val="00681137"/>
    <w:rsid w:val="0068186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134D"/>
    <w:rsid w:val="006A2B71"/>
    <w:rsid w:val="006A3E36"/>
    <w:rsid w:val="006A4DED"/>
    <w:rsid w:val="006A5076"/>
    <w:rsid w:val="006A54CE"/>
    <w:rsid w:val="006A7058"/>
    <w:rsid w:val="006A7C9D"/>
    <w:rsid w:val="006A7F0D"/>
    <w:rsid w:val="006B0A82"/>
    <w:rsid w:val="006B0C26"/>
    <w:rsid w:val="006B2378"/>
    <w:rsid w:val="006B27CC"/>
    <w:rsid w:val="006B2D2F"/>
    <w:rsid w:val="006B2F88"/>
    <w:rsid w:val="006B328C"/>
    <w:rsid w:val="006B37D3"/>
    <w:rsid w:val="006B41B0"/>
    <w:rsid w:val="006B4381"/>
    <w:rsid w:val="006B4E92"/>
    <w:rsid w:val="006B5B17"/>
    <w:rsid w:val="006B6514"/>
    <w:rsid w:val="006B682F"/>
    <w:rsid w:val="006B6DAD"/>
    <w:rsid w:val="006B7FEB"/>
    <w:rsid w:val="006C0AF4"/>
    <w:rsid w:val="006C2B32"/>
    <w:rsid w:val="006C312B"/>
    <w:rsid w:val="006C32F8"/>
    <w:rsid w:val="006C3A34"/>
    <w:rsid w:val="006C4A58"/>
    <w:rsid w:val="006C797E"/>
    <w:rsid w:val="006C7C78"/>
    <w:rsid w:val="006C7D76"/>
    <w:rsid w:val="006D053B"/>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9D8"/>
    <w:rsid w:val="006F2CEC"/>
    <w:rsid w:val="006F338E"/>
    <w:rsid w:val="006F4997"/>
    <w:rsid w:val="006F500D"/>
    <w:rsid w:val="006F5409"/>
    <w:rsid w:val="006F5426"/>
    <w:rsid w:val="006F5675"/>
    <w:rsid w:val="006F5BE0"/>
    <w:rsid w:val="006F5EDC"/>
    <w:rsid w:val="006F6365"/>
    <w:rsid w:val="006F720E"/>
    <w:rsid w:val="007000D1"/>
    <w:rsid w:val="007002F5"/>
    <w:rsid w:val="00700EF6"/>
    <w:rsid w:val="0070298A"/>
    <w:rsid w:val="00702C9C"/>
    <w:rsid w:val="00702E2C"/>
    <w:rsid w:val="007033A1"/>
    <w:rsid w:val="007035DA"/>
    <w:rsid w:val="0070471E"/>
    <w:rsid w:val="00705955"/>
    <w:rsid w:val="00705BE5"/>
    <w:rsid w:val="00705C52"/>
    <w:rsid w:val="00705D84"/>
    <w:rsid w:val="007071D4"/>
    <w:rsid w:val="007103E9"/>
    <w:rsid w:val="00710504"/>
    <w:rsid w:val="007107A6"/>
    <w:rsid w:val="00711923"/>
    <w:rsid w:val="00712271"/>
    <w:rsid w:val="00712517"/>
    <w:rsid w:val="00712B10"/>
    <w:rsid w:val="00712BE5"/>
    <w:rsid w:val="007164EB"/>
    <w:rsid w:val="00717F2E"/>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2718"/>
    <w:rsid w:val="00743170"/>
    <w:rsid w:val="00744B34"/>
    <w:rsid w:val="00745276"/>
    <w:rsid w:val="007452B2"/>
    <w:rsid w:val="007457CA"/>
    <w:rsid w:val="00745AB8"/>
    <w:rsid w:val="00747F33"/>
    <w:rsid w:val="007506F6"/>
    <w:rsid w:val="00750E84"/>
    <w:rsid w:val="00751B64"/>
    <w:rsid w:val="00753119"/>
    <w:rsid w:val="007531D6"/>
    <w:rsid w:val="00753280"/>
    <w:rsid w:val="0075540C"/>
    <w:rsid w:val="00755F67"/>
    <w:rsid w:val="00757835"/>
    <w:rsid w:val="00757DB2"/>
    <w:rsid w:val="0076087E"/>
    <w:rsid w:val="00760CBC"/>
    <w:rsid w:val="00760E86"/>
    <w:rsid w:val="00761874"/>
    <w:rsid w:val="00761AB2"/>
    <w:rsid w:val="007632AE"/>
    <w:rsid w:val="007639F0"/>
    <w:rsid w:val="00764071"/>
    <w:rsid w:val="00764CC1"/>
    <w:rsid w:val="00767934"/>
    <w:rsid w:val="00767CDF"/>
    <w:rsid w:val="00767D50"/>
    <w:rsid w:val="00770C3D"/>
    <w:rsid w:val="007716EB"/>
    <w:rsid w:val="00772641"/>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0D63"/>
    <w:rsid w:val="007911BF"/>
    <w:rsid w:val="00791FB8"/>
    <w:rsid w:val="007923A6"/>
    <w:rsid w:val="007955FB"/>
    <w:rsid w:val="00795673"/>
    <w:rsid w:val="0079680D"/>
    <w:rsid w:val="00797D5F"/>
    <w:rsid w:val="007A0064"/>
    <w:rsid w:val="007A0351"/>
    <w:rsid w:val="007A09DF"/>
    <w:rsid w:val="007A14AC"/>
    <w:rsid w:val="007A41CD"/>
    <w:rsid w:val="007A49E0"/>
    <w:rsid w:val="007A5ECC"/>
    <w:rsid w:val="007A602E"/>
    <w:rsid w:val="007A6C0B"/>
    <w:rsid w:val="007B0EB2"/>
    <w:rsid w:val="007B1C55"/>
    <w:rsid w:val="007B29A7"/>
    <w:rsid w:val="007B34F2"/>
    <w:rsid w:val="007B7A23"/>
    <w:rsid w:val="007C054B"/>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7F6FA4"/>
    <w:rsid w:val="007F74C9"/>
    <w:rsid w:val="00800CCA"/>
    <w:rsid w:val="0080243D"/>
    <w:rsid w:val="00802EC1"/>
    <w:rsid w:val="00803ACA"/>
    <w:rsid w:val="00803C2F"/>
    <w:rsid w:val="00804AF8"/>
    <w:rsid w:val="008056BE"/>
    <w:rsid w:val="00805EAE"/>
    <w:rsid w:val="00806198"/>
    <w:rsid w:val="00807A46"/>
    <w:rsid w:val="00807BE2"/>
    <w:rsid w:val="00807CA6"/>
    <w:rsid w:val="00810876"/>
    <w:rsid w:val="00810E1C"/>
    <w:rsid w:val="00811C3C"/>
    <w:rsid w:val="008124C0"/>
    <w:rsid w:val="00815866"/>
    <w:rsid w:val="00815C39"/>
    <w:rsid w:val="00815FD5"/>
    <w:rsid w:val="00821E36"/>
    <w:rsid w:val="00822BE4"/>
    <w:rsid w:val="0082306B"/>
    <w:rsid w:val="00824EFB"/>
    <w:rsid w:val="0082524E"/>
    <w:rsid w:val="00826291"/>
    <w:rsid w:val="008266AA"/>
    <w:rsid w:val="008272BB"/>
    <w:rsid w:val="008300EE"/>
    <w:rsid w:val="00830CA9"/>
    <w:rsid w:val="00832903"/>
    <w:rsid w:val="0083319B"/>
    <w:rsid w:val="00833819"/>
    <w:rsid w:val="00833C9B"/>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559"/>
    <w:rsid w:val="00855A08"/>
    <w:rsid w:val="00855FB4"/>
    <w:rsid w:val="00856683"/>
    <w:rsid w:val="00857107"/>
    <w:rsid w:val="00857BCD"/>
    <w:rsid w:val="008623B8"/>
    <w:rsid w:val="00862A58"/>
    <w:rsid w:val="00862D2D"/>
    <w:rsid w:val="00863127"/>
    <w:rsid w:val="00863323"/>
    <w:rsid w:val="008649E4"/>
    <w:rsid w:val="00864C4D"/>
    <w:rsid w:val="00865829"/>
    <w:rsid w:val="00866711"/>
    <w:rsid w:val="00866C48"/>
    <w:rsid w:val="008675C2"/>
    <w:rsid w:val="00867C06"/>
    <w:rsid w:val="00870508"/>
    <w:rsid w:val="00871C9B"/>
    <w:rsid w:val="00872C0A"/>
    <w:rsid w:val="00873B81"/>
    <w:rsid w:val="008740D6"/>
    <w:rsid w:val="00874C99"/>
    <w:rsid w:val="0087716D"/>
    <w:rsid w:val="00877E00"/>
    <w:rsid w:val="00877F83"/>
    <w:rsid w:val="008846EC"/>
    <w:rsid w:val="0088500B"/>
    <w:rsid w:val="008858C0"/>
    <w:rsid w:val="00885E7A"/>
    <w:rsid w:val="00885FB0"/>
    <w:rsid w:val="00886E62"/>
    <w:rsid w:val="00887076"/>
    <w:rsid w:val="008872DB"/>
    <w:rsid w:val="00887997"/>
    <w:rsid w:val="008901A9"/>
    <w:rsid w:val="00890F99"/>
    <w:rsid w:val="00891097"/>
    <w:rsid w:val="0089129D"/>
    <w:rsid w:val="008919ED"/>
    <w:rsid w:val="0089216C"/>
    <w:rsid w:val="0089221E"/>
    <w:rsid w:val="00893CF1"/>
    <w:rsid w:val="00895413"/>
    <w:rsid w:val="00895426"/>
    <w:rsid w:val="00895B1E"/>
    <w:rsid w:val="00896F67"/>
    <w:rsid w:val="008A019A"/>
    <w:rsid w:val="008A046A"/>
    <w:rsid w:val="008A06C2"/>
    <w:rsid w:val="008A0DC1"/>
    <w:rsid w:val="008A183E"/>
    <w:rsid w:val="008A272A"/>
    <w:rsid w:val="008A29D0"/>
    <w:rsid w:val="008A3E79"/>
    <w:rsid w:val="008A79C6"/>
    <w:rsid w:val="008A7E82"/>
    <w:rsid w:val="008B2F5B"/>
    <w:rsid w:val="008B310E"/>
    <w:rsid w:val="008B3804"/>
    <w:rsid w:val="008B3A78"/>
    <w:rsid w:val="008B4318"/>
    <w:rsid w:val="008B63A6"/>
    <w:rsid w:val="008B6635"/>
    <w:rsid w:val="008B7B36"/>
    <w:rsid w:val="008C133A"/>
    <w:rsid w:val="008C2128"/>
    <w:rsid w:val="008C28CF"/>
    <w:rsid w:val="008C2C96"/>
    <w:rsid w:val="008C68E5"/>
    <w:rsid w:val="008C7346"/>
    <w:rsid w:val="008C7D04"/>
    <w:rsid w:val="008D00E2"/>
    <w:rsid w:val="008D0984"/>
    <w:rsid w:val="008D459A"/>
    <w:rsid w:val="008D46CF"/>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02C"/>
    <w:rsid w:val="008F1B8A"/>
    <w:rsid w:val="008F2FA9"/>
    <w:rsid w:val="008F3164"/>
    <w:rsid w:val="008F3607"/>
    <w:rsid w:val="008F4B3F"/>
    <w:rsid w:val="008F4F1B"/>
    <w:rsid w:val="008F6000"/>
    <w:rsid w:val="008F687A"/>
    <w:rsid w:val="008F6BDC"/>
    <w:rsid w:val="00901202"/>
    <w:rsid w:val="00901BA9"/>
    <w:rsid w:val="009028C6"/>
    <w:rsid w:val="009033DD"/>
    <w:rsid w:val="009037D8"/>
    <w:rsid w:val="00904A25"/>
    <w:rsid w:val="00905391"/>
    <w:rsid w:val="00905560"/>
    <w:rsid w:val="00906D92"/>
    <w:rsid w:val="009074DE"/>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B05"/>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19D2"/>
    <w:rsid w:val="00972A3E"/>
    <w:rsid w:val="009746B6"/>
    <w:rsid w:val="009755D2"/>
    <w:rsid w:val="009756A7"/>
    <w:rsid w:val="00975A8C"/>
    <w:rsid w:val="009801E7"/>
    <w:rsid w:val="009805C6"/>
    <w:rsid w:val="009815D0"/>
    <w:rsid w:val="00981A18"/>
    <w:rsid w:val="009829E6"/>
    <w:rsid w:val="00982F32"/>
    <w:rsid w:val="0098503B"/>
    <w:rsid w:val="00985413"/>
    <w:rsid w:val="00985753"/>
    <w:rsid w:val="00985838"/>
    <w:rsid w:val="00990091"/>
    <w:rsid w:val="00990A19"/>
    <w:rsid w:val="009915AA"/>
    <w:rsid w:val="009919E4"/>
    <w:rsid w:val="00991C96"/>
    <w:rsid w:val="00995BDD"/>
    <w:rsid w:val="00995D06"/>
    <w:rsid w:val="00996E56"/>
    <w:rsid w:val="0099777D"/>
    <w:rsid w:val="00997BA9"/>
    <w:rsid w:val="00997FF1"/>
    <w:rsid w:val="009A2250"/>
    <w:rsid w:val="009A3443"/>
    <w:rsid w:val="009A3E34"/>
    <w:rsid w:val="009A73B1"/>
    <w:rsid w:val="009A7870"/>
    <w:rsid w:val="009A7AF7"/>
    <w:rsid w:val="009A7AFF"/>
    <w:rsid w:val="009B12E2"/>
    <w:rsid w:val="009B15FC"/>
    <w:rsid w:val="009B3167"/>
    <w:rsid w:val="009B3F33"/>
    <w:rsid w:val="009B488D"/>
    <w:rsid w:val="009B48A9"/>
    <w:rsid w:val="009B5321"/>
    <w:rsid w:val="009B5EE4"/>
    <w:rsid w:val="009B60B7"/>
    <w:rsid w:val="009B63CC"/>
    <w:rsid w:val="009B6A46"/>
    <w:rsid w:val="009C2780"/>
    <w:rsid w:val="009C2A51"/>
    <w:rsid w:val="009C2C6F"/>
    <w:rsid w:val="009C3017"/>
    <w:rsid w:val="009C31B4"/>
    <w:rsid w:val="009C41EF"/>
    <w:rsid w:val="009C70B2"/>
    <w:rsid w:val="009D0D8B"/>
    <w:rsid w:val="009D17B6"/>
    <w:rsid w:val="009D1903"/>
    <w:rsid w:val="009D1BF6"/>
    <w:rsid w:val="009D23FE"/>
    <w:rsid w:val="009D2E7A"/>
    <w:rsid w:val="009D4561"/>
    <w:rsid w:val="009D5166"/>
    <w:rsid w:val="009D5E08"/>
    <w:rsid w:val="009D5E8C"/>
    <w:rsid w:val="009D5ECE"/>
    <w:rsid w:val="009D5FA9"/>
    <w:rsid w:val="009D6D77"/>
    <w:rsid w:val="009D7931"/>
    <w:rsid w:val="009D7B15"/>
    <w:rsid w:val="009E0539"/>
    <w:rsid w:val="009E0FCA"/>
    <w:rsid w:val="009E1473"/>
    <w:rsid w:val="009E2690"/>
    <w:rsid w:val="009E2988"/>
    <w:rsid w:val="009E4212"/>
    <w:rsid w:val="009E572F"/>
    <w:rsid w:val="009E7261"/>
    <w:rsid w:val="009F0C9E"/>
    <w:rsid w:val="009F1E5C"/>
    <w:rsid w:val="009F38CF"/>
    <w:rsid w:val="009F3E43"/>
    <w:rsid w:val="009F40D1"/>
    <w:rsid w:val="009F4360"/>
    <w:rsid w:val="009F4387"/>
    <w:rsid w:val="009F57BC"/>
    <w:rsid w:val="009F645B"/>
    <w:rsid w:val="009F6BD6"/>
    <w:rsid w:val="009F6C8A"/>
    <w:rsid w:val="00A03CB9"/>
    <w:rsid w:val="00A040EF"/>
    <w:rsid w:val="00A0447F"/>
    <w:rsid w:val="00A04680"/>
    <w:rsid w:val="00A05A94"/>
    <w:rsid w:val="00A06FC7"/>
    <w:rsid w:val="00A1066D"/>
    <w:rsid w:val="00A1212A"/>
    <w:rsid w:val="00A12468"/>
    <w:rsid w:val="00A12928"/>
    <w:rsid w:val="00A155D9"/>
    <w:rsid w:val="00A15D23"/>
    <w:rsid w:val="00A162E3"/>
    <w:rsid w:val="00A1720F"/>
    <w:rsid w:val="00A20145"/>
    <w:rsid w:val="00A216A1"/>
    <w:rsid w:val="00A21772"/>
    <w:rsid w:val="00A21897"/>
    <w:rsid w:val="00A22118"/>
    <w:rsid w:val="00A224D1"/>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4A5"/>
    <w:rsid w:val="00A478F8"/>
    <w:rsid w:val="00A47CFE"/>
    <w:rsid w:val="00A501E8"/>
    <w:rsid w:val="00A50B43"/>
    <w:rsid w:val="00A5483B"/>
    <w:rsid w:val="00A54AB2"/>
    <w:rsid w:val="00A57146"/>
    <w:rsid w:val="00A5794D"/>
    <w:rsid w:val="00A60CDC"/>
    <w:rsid w:val="00A62226"/>
    <w:rsid w:val="00A63386"/>
    <w:rsid w:val="00A642B5"/>
    <w:rsid w:val="00A65990"/>
    <w:rsid w:val="00A71B90"/>
    <w:rsid w:val="00A7226E"/>
    <w:rsid w:val="00A73C77"/>
    <w:rsid w:val="00A75354"/>
    <w:rsid w:val="00A75C19"/>
    <w:rsid w:val="00A76561"/>
    <w:rsid w:val="00A80F16"/>
    <w:rsid w:val="00A82004"/>
    <w:rsid w:val="00A8212D"/>
    <w:rsid w:val="00A82CBA"/>
    <w:rsid w:val="00A83668"/>
    <w:rsid w:val="00A8394D"/>
    <w:rsid w:val="00A8465A"/>
    <w:rsid w:val="00A853E9"/>
    <w:rsid w:val="00A8564B"/>
    <w:rsid w:val="00A86E82"/>
    <w:rsid w:val="00A87002"/>
    <w:rsid w:val="00A87105"/>
    <w:rsid w:val="00A8717A"/>
    <w:rsid w:val="00A918BF"/>
    <w:rsid w:val="00A91DAA"/>
    <w:rsid w:val="00A924A7"/>
    <w:rsid w:val="00A9269E"/>
    <w:rsid w:val="00A9290E"/>
    <w:rsid w:val="00A938E1"/>
    <w:rsid w:val="00A97CC7"/>
    <w:rsid w:val="00AA05A7"/>
    <w:rsid w:val="00AA0A63"/>
    <w:rsid w:val="00AA0CDF"/>
    <w:rsid w:val="00AA221E"/>
    <w:rsid w:val="00AA316C"/>
    <w:rsid w:val="00AA3884"/>
    <w:rsid w:val="00AA4193"/>
    <w:rsid w:val="00AA4FD7"/>
    <w:rsid w:val="00AA55F8"/>
    <w:rsid w:val="00AA60E6"/>
    <w:rsid w:val="00AA7578"/>
    <w:rsid w:val="00AB03FC"/>
    <w:rsid w:val="00AB04EA"/>
    <w:rsid w:val="00AB11BB"/>
    <w:rsid w:val="00AB1556"/>
    <w:rsid w:val="00AB1894"/>
    <w:rsid w:val="00AB26DE"/>
    <w:rsid w:val="00AB47F7"/>
    <w:rsid w:val="00AB4895"/>
    <w:rsid w:val="00AB5A86"/>
    <w:rsid w:val="00AB5B80"/>
    <w:rsid w:val="00AB5CD3"/>
    <w:rsid w:val="00AB6645"/>
    <w:rsid w:val="00AB6B22"/>
    <w:rsid w:val="00AC0843"/>
    <w:rsid w:val="00AC0ED5"/>
    <w:rsid w:val="00AC1AAE"/>
    <w:rsid w:val="00AC44D4"/>
    <w:rsid w:val="00AC5446"/>
    <w:rsid w:val="00AC55C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3ABD"/>
    <w:rsid w:val="00AE494A"/>
    <w:rsid w:val="00AE4B91"/>
    <w:rsid w:val="00AE4CDB"/>
    <w:rsid w:val="00AE5807"/>
    <w:rsid w:val="00AE59C4"/>
    <w:rsid w:val="00AE5EF8"/>
    <w:rsid w:val="00AF07E6"/>
    <w:rsid w:val="00AF1C1B"/>
    <w:rsid w:val="00AF1F1D"/>
    <w:rsid w:val="00AF1FE8"/>
    <w:rsid w:val="00AF3A92"/>
    <w:rsid w:val="00AF59ED"/>
    <w:rsid w:val="00AF6800"/>
    <w:rsid w:val="00B00269"/>
    <w:rsid w:val="00B00B66"/>
    <w:rsid w:val="00B014AA"/>
    <w:rsid w:val="00B01D9A"/>
    <w:rsid w:val="00B01DD2"/>
    <w:rsid w:val="00B01EEE"/>
    <w:rsid w:val="00B0340C"/>
    <w:rsid w:val="00B063B7"/>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5FC7"/>
    <w:rsid w:val="00B37062"/>
    <w:rsid w:val="00B42A84"/>
    <w:rsid w:val="00B441B0"/>
    <w:rsid w:val="00B4439A"/>
    <w:rsid w:val="00B44F10"/>
    <w:rsid w:val="00B454F3"/>
    <w:rsid w:val="00B46015"/>
    <w:rsid w:val="00B46997"/>
    <w:rsid w:val="00B46F3A"/>
    <w:rsid w:val="00B50571"/>
    <w:rsid w:val="00B51938"/>
    <w:rsid w:val="00B5282A"/>
    <w:rsid w:val="00B530A6"/>
    <w:rsid w:val="00B55358"/>
    <w:rsid w:val="00B55909"/>
    <w:rsid w:val="00B55DA6"/>
    <w:rsid w:val="00B560CA"/>
    <w:rsid w:val="00B568CF"/>
    <w:rsid w:val="00B56A9E"/>
    <w:rsid w:val="00B60A73"/>
    <w:rsid w:val="00B61A4C"/>
    <w:rsid w:val="00B61BD6"/>
    <w:rsid w:val="00B621C2"/>
    <w:rsid w:val="00B6330A"/>
    <w:rsid w:val="00B648E0"/>
    <w:rsid w:val="00B648ED"/>
    <w:rsid w:val="00B65D68"/>
    <w:rsid w:val="00B66470"/>
    <w:rsid w:val="00B7248E"/>
    <w:rsid w:val="00B73776"/>
    <w:rsid w:val="00B7380E"/>
    <w:rsid w:val="00B73972"/>
    <w:rsid w:val="00B754BA"/>
    <w:rsid w:val="00B75A53"/>
    <w:rsid w:val="00B77C81"/>
    <w:rsid w:val="00B809D5"/>
    <w:rsid w:val="00B81221"/>
    <w:rsid w:val="00B83BD4"/>
    <w:rsid w:val="00B844A8"/>
    <w:rsid w:val="00B85264"/>
    <w:rsid w:val="00B8546A"/>
    <w:rsid w:val="00B8655C"/>
    <w:rsid w:val="00B86596"/>
    <w:rsid w:val="00B8686C"/>
    <w:rsid w:val="00B90FC5"/>
    <w:rsid w:val="00B91291"/>
    <w:rsid w:val="00B92921"/>
    <w:rsid w:val="00B929F4"/>
    <w:rsid w:val="00B93569"/>
    <w:rsid w:val="00B938C9"/>
    <w:rsid w:val="00B95499"/>
    <w:rsid w:val="00B97731"/>
    <w:rsid w:val="00BA0836"/>
    <w:rsid w:val="00BA0E3B"/>
    <w:rsid w:val="00BA286C"/>
    <w:rsid w:val="00BA3D29"/>
    <w:rsid w:val="00BA45AB"/>
    <w:rsid w:val="00BA4E7E"/>
    <w:rsid w:val="00BA54E8"/>
    <w:rsid w:val="00BA58CA"/>
    <w:rsid w:val="00BA5C46"/>
    <w:rsid w:val="00BA60F8"/>
    <w:rsid w:val="00BA6811"/>
    <w:rsid w:val="00BA780A"/>
    <w:rsid w:val="00BA79C3"/>
    <w:rsid w:val="00BB17A7"/>
    <w:rsid w:val="00BB1939"/>
    <w:rsid w:val="00BB205E"/>
    <w:rsid w:val="00BB274D"/>
    <w:rsid w:val="00BB3C84"/>
    <w:rsid w:val="00BB50C4"/>
    <w:rsid w:val="00BC009D"/>
    <w:rsid w:val="00BC04F2"/>
    <w:rsid w:val="00BC4FE7"/>
    <w:rsid w:val="00BC5B27"/>
    <w:rsid w:val="00BC69EA"/>
    <w:rsid w:val="00BC6C84"/>
    <w:rsid w:val="00BC727F"/>
    <w:rsid w:val="00BD03C7"/>
    <w:rsid w:val="00BD119A"/>
    <w:rsid w:val="00BD131B"/>
    <w:rsid w:val="00BD2672"/>
    <w:rsid w:val="00BD2F89"/>
    <w:rsid w:val="00BD3747"/>
    <w:rsid w:val="00BD3889"/>
    <w:rsid w:val="00BD4581"/>
    <w:rsid w:val="00BD521C"/>
    <w:rsid w:val="00BD5DF1"/>
    <w:rsid w:val="00BD6A52"/>
    <w:rsid w:val="00BE007E"/>
    <w:rsid w:val="00BE02C9"/>
    <w:rsid w:val="00BE0C59"/>
    <w:rsid w:val="00BE0F2D"/>
    <w:rsid w:val="00BE184A"/>
    <w:rsid w:val="00BE27BE"/>
    <w:rsid w:val="00BE32AF"/>
    <w:rsid w:val="00BE4DAE"/>
    <w:rsid w:val="00BE5665"/>
    <w:rsid w:val="00BE5CA6"/>
    <w:rsid w:val="00BE5CC5"/>
    <w:rsid w:val="00BE638A"/>
    <w:rsid w:val="00BE7588"/>
    <w:rsid w:val="00BF0BB2"/>
    <w:rsid w:val="00BF142D"/>
    <w:rsid w:val="00BF1B22"/>
    <w:rsid w:val="00BF1D4E"/>
    <w:rsid w:val="00BF1E5F"/>
    <w:rsid w:val="00BF2749"/>
    <w:rsid w:val="00BF2CB5"/>
    <w:rsid w:val="00BF5920"/>
    <w:rsid w:val="00BF5DB5"/>
    <w:rsid w:val="00BF70E9"/>
    <w:rsid w:val="00C003D6"/>
    <w:rsid w:val="00C008F2"/>
    <w:rsid w:val="00C00947"/>
    <w:rsid w:val="00C02F61"/>
    <w:rsid w:val="00C033D8"/>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5707"/>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6EF"/>
    <w:rsid w:val="00C40F26"/>
    <w:rsid w:val="00C41D73"/>
    <w:rsid w:val="00C421BD"/>
    <w:rsid w:val="00C423BB"/>
    <w:rsid w:val="00C428BB"/>
    <w:rsid w:val="00C42CE9"/>
    <w:rsid w:val="00C43C8B"/>
    <w:rsid w:val="00C43DFB"/>
    <w:rsid w:val="00C44F12"/>
    <w:rsid w:val="00C50BC6"/>
    <w:rsid w:val="00C51416"/>
    <w:rsid w:val="00C52977"/>
    <w:rsid w:val="00C52C63"/>
    <w:rsid w:val="00C54051"/>
    <w:rsid w:val="00C54620"/>
    <w:rsid w:val="00C55D33"/>
    <w:rsid w:val="00C56B48"/>
    <w:rsid w:val="00C60A6F"/>
    <w:rsid w:val="00C611CC"/>
    <w:rsid w:val="00C6150B"/>
    <w:rsid w:val="00C61A78"/>
    <w:rsid w:val="00C641CF"/>
    <w:rsid w:val="00C644D9"/>
    <w:rsid w:val="00C64C60"/>
    <w:rsid w:val="00C6506C"/>
    <w:rsid w:val="00C658B8"/>
    <w:rsid w:val="00C65E58"/>
    <w:rsid w:val="00C66931"/>
    <w:rsid w:val="00C67467"/>
    <w:rsid w:val="00C71416"/>
    <w:rsid w:val="00C714DC"/>
    <w:rsid w:val="00C71F97"/>
    <w:rsid w:val="00C7267F"/>
    <w:rsid w:val="00C73E6D"/>
    <w:rsid w:val="00C74107"/>
    <w:rsid w:val="00C745DA"/>
    <w:rsid w:val="00C75910"/>
    <w:rsid w:val="00C76237"/>
    <w:rsid w:val="00C76E2F"/>
    <w:rsid w:val="00C77B97"/>
    <w:rsid w:val="00C77C83"/>
    <w:rsid w:val="00C801D6"/>
    <w:rsid w:val="00C80554"/>
    <w:rsid w:val="00C81193"/>
    <w:rsid w:val="00C8189D"/>
    <w:rsid w:val="00C81A89"/>
    <w:rsid w:val="00C81E79"/>
    <w:rsid w:val="00C82FC8"/>
    <w:rsid w:val="00C833E6"/>
    <w:rsid w:val="00C839B4"/>
    <w:rsid w:val="00C83E1E"/>
    <w:rsid w:val="00C83F79"/>
    <w:rsid w:val="00C85192"/>
    <w:rsid w:val="00C85952"/>
    <w:rsid w:val="00C86A4E"/>
    <w:rsid w:val="00C86C6F"/>
    <w:rsid w:val="00C87265"/>
    <w:rsid w:val="00C8741A"/>
    <w:rsid w:val="00C87DF9"/>
    <w:rsid w:val="00C90DB8"/>
    <w:rsid w:val="00C9355B"/>
    <w:rsid w:val="00C93720"/>
    <w:rsid w:val="00C94270"/>
    <w:rsid w:val="00C942C9"/>
    <w:rsid w:val="00C946E6"/>
    <w:rsid w:val="00C95726"/>
    <w:rsid w:val="00C95C4C"/>
    <w:rsid w:val="00C963B7"/>
    <w:rsid w:val="00C97E6E"/>
    <w:rsid w:val="00CA0C8E"/>
    <w:rsid w:val="00CA11F2"/>
    <w:rsid w:val="00CA2D04"/>
    <w:rsid w:val="00CA3B8A"/>
    <w:rsid w:val="00CA3CB2"/>
    <w:rsid w:val="00CA52D8"/>
    <w:rsid w:val="00CA7BB8"/>
    <w:rsid w:val="00CB00DF"/>
    <w:rsid w:val="00CB2A3A"/>
    <w:rsid w:val="00CB2B8F"/>
    <w:rsid w:val="00CB4F90"/>
    <w:rsid w:val="00CB6D8B"/>
    <w:rsid w:val="00CB6FF2"/>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1D76"/>
    <w:rsid w:val="00CE2E2E"/>
    <w:rsid w:val="00CE3039"/>
    <w:rsid w:val="00CE56D2"/>
    <w:rsid w:val="00CE6959"/>
    <w:rsid w:val="00CE6F0F"/>
    <w:rsid w:val="00CE7312"/>
    <w:rsid w:val="00CE7344"/>
    <w:rsid w:val="00CE7E27"/>
    <w:rsid w:val="00CF0BDA"/>
    <w:rsid w:val="00CF1282"/>
    <w:rsid w:val="00CF26D3"/>
    <w:rsid w:val="00CF3C99"/>
    <w:rsid w:val="00CF6A44"/>
    <w:rsid w:val="00CF7708"/>
    <w:rsid w:val="00CF7A87"/>
    <w:rsid w:val="00CF7DC0"/>
    <w:rsid w:val="00D016BB"/>
    <w:rsid w:val="00D01D02"/>
    <w:rsid w:val="00D0268B"/>
    <w:rsid w:val="00D04525"/>
    <w:rsid w:val="00D04893"/>
    <w:rsid w:val="00D05A13"/>
    <w:rsid w:val="00D05DF1"/>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1E2D"/>
    <w:rsid w:val="00D33181"/>
    <w:rsid w:val="00D34F3C"/>
    <w:rsid w:val="00D36474"/>
    <w:rsid w:val="00D36E3A"/>
    <w:rsid w:val="00D37DB4"/>
    <w:rsid w:val="00D40694"/>
    <w:rsid w:val="00D4086E"/>
    <w:rsid w:val="00D42385"/>
    <w:rsid w:val="00D462D4"/>
    <w:rsid w:val="00D518EC"/>
    <w:rsid w:val="00D528B8"/>
    <w:rsid w:val="00D54008"/>
    <w:rsid w:val="00D542EC"/>
    <w:rsid w:val="00D546A5"/>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87EAF"/>
    <w:rsid w:val="00D91360"/>
    <w:rsid w:val="00D92B28"/>
    <w:rsid w:val="00D92F09"/>
    <w:rsid w:val="00D9341A"/>
    <w:rsid w:val="00D95595"/>
    <w:rsid w:val="00D97071"/>
    <w:rsid w:val="00D97D6A"/>
    <w:rsid w:val="00DA0191"/>
    <w:rsid w:val="00DA0B19"/>
    <w:rsid w:val="00DA167F"/>
    <w:rsid w:val="00DA2A53"/>
    <w:rsid w:val="00DA2FE2"/>
    <w:rsid w:val="00DA36F6"/>
    <w:rsid w:val="00DA5472"/>
    <w:rsid w:val="00DA6198"/>
    <w:rsid w:val="00DA6BA8"/>
    <w:rsid w:val="00DA74C4"/>
    <w:rsid w:val="00DA78DA"/>
    <w:rsid w:val="00DB07D3"/>
    <w:rsid w:val="00DB18F8"/>
    <w:rsid w:val="00DB3518"/>
    <w:rsid w:val="00DB393A"/>
    <w:rsid w:val="00DB39AE"/>
    <w:rsid w:val="00DB5637"/>
    <w:rsid w:val="00DB6294"/>
    <w:rsid w:val="00DB71D1"/>
    <w:rsid w:val="00DB7D29"/>
    <w:rsid w:val="00DC1C1B"/>
    <w:rsid w:val="00DC2AF2"/>
    <w:rsid w:val="00DC2E46"/>
    <w:rsid w:val="00DC372C"/>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0EB0"/>
    <w:rsid w:val="00DE252F"/>
    <w:rsid w:val="00DE2F4D"/>
    <w:rsid w:val="00DE329B"/>
    <w:rsid w:val="00DE347F"/>
    <w:rsid w:val="00DE4351"/>
    <w:rsid w:val="00DE4CBB"/>
    <w:rsid w:val="00DE682A"/>
    <w:rsid w:val="00DE6987"/>
    <w:rsid w:val="00DE6C9F"/>
    <w:rsid w:val="00DE6D6C"/>
    <w:rsid w:val="00DE72A9"/>
    <w:rsid w:val="00DE7F55"/>
    <w:rsid w:val="00DF0C58"/>
    <w:rsid w:val="00DF0ED5"/>
    <w:rsid w:val="00DF1552"/>
    <w:rsid w:val="00DF1DA3"/>
    <w:rsid w:val="00DF2853"/>
    <w:rsid w:val="00DF316B"/>
    <w:rsid w:val="00DF45C4"/>
    <w:rsid w:val="00DF5756"/>
    <w:rsid w:val="00DF5A59"/>
    <w:rsid w:val="00DF61B6"/>
    <w:rsid w:val="00DF642B"/>
    <w:rsid w:val="00DF6431"/>
    <w:rsid w:val="00E015B6"/>
    <w:rsid w:val="00E0205F"/>
    <w:rsid w:val="00E02CE5"/>
    <w:rsid w:val="00E041D2"/>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6B37"/>
    <w:rsid w:val="00E376B2"/>
    <w:rsid w:val="00E37FEE"/>
    <w:rsid w:val="00E40A7D"/>
    <w:rsid w:val="00E4173D"/>
    <w:rsid w:val="00E41A9D"/>
    <w:rsid w:val="00E42B27"/>
    <w:rsid w:val="00E43213"/>
    <w:rsid w:val="00E437DF"/>
    <w:rsid w:val="00E44AE1"/>
    <w:rsid w:val="00E47909"/>
    <w:rsid w:val="00E47EEE"/>
    <w:rsid w:val="00E5009F"/>
    <w:rsid w:val="00E51102"/>
    <w:rsid w:val="00E52332"/>
    <w:rsid w:val="00E536CD"/>
    <w:rsid w:val="00E541A1"/>
    <w:rsid w:val="00E541DC"/>
    <w:rsid w:val="00E5538B"/>
    <w:rsid w:val="00E55B4F"/>
    <w:rsid w:val="00E55E5C"/>
    <w:rsid w:val="00E57150"/>
    <w:rsid w:val="00E57A6C"/>
    <w:rsid w:val="00E60198"/>
    <w:rsid w:val="00E606E0"/>
    <w:rsid w:val="00E6684E"/>
    <w:rsid w:val="00E66D03"/>
    <w:rsid w:val="00E710CC"/>
    <w:rsid w:val="00E71818"/>
    <w:rsid w:val="00E71EBA"/>
    <w:rsid w:val="00E74846"/>
    <w:rsid w:val="00E74B2E"/>
    <w:rsid w:val="00E77555"/>
    <w:rsid w:val="00E7795A"/>
    <w:rsid w:val="00E77A48"/>
    <w:rsid w:val="00E80482"/>
    <w:rsid w:val="00E8111B"/>
    <w:rsid w:val="00E817C8"/>
    <w:rsid w:val="00E81E86"/>
    <w:rsid w:val="00E8235F"/>
    <w:rsid w:val="00E83F6A"/>
    <w:rsid w:val="00E8448E"/>
    <w:rsid w:val="00E85B54"/>
    <w:rsid w:val="00E862C6"/>
    <w:rsid w:val="00E86958"/>
    <w:rsid w:val="00E870D0"/>
    <w:rsid w:val="00E874FE"/>
    <w:rsid w:val="00E875A1"/>
    <w:rsid w:val="00E87734"/>
    <w:rsid w:val="00E900E0"/>
    <w:rsid w:val="00E90174"/>
    <w:rsid w:val="00E9181A"/>
    <w:rsid w:val="00E91D9F"/>
    <w:rsid w:val="00E92C45"/>
    <w:rsid w:val="00E936DB"/>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466"/>
    <w:rsid w:val="00EA7ACD"/>
    <w:rsid w:val="00EA7F29"/>
    <w:rsid w:val="00EB0791"/>
    <w:rsid w:val="00EB2961"/>
    <w:rsid w:val="00EB3922"/>
    <w:rsid w:val="00EB4084"/>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6B8"/>
    <w:rsid w:val="00ED2D6D"/>
    <w:rsid w:val="00ED313A"/>
    <w:rsid w:val="00ED5808"/>
    <w:rsid w:val="00ED61DF"/>
    <w:rsid w:val="00ED66EC"/>
    <w:rsid w:val="00EE0677"/>
    <w:rsid w:val="00EE09C8"/>
    <w:rsid w:val="00EE2846"/>
    <w:rsid w:val="00EE3C72"/>
    <w:rsid w:val="00EE401F"/>
    <w:rsid w:val="00EE5E4B"/>
    <w:rsid w:val="00EF156D"/>
    <w:rsid w:val="00EF1941"/>
    <w:rsid w:val="00EF1FF1"/>
    <w:rsid w:val="00EF24DB"/>
    <w:rsid w:val="00EF3AB3"/>
    <w:rsid w:val="00EF3D08"/>
    <w:rsid w:val="00EF4C06"/>
    <w:rsid w:val="00EF4C36"/>
    <w:rsid w:val="00EF50A1"/>
    <w:rsid w:val="00EF586B"/>
    <w:rsid w:val="00EF7C9F"/>
    <w:rsid w:val="00F00D53"/>
    <w:rsid w:val="00F0161B"/>
    <w:rsid w:val="00F0423C"/>
    <w:rsid w:val="00F05F58"/>
    <w:rsid w:val="00F06218"/>
    <w:rsid w:val="00F06772"/>
    <w:rsid w:val="00F06BD8"/>
    <w:rsid w:val="00F078F5"/>
    <w:rsid w:val="00F07D10"/>
    <w:rsid w:val="00F12759"/>
    <w:rsid w:val="00F12FB2"/>
    <w:rsid w:val="00F150C6"/>
    <w:rsid w:val="00F16083"/>
    <w:rsid w:val="00F16188"/>
    <w:rsid w:val="00F1640A"/>
    <w:rsid w:val="00F16781"/>
    <w:rsid w:val="00F16FAE"/>
    <w:rsid w:val="00F170E4"/>
    <w:rsid w:val="00F17473"/>
    <w:rsid w:val="00F20055"/>
    <w:rsid w:val="00F20BB1"/>
    <w:rsid w:val="00F235AD"/>
    <w:rsid w:val="00F24F81"/>
    <w:rsid w:val="00F250F0"/>
    <w:rsid w:val="00F25533"/>
    <w:rsid w:val="00F26627"/>
    <w:rsid w:val="00F2681F"/>
    <w:rsid w:val="00F26838"/>
    <w:rsid w:val="00F26854"/>
    <w:rsid w:val="00F31F42"/>
    <w:rsid w:val="00F3268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55AB"/>
    <w:rsid w:val="00F476A4"/>
    <w:rsid w:val="00F47869"/>
    <w:rsid w:val="00F50246"/>
    <w:rsid w:val="00F51F63"/>
    <w:rsid w:val="00F53333"/>
    <w:rsid w:val="00F53E6A"/>
    <w:rsid w:val="00F5462B"/>
    <w:rsid w:val="00F5492D"/>
    <w:rsid w:val="00F60A50"/>
    <w:rsid w:val="00F60FF2"/>
    <w:rsid w:val="00F6145A"/>
    <w:rsid w:val="00F61792"/>
    <w:rsid w:val="00F624C4"/>
    <w:rsid w:val="00F63360"/>
    <w:rsid w:val="00F63445"/>
    <w:rsid w:val="00F641B7"/>
    <w:rsid w:val="00F64805"/>
    <w:rsid w:val="00F64E90"/>
    <w:rsid w:val="00F6693C"/>
    <w:rsid w:val="00F71767"/>
    <w:rsid w:val="00F718B0"/>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4EA1"/>
    <w:rsid w:val="00F966B7"/>
    <w:rsid w:val="00F96788"/>
    <w:rsid w:val="00FA0BA1"/>
    <w:rsid w:val="00FA152D"/>
    <w:rsid w:val="00FA4E4E"/>
    <w:rsid w:val="00FA50D9"/>
    <w:rsid w:val="00FA5772"/>
    <w:rsid w:val="00FA5D7D"/>
    <w:rsid w:val="00FA61F8"/>
    <w:rsid w:val="00FA650E"/>
    <w:rsid w:val="00FA77BC"/>
    <w:rsid w:val="00FB059A"/>
    <w:rsid w:val="00FB3385"/>
    <w:rsid w:val="00FB3D49"/>
    <w:rsid w:val="00FB5448"/>
    <w:rsid w:val="00FB63D8"/>
    <w:rsid w:val="00FB6DE4"/>
    <w:rsid w:val="00FB71A7"/>
    <w:rsid w:val="00FB75C1"/>
    <w:rsid w:val="00FC0C9C"/>
    <w:rsid w:val="00FC1447"/>
    <w:rsid w:val="00FC165B"/>
    <w:rsid w:val="00FC1B03"/>
    <w:rsid w:val="00FC1B44"/>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D6AC5"/>
    <w:rsid w:val="00FE0E97"/>
    <w:rsid w:val="00FE1956"/>
    <w:rsid w:val="00FE1AF1"/>
    <w:rsid w:val="00FE1EC6"/>
    <w:rsid w:val="00FE218A"/>
    <w:rsid w:val="00FE349E"/>
    <w:rsid w:val="00FE4B8B"/>
    <w:rsid w:val="00FE58DE"/>
    <w:rsid w:val="00FE644E"/>
    <w:rsid w:val="00FE6E64"/>
    <w:rsid w:val="00FE7491"/>
    <w:rsid w:val="00FE7EC2"/>
    <w:rsid w:val="00FF0081"/>
    <w:rsid w:val="00FF15CF"/>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529819"/>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3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6D43-E153-47F8-82C0-717E664C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4873</Words>
  <Characters>25855</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Glykeria Anyfanti 42079187</cp:lastModifiedBy>
  <cp:revision>3</cp:revision>
  <cp:lastPrinted>2017-04-27T08:33:00Z</cp:lastPrinted>
  <dcterms:created xsi:type="dcterms:W3CDTF">2019-02-19T08:39:00Z</dcterms:created>
  <dcterms:modified xsi:type="dcterms:W3CDTF">2019-02-20T08:35:00Z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-891126917</vt:i4>
  </property>
</Properties>
</file>