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633941" w:rsidP="00773654">
            <w:pPr>
              <w:spacing w:line="480" w:lineRule="auto"/>
              <w:rPr>
                <w:rFonts w:ascii="Arial" w:hAnsi="Arial" w:cs="Arial"/>
                <w:b/>
                <w:sz w:val="24"/>
                <w:szCs w:val="24"/>
              </w:rPr>
            </w:pPr>
            <w:r>
              <w:rPr>
                <w:rFonts w:ascii="Arial" w:hAnsi="Arial" w:cs="Arial"/>
                <w:b/>
                <w:sz w:val="24"/>
                <w:szCs w:val="24"/>
              </w:rPr>
              <w:t>Essex Police proposed response to Home Office Serious Violence Strategy</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xx</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633941" w:rsidP="00773654">
            <w:pPr>
              <w:spacing w:line="480" w:lineRule="auto"/>
              <w:rPr>
                <w:rFonts w:ascii="Arial" w:hAnsi="Arial" w:cs="Arial"/>
                <w:b/>
                <w:sz w:val="24"/>
                <w:szCs w:val="24"/>
              </w:rPr>
            </w:pPr>
            <w:r>
              <w:rPr>
                <w:rFonts w:ascii="Arial" w:hAnsi="Arial" w:cs="Arial"/>
                <w:b/>
                <w:sz w:val="24"/>
                <w:szCs w:val="24"/>
              </w:rPr>
              <w:t>ACC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633941" w:rsidP="00773654">
            <w:pPr>
              <w:spacing w:line="480" w:lineRule="auto"/>
              <w:rPr>
                <w:rFonts w:ascii="Arial" w:hAnsi="Arial" w:cs="Arial"/>
                <w:b/>
                <w:sz w:val="24"/>
                <w:szCs w:val="24"/>
              </w:rPr>
            </w:pPr>
            <w:r>
              <w:rPr>
                <w:rFonts w:ascii="Arial" w:hAnsi="Arial" w:cs="Arial"/>
                <w:b/>
                <w:sz w:val="24"/>
                <w:szCs w:val="24"/>
              </w:rPr>
              <w:t>12</w:t>
            </w:r>
            <w:r w:rsidRPr="00633941">
              <w:rPr>
                <w:rFonts w:ascii="Arial" w:hAnsi="Arial" w:cs="Arial"/>
                <w:b/>
                <w:sz w:val="24"/>
                <w:szCs w:val="24"/>
                <w:vertAlign w:val="superscript"/>
              </w:rPr>
              <w:t>th</w:t>
            </w:r>
            <w:r>
              <w:rPr>
                <w:rFonts w:ascii="Arial" w:hAnsi="Arial" w:cs="Arial"/>
                <w:b/>
                <w:sz w:val="24"/>
                <w:szCs w:val="24"/>
              </w:rPr>
              <w:t xml:space="preserve"> October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633941" w:rsidP="00473728">
            <w:pPr>
              <w:spacing w:line="480" w:lineRule="auto"/>
              <w:rPr>
                <w:rFonts w:ascii="Arial" w:hAnsi="Arial" w:cs="Arial"/>
                <w:b/>
                <w:sz w:val="24"/>
                <w:szCs w:val="24"/>
              </w:rPr>
            </w:pPr>
            <w:r>
              <w:rPr>
                <w:rFonts w:ascii="Arial" w:hAnsi="Arial" w:cs="Arial"/>
                <w:b/>
                <w:sz w:val="24"/>
                <w:szCs w:val="24"/>
              </w:rPr>
              <w:t>20370</w:t>
            </w:r>
            <w:r w:rsidR="00473728">
              <w:rPr>
                <w:rFonts w:ascii="Arial" w:hAnsi="Arial" w:cs="Arial"/>
                <w:b/>
                <w:sz w:val="24"/>
                <w:szCs w:val="24"/>
              </w:rPr>
              <w:t>2</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2E3DEF" w:rsidP="00773654">
            <w:pPr>
              <w:spacing w:line="480" w:lineRule="auto"/>
              <w:rPr>
                <w:rFonts w:ascii="Arial" w:hAnsi="Arial" w:cs="Arial"/>
                <w:b/>
                <w:sz w:val="24"/>
                <w:szCs w:val="24"/>
              </w:rPr>
            </w:pPr>
            <w:r>
              <w:rPr>
                <w:rFonts w:ascii="Arial" w:hAnsi="Arial" w:cs="Arial"/>
                <w:b/>
                <w:sz w:val="24"/>
                <w:szCs w:val="24"/>
              </w:rPr>
              <w:t>25</w:t>
            </w:r>
            <w:r w:rsidRPr="002E3DEF">
              <w:rPr>
                <w:rFonts w:ascii="Arial" w:hAnsi="Arial" w:cs="Arial"/>
                <w:b/>
                <w:sz w:val="24"/>
                <w:szCs w:val="24"/>
                <w:vertAlign w:val="superscript"/>
              </w:rPr>
              <w:t>th</w:t>
            </w:r>
            <w:r>
              <w:rPr>
                <w:rFonts w:ascii="Arial" w:hAnsi="Arial" w:cs="Arial"/>
                <w:b/>
                <w:sz w:val="24"/>
                <w:szCs w:val="24"/>
              </w:rPr>
              <w:t xml:space="preserve"> October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633941" w:rsidP="009F3263">
            <w:pPr>
              <w:spacing w:line="360" w:lineRule="auto"/>
              <w:rPr>
                <w:rFonts w:ascii="Arial" w:hAnsi="Arial" w:cs="Arial"/>
                <w:b/>
                <w:sz w:val="24"/>
                <w:szCs w:val="24"/>
              </w:rPr>
            </w:pPr>
            <w:r>
              <w:rPr>
                <w:rFonts w:ascii="Arial" w:hAnsi="Arial" w:cs="Arial"/>
                <w:b/>
                <w:sz w:val="24"/>
                <w:szCs w:val="24"/>
              </w:rPr>
              <w:t>C/Supt 2037 WELLS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C64EB3" w:rsidP="00773654">
            <w:pPr>
              <w:spacing w:line="480" w:lineRule="auto"/>
              <w:rPr>
                <w:rFonts w:ascii="Arial" w:hAnsi="Arial" w:cs="Arial"/>
                <w:b/>
                <w:sz w:val="24"/>
                <w:szCs w:val="24"/>
              </w:rPr>
            </w:pPr>
            <w:r>
              <w:rPr>
                <w:rFonts w:ascii="Arial" w:hAnsi="Arial" w:cs="Arial"/>
                <w:b/>
                <w:sz w:val="24"/>
                <w:szCs w:val="24"/>
              </w:rPr>
              <w:t>15</w:t>
            </w:r>
            <w:r w:rsidRPr="00C64EB3">
              <w:rPr>
                <w:rFonts w:ascii="Arial" w:hAnsi="Arial" w:cs="Arial"/>
                <w:b/>
                <w:sz w:val="24"/>
                <w:szCs w:val="24"/>
                <w:vertAlign w:val="superscript"/>
              </w:rPr>
              <w:t>th</w:t>
            </w:r>
            <w:r>
              <w:rPr>
                <w:rFonts w:ascii="Arial" w:hAnsi="Arial" w:cs="Arial"/>
                <w:b/>
                <w:sz w:val="24"/>
                <w:szCs w:val="24"/>
              </w:rPr>
              <w:t xml:space="preserve"> October 2018</w:t>
            </w:r>
          </w:p>
        </w:tc>
      </w:tr>
    </w:tbl>
    <w:p w:rsidR="004F62BB" w:rsidRDefault="004F62BB" w:rsidP="000335EB">
      <w:pPr>
        <w:pStyle w:val="NoSpacing"/>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336373" w:rsidRPr="00652B9C" w:rsidRDefault="00336373" w:rsidP="00BE4D5A">
      <w:pPr>
        <w:pStyle w:val="NoSpacing"/>
        <w:ind w:left="720"/>
        <w:rPr>
          <w:rFonts w:ascii="Arial" w:hAnsi="Arial" w:cs="Arial"/>
          <w:sz w:val="24"/>
          <w:szCs w:val="24"/>
        </w:rPr>
      </w:pPr>
      <w:r>
        <w:rPr>
          <w:rFonts w:ascii="Arial" w:hAnsi="Arial" w:cs="Arial"/>
          <w:sz w:val="24"/>
          <w:szCs w:val="24"/>
        </w:rPr>
        <w:t>This paper outlines the proposed response by Essex Police to the Home Office Serious Violence Strategy</w:t>
      </w:r>
      <w:r w:rsidR="00E33341">
        <w:rPr>
          <w:rFonts w:ascii="Arial" w:hAnsi="Arial" w:cs="Arial"/>
          <w:sz w:val="24"/>
          <w:szCs w:val="24"/>
        </w:rPr>
        <w:t xml:space="preserve"> (April 2018)</w:t>
      </w:r>
      <w:r>
        <w:rPr>
          <w:rFonts w:ascii="Arial" w:hAnsi="Arial" w:cs="Arial"/>
          <w:sz w:val="24"/>
          <w:szCs w:val="24"/>
        </w:rPr>
        <w:t>.</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3C5238" w:rsidRDefault="003C5238" w:rsidP="003C5238">
      <w:pPr>
        <w:pStyle w:val="NoSpacing"/>
        <w:ind w:left="720"/>
        <w:rPr>
          <w:rFonts w:ascii="Arial" w:hAnsi="Arial" w:cs="Arial"/>
          <w:b/>
          <w:sz w:val="24"/>
          <w:szCs w:val="24"/>
          <w:u w:val="single"/>
        </w:rPr>
      </w:pPr>
    </w:p>
    <w:p w:rsidR="003C5238" w:rsidRPr="003C5238" w:rsidRDefault="003C5238" w:rsidP="003C5238">
      <w:pPr>
        <w:pStyle w:val="NoSpacing"/>
        <w:ind w:left="720"/>
        <w:rPr>
          <w:rFonts w:ascii="Arial" w:hAnsi="Arial" w:cs="Arial"/>
          <w:sz w:val="24"/>
          <w:szCs w:val="24"/>
        </w:rPr>
      </w:pPr>
      <w:r w:rsidRPr="003C5238">
        <w:rPr>
          <w:rFonts w:ascii="Arial" w:hAnsi="Arial" w:cs="Arial"/>
          <w:sz w:val="24"/>
          <w:szCs w:val="24"/>
        </w:rPr>
        <w:t>There are no specific recommendations but the board is asked to note and comment upon the content.</w:t>
      </w:r>
    </w:p>
    <w:p w:rsidR="00652B9C" w:rsidRDefault="00652B9C" w:rsidP="00E92E89">
      <w:pPr>
        <w:pStyle w:val="NoSpacing"/>
        <w:ind w:left="720"/>
        <w:rPr>
          <w:rFonts w:ascii="Arial" w:hAnsi="Arial" w:cs="Arial"/>
          <w:b/>
          <w:sz w:val="24"/>
          <w:szCs w:val="24"/>
          <w:u w:val="single"/>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652B9C" w:rsidRDefault="00DB5443" w:rsidP="00DB5443">
      <w:pPr>
        <w:pStyle w:val="NoSpacing"/>
        <w:ind w:left="720"/>
        <w:rPr>
          <w:rFonts w:ascii="Arial" w:hAnsi="Arial" w:cs="Arial"/>
          <w:sz w:val="24"/>
          <w:szCs w:val="24"/>
        </w:rPr>
      </w:pPr>
      <w:r>
        <w:rPr>
          <w:rFonts w:ascii="Arial" w:hAnsi="Arial" w:cs="Arial"/>
          <w:sz w:val="24"/>
          <w:szCs w:val="24"/>
        </w:rPr>
        <w:t>Essex Police continues to develop its approach to tackling the increase in Serious Violent Crime and the effect it has on our community, by working with OPCC &amp; key partners to develop a Pan-Essex approach.</w:t>
      </w:r>
    </w:p>
    <w:p w:rsidR="00DB5443" w:rsidRDefault="00DB5443" w:rsidP="00DB5443">
      <w:pPr>
        <w:pStyle w:val="NoSpacing"/>
        <w:ind w:left="720"/>
        <w:rPr>
          <w:rFonts w:ascii="Arial" w:hAnsi="Arial" w:cs="Arial"/>
          <w:sz w:val="24"/>
          <w:szCs w:val="24"/>
        </w:rPr>
      </w:pPr>
    </w:p>
    <w:p w:rsidR="00665862" w:rsidRDefault="00DB5443" w:rsidP="00DB5443">
      <w:pPr>
        <w:pStyle w:val="NoSpacing"/>
        <w:ind w:left="720"/>
        <w:rPr>
          <w:rFonts w:ascii="Arial" w:hAnsi="Arial" w:cs="Arial"/>
          <w:sz w:val="24"/>
          <w:szCs w:val="24"/>
        </w:rPr>
      </w:pPr>
      <w:r>
        <w:rPr>
          <w:rFonts w:ascii="Arial" w:hAnsi="Arial" w:cs="Arial"/>
          <w:sz w:val="24"/>
          <w:szCs w:val="24"/>
        </w:rPr>
        <w:t xml:space="preserve">A number of work-streams are currently under way, working as part of </w:t>
      </w:r>
      <w:r w:rsidR="008F5959">
        <w:rPr>
          <w:rFonts w:ascii="Arial" w:hAnsi="Arial" w:cs="Arial"/>
          <w:sz w:val="24"/>
          <w:szCs w:val="24"/>
        </w:rPr>
        <w:t>S</w:t>
      </w:r>
      <w:r>
        <w:rPr>
          <w:rFonts w:ascii="Arial" w:hAnsi="Arial" w:cs="Arial"/>
          <w:sz w:val="24"/>
          <w:szCs w:val="24"/>
        </w:rPr>
        <w:t xml:space="preserve">afer Essex to develop </w:t>
      </w:r>
      <w:r w:rsidR="008F5959">
        <w:rPr>
          <w:rFonts w:ascii="Arial" w:hAnsi="Arial" w:cs="Arial"/>
          <w:sz w:val="24"/>
          <w:szCs w:val="24"/>
        </w:rPr>
        <w:t>and</w:t>
      </w:r>
      <w:r>
        <w:rPr>
          <w:rFonts w:ascii="Arial" w:hAnsi="Arial" w:cs="Arial"/>
          <w:sz w:val="24"/>
          <w:szCs w:val="24"/>
        </w:rPr>
        <w:t xml:space="preserve"> deliver this strategy.</w:t>
      </w:r>
    </w:p>
    <w:p w:rsidR="000335EB" w:rsidRDefault="000335EB" w:rsidP="00DB5443">
      <w:pPr>
        <w:pStyle w:val="NoSpacing"/>
        <w:ind w:left="720"/>
        <w:rPr>
          <w:rFonts w:ascii="Arial" w:hAnsi="Arial" w:cs="Arial"/>
          <w:sz w:val="24"/>
          <w:szCs w:val="24"/>
        </w:rPr>
      </w:pPr>
    </w:p>
    <w:p w:rsidR="008F5959" w:rsidRDefault="008F5959">
      <w:pPr>
        <w:rPr>
          <w:rFonts w:ascii="Arial" w:hAnsi="Arial" w:cs="Arial"/>
          <w:b/>
          <w:sz w:val="24"/>
          <w:szCs w:val="24"/>
        </w:rPr>
      </w:pPr>
      <w:r>
        <w:rPr>
          <w:rFonts w:ascii="Arial" w:hAnsi="Arial" w:cs="Arial"/>
          <w:b/>
          <w:sz w:val="24"/>
          <w:szCs w:val="24"/>
        </w:rPr>
        <w:br w:type="page"/>
      </w: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lastRenderedPageBreak/>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BE4D5A" w:rsidRDefault="00BE4D5A" w:rsidP="007D3E9B">
      <w:pPr>
        <w:spacing w:after="0" w:line="240" w:lineRule="auto"/>
        <w:ind w:left="709"/>
        <w:rPr>
          <w:rFonts w:ascii="Arial" w:hAnsi="Arial" w:cs="Arial"/>
          <w:sz w:val="24"/>
          <w:szCs w:val="24"/>
        </w:rPr>
      </w:pPr>
      <w:r>
        <w:rPr>
          <w:rFonts w:ascii="Arial" w:hAnsi="Arial" w:cs="Arial"/>
          <w:sz w:val="24"/>
          <w:szCs w:val="24"/>
        </w:rPr>
        <w:t>In April 2018, The Home Office published its revised Serious Violence Strategy.</w:t>
      </w:r>
    </w:p>
    <w:p w:rsidR="00BE4D5A" w:rsidRDefault="00BE4D5A" w:rsidP="007D3E9B">
      <w:pPr>
        <w:spacing w:after="0" w:line="240" w:lineRule="auto"/>
        <w:ind w:left="709"/>
        <w:rPr>
          <w:rFonts w:ascii="Arial" w:hAnsi="Arial" w:cs="Arial"/>
          <w:sz w:val="24"/>
          <w:szCs w:val="24"/>
        </w:rPr>
      </w:pPr>
    </w:p>
    <w:p w:rsidR="00BE4D5A" w:rsidRPr="00336373" w:rsidRDefault="00BE4D5A" w:rsidP="00BE4D5A">
      <w:pPr>
        <w:pStyle w:val="NoSpacing"/>
        <w:ind w:left="720"/>
        <w:rPr>
          <w:rFonts w:ascii="Arial" w:hAnsi="Arial" w:cs="Arial"/>
          <w:i/>
          <w:sz w:val="24"/>
          <w:szCs w:val="24"/>
        </w:rPr>
      </w:pPr>
      <w:r w:rsidRPr="00336373">
        <w:rPr>
          <w:rFonts w:ascii="Arial" w:hAnsi="Arial" w:cs="Arial"/>
          <w:i/>
          <w:sz w:val="24"/>
          <w:szCs w:val="24"/>
        </w:rPr>
        <w:t>The strategy is focused on 4 main themes;</w:t>
      </w:r>
    </w:p>
    <w:p w:rsidR="00BE4D5A" w:rsidRDefault="00BE4D5A" w:rsidP="00BE4D5A">
      <w:pPr>
        <w:pStyle w:val="NoSpacing"/>
        <w:ind w:left="720"/>
        <w:rPr>
          <w:rFonts w:ascii="Arial" w:hAnsi="Arial" w:cs="Arial"/>
          <w:sz w:val="24"/>
          <w:szCs w:val="24"/>
        </w:rPr>
      </w:pPr>
    </w:p>
    <w:p w:rsidR="00BE4D5A" w:rsidRDefault="00BE4D5A" w:rsidP="00BE4D5A">
      <w:pPr>
        <w:pStyle w:val="NoSpacing"/>
        <w:numPr>
          <w:ilvl w:val="0"/>
          <w:numId w:val="10"/>
        </w:numPr>
        <w:rPr>
          <w:rFonts w:ascii="Arial" w:hAnsi="Arial" w:cs="Arial"/>
          <w:sz w:val="24"/>
          <w:szCs w:val="24"/>
        </w:rPr>
      </w:pPr>
      <w:r>
        <w:rPr>
          <w:rFonts w:ascii="Arial" w:hAnsi="Arial" w:cs="Arial"/>
          <w:sz w:val="24"/>
          <w:szCs w:val="24"/>
        </w:rPr>
        <w:t>Tackling county lines &amp; misuse of drugs</w:t>
      </w:r>
    </w:p>
    <w:p w:rsidR="00BE4D5A" w:rsidRDefault="00BE4D5A" w:rsidP="00BE4D5A">
      <w:pPr>
        <w:pStyle w:val="NoSpacing"/>
        <w:numPr>
          <w:ilvl w:val="0"/>
          <w:numId w:val="10"/>
        </w:numPr>
        <w:rPr>
          <w:rFonts w:ascii="Arial" w:hAnsi="Arial" w:cs="Arial"/>
          <w:sz w:val="24"/>
          <w:szCs w:val="24"/>
        </w:rPr>
      </w:pPr>
      <w:r>
        <w:rPr>
          <w:rFonts w:ascii="Arial" w:hAnsi="Arial" w:cs="Arial"/>
          <w:sz w:val="24"/>
          <w:szCs w:val="24"/>
        </w:rPr>
        <w:t>Early intervention &amp; prevention</w:t>
      </w:r>
    </w:p>
    <w:p w:rsidR="00BE4D5A" w:rsidRDefault="00BE4D5A" w:rsidP="00BE4D5A">
      <w:pPr>
        <w:pStyle w:val="NoSpacing"/>
        <w:numPr>
          <w:ilvl w:val="0"/>
          <w:numId w:val="10"/>
        </w:numPr>
        <w:rPr>
          <w:rFonts w:ascii="Arial" w:hAnsi="Arial" w:cs="Arial"/>
          <w:sz w:val="24"/>
          <w:szCs w:val="24"/>
        </w:rPr>
      </w:pPr>
      <w:r>
        <w:rPr>
          <w:rFonts w:ascii="Arial" w:hAnsi="Arial" w:cs="Arial"/>
          <w:sz w:val="24"/>
          <w:szCs w:val="24"/>
        </w:rPr>
        <w:t>Supporting communities &amp; local partnerships</w:t>
      </w:r>
    </w:p>
    <w:p w:rsidR="00BE4D5A" w:rsidRDefault="00BE4D5A" w:rsidP="00BE4D5A">
      <w:pPr>
        <w:pStyle w:val="NoSpacing"/>
        <w:numPr>
          <w:ilvl w:val="0"/>
          <w:numId w:val="10"/>
        </w:numPr>
        <w:rPr>
          <w:rFonts w:ascii="Arial" w:hAnsi="Arial" w:cs="Arial"/>
          <w:sz w:val="24"/>
          <w:szCs w:val="24"/>
        </w:rPr>
      </w:pPr>
      <w:r>
        <w:rPr>
          <w:rFonts w:ascii="Arial" w:hAnsi="Arial" w:cs="Arial"/>
          <w:sz w:val="24"/>
          <w:szCs w:val="24"/>
        </w:rPr>
        <w:t>Law enforcement &amp; the Criminal Justice response</w:t>
      </w:r>
    </w:p>
    <w:p w:rsidR="00BE4D5A" w:rsidRDefault="00BE4D5A" w:rsidP="00BE4D5A">
      <w:pPr>
        <w:pStyle w:val="NoSpacing"/>
        <w:ind w:left="709"/>
        <w:rPr>
          <w:rFonts w:ascii="Arial" w:hAnsi="Arial" w:cs="Arial"/>
          <w:sz w:val="24"/>
          <w:szCs w:val="24"/>
        </w:rPr>
      </w:pPr>
    </w:p>
    <w:p w:rsidR="00BE4D5A" w:rsidRPr="00902A14" w:rsidRDefault="00BE4D5A" w:rsidP="00BE4D5A">
      <w:pPr>
        <w:pStyle w:val="NoSpacing"/>
        <w:ind w:left="709"/>
        <w:rPr>
          <w:rFonts w:ascii="Arial" w:hAnsi="Arial" w:cs="Arial"/>
          <w:i/>
          <w:sz w:val="24"/>
          <w:szCs w:val="24"/>
        </w:rPr>
      </w:pPr>
      <w:r w:rsidRPr="00902A14">
        <w:rPr>
          <w:rFonts w:ascii="Arial" w:hAnsi="Arial" w:cs="Arial"/>
          <w:i/>
          <w:sz w:val="24"/>
          <w:szCs w:val="24"/>
        </w:rPr>
        <w:t>The Home Office also announced;</w:t>
      </w:r>
    </w:p>
    <w:p w:rsidR="00BE4D5A" w:rsidRDefault="00BE4D5A" w:rsidP="00BE4D5A">
      <w:pPr>
        <w:pStyle w:val="NoSpacing"/>
        <w:ind w:left="709"/>
        <w:rPr>
          <w:rFonts w:ascii="Arial" w:hAnsi="Arial" w:cs="Arial"/>
          <w:sz w:val="24"/>
          <w:szCs w:val="24"/>
        </w:rPr>
      </w:pPr>
    </w:p>
    <w:p w:rsidR="00BE4D5A" w:rsidRDefault="00BE4D5A" w:rsidP="00BE4D5A">
      <w:pPr>
        <w:pStyle w:val="NoSpacing"/>
        <w:numPr>
          <w:ilvl w:val="0"/>
          <w:numId w:val="12"/>
        </w:numPr>
        <w:rPr>
          <w:rFonts w:ascii="Arial" w:hAnsi="Arial" w:cs="Arial"/>
          <w:sz w:val="24"/>
          <w:szCs w:val="24"/>
        </w:rPr>
      </w:pPr>
      <w:r>
        <w:rPr>
          <w:rFonts w:ascii="Arial" w:hAnsi="Arial" w:cs="Arial"/>
          <w:sz w:val="24"/>
          <w:szCs w:val="24"/>
        </w:rPr>
        <w:t>The development of a National County Lines Co-ordination Centre.</w:t>
      </w:r>
    </w:p>
    <w:p w:rsidR="00BE4D5A" w:rsidRDefault="00BE4D5A" w:rsidP="00BE4D5A">
      <w:pPr>
        <w:pStyle w:val="NoSpacing"/>
        <w:numPr>
          <w:ilvl w:val="0"/>
          <w:numId w:val="12"/>
        </w:numPr>
        <w:rPr>
          <w:rFonts w:ascii="Arial" w:hAnsi="Arial" w:cs="Arial"/>
          <w:sz w:val="24"/>
          <w:szCs w:val="24"/>
        </w:rPr>
      </w:pPr>
      <w:r>
        <w:rPr>
          <w:rFonts w:ascii="Arial" w:hAnsi="Arial" w:cs="Arial"/>
          <w:sz w:val="24"/>
          <w:szCs w:val="24"/>
        </w:rPr>
        <w:t>Early Intervention Youth Fund</w:t>
      </w:r>
    </w:p>
    <w:p w:rsidR="00BE4D5A" w:rsidRDefault="00BE4D5A" w:rsidP="00BE4D5A">
      <w:pPr>
        <w:pStyle w:val="NoSpacing"/>
        <w:numPr>
          <w:ilvl w:val="0"/>
          <w:numId w:val="12"/>
        </w:numPr>
        <w:rPr>
          <w:rFonts w:ascii="Arial" w:hAnsi="Arial" w:cs="Arial"/>
          <w:sz w:val="24"/>
          <w:szCs w:val="24"/>
        </w:rPr>
      </w:pPr>
      <w:r>
        <w:rPr>
          <w:rFonts w:ascii="Arial" w:hAnsi="Arial" w:cs="Arial"/>
          <w:sz w:val="24"/>
          <w:szCs w:val="24"/>
        </w:rPr>
        <w:t xml:space="preserve">The creation of a cross sector </w:t>
      </w:r>
      <w:r w:rsidR="0066625B">
        <w:rPr>
          <w:rFonts w:ascii="Arial" w:hAnsi="Arial" w:cs="Arial"/>
          <w:sz w:val="24"/>
          <w:szCs w:val="24"/>
        </w:rPr>
        <w:t>“</w:t>
      </w:r>
      <w:r>
        <w:rPr>
          <w:rFonts w:ascii="Arial" w:hAnsi="Arial" w:cs="Arial"/>
          <w:sz w:val="24"/>
          <w:szCs w:val="24"/>
        </w:rPr>
        <w:t>Serious Violence Taskforce</w:t>
      </w:r>
      <w:r w:rsidR="0066625B">
        <w:rPr>
          <w:rFonts w:ascii="Arial" w:hAnsi="Arial" w:cs="Arial"/>
          <w:sz w:val="24"/>
          <w:szCs w:val="24"/>
        </w:rPr>
        <w:t xml:space="preserve">”” </w:t>
      </w:r>
    </w:p>
    <w:p w:rsidR="00BE4D5A" w:rsidRDefault="00BE4D5A" w:rsidP="00BE4D5A">
      <w:pPr>
        <w:pStyle w:val="NoSpacing"/>
        <w:rPr>
          <w:rFonts w:ascii="Arial" w:hAnsi="Arial" w:cs="Arial"/>
          <w:sz w:val="24"/>
          <w:szCs w:val="24"/>
        </w:rPr>
      </w:pPr>
    </w:p>
    <w:p w:rsidR="00902A14" w:rsidRDefault="00902A14" w:rsidP="00BE4D5A">
      <w:pPr>
        <w:pStyle w:val="NoSpacing"/>
        <w:ind w:left="709"/>
        <w:rPr>
          <w:rFonts w:ascii="Arial" w:hAnsi="Arial" w:cs="Arial"/>
          <w:sz w:val="24"/>
          <w:szCs w:val="24"/>
        </w:rPr>
      </w:pPr>
    </w:p>
    <w:p w:rsidR="003832A4" w:rsidRDefault="003832A4" w:rsidP="00BE4D5A">
      <w:pPr>
        <w:pStyle w:val="NoSpacing"/>
        <w:ind w:left="709"/>
        <w:rPr>
          <w:rFonts w:ascii="Arial" w:hAnsi="Arial" w:cs="Arial"/>
          <w:sz w:val="24"/>
          <w:szCs w:val="24"/>
        </w:rPr>
      </w:pPr>
      <w:r>
        <w:rPr>
          <w:rFonts w:ascii="Arial" w:hAnsi="Arial" w:cs="Arial"/>
          <w:sz w:val="24"/>
          <w:szCs w:val="24"/>
        </w:rPr>
        <w:t>In June 2018, the Safe Essex Violence &amp; Vulnerability framework was approved</w:t>
      </w:r>
      <w:r w:rsidR="00E61B92">
        <w:rPr>
          <w:rFonts w:ascii="Arial" w:hAnsi="Arial" w:cs="Arial"/>
          <w:sz w:val="24"/>
          <w:szCs w:val="24"/>
        </w:rPr>
        <w:t>.</w:t>
      </w:r>
    </w:p>
    <w:p w:rsidR="00E61B92" w:rsidRDefault="00E61B92" w:rsidP="00BE4D5A">
      <w:pPr>
        <w:pStyle w:val="NoSpacing"/>
        <w:ind w:left="709"/>
        <w:rPr>
          <w:rFonts w:ascii="Arial" w:hAnsi="Arial" w:cs="Arial"/>
          <w:sz w:val="24"/>
          <w:szCs w:val="24"/>
        </w:rPr>
      </w:pPr>
    </w:p>
    <w:p w:rsidR="00E61B92" w:rsidRPr="00E61B92" w:rsidRDefault="00E61B92" w:rsidP="00BE4D5A">
      <w:pPr>
        <w:pStyle w:val="NoSpacing"/>
        <w:ind w:left="709"/>
        <w:rPr>
          <w:rFonts w:ascii="Arial" w:hAnsi="Arial" w:cs="Arial"/>
          <w:i/>
          <w:sz w:val="24"/>
          <w:szCs w:val="24"/>
        </w:rPr>
      </w:pPr>
      <w:r w:rsidRPr="00E61B92">
        <w:rPr>
          <w:rFonts w:ascii="Arial" w:hAnsi="Arial" w:cs="Arial"/>
          <w:i/>
          <w:sz w:val="24"/>
          <w:szCs w:val="24"/>
        </w:rPr>
        <w:t>The framework aims to;</w:t>
      </w:r>
    </w:p>
    <w:p w:rsidR="00E61B92" w:rsidRDefault="00E61B92" w:rsidP="00BE4D5A">
      <w:pPr>
        <w:pStyle w:val="NoSpacing"/>
        <w:ind w:left="709"/>
        <w:rPr>
          <w:rFonts w:ascii="Arial" w:hAnsi="Arial" w:cs="Arial"/>
          <w:sz w:val="24"/>
          <w:szCs w:val="24"/>
        </w:rPr>
      </w:pPr>
    </w:p>
    <w:p w:rsidR="00E61B92" w:rsidRDefault="00E61B92" w:rsidP="00E61B92">
      <w:pPr>
        <w:pStyle w:val="NoSpacing"/>
        <w:numPr>
          <w:ilvl w:val="0"/>
          <w:numId w:val="13"/>
        </w:numPr>
        <w:rPr>
          <w:rFonts w:ascii="Arial" w:hAnsi="Arial" w:cs="Arial"/>
          <w:sz w:val="24"/>
          <w:szCs w:val="24"/>
        </w:rPr>
      </w:pPr>
      <w:r>
        <w:rPr>
          <w:rFonts w:ascii="Arial" w:hAnsi="Arial" w:cs="Arial"/>
          <w:sz w:val="24"/>
          <w:szCs w:val="24"/>
        </w:rPr>
        <w:t>I</w:t>
      </w:r>
      <w:r w:rsidRPr="00E61B92">
        <w:rPr>
          <w:rFonts w:ascii="Arial" w:hAnsi="Arial" w:cs="Arial"/>
          <w:sz w:val="24"/>
          <w:szCs w:val="24"/>
        </w:rPr>
        <w:t>mprove visibility and awareness of partnership activity around violence and vulnerability</w:t>
      </w:r>
    </w:p>
    <w:p w:rsidR="00E61B92" w:rsidRPr="00E61B92" w:rsidRDefault="00E61B92" w:rsidP="00E61B92">
      <w:pPr>
        <w:pStyle w:val="NormalWeb"/>
        <w:numPr>
          <w:ilvl w:val="0"/>
          <w:numId w:val="13"/>
        </w:numPr>
        <w:rPr>
          <w:rFonts w:ascii="Arial" w:hAnsi="Arial" w:cs="Arial"/>
        </w:rPr>
      </w:pPr>
      <w:r w:rsidRPr="00E61B92">
        <w:rPr>
          <w:rFonts w:ascii="Arial" w:hAnsi="Arial" w:cs="Arial"/>
        </w:rPr>
        <w:t>Increase the occurrence and effectiveness of prevention and intervention activities</w:t>
      </w:r>
    </w:p>
    <w:p w:rsidR="00E61B92" w:rsidRPr="00E61B92" w:rsidRDefault="00E61B92" w:rsidP="00E61B92">
      <w:pPr>
        <w:pStyle w:val="NormalWeb"/>
        <w:numPr>
          <w:ilvl w:val="0"/>
          <w:numId w:val="13"/>
        </w:numPr>
        <w:rPr>
          <w:rFonts w:ascii="Arial" w:hAnsi="Arial" w:cs="Arial"/>
        </w:rPr>
      </w:pPr>
      <w:r w:rsidRPr="00E61B92">
        <w:rPr>
          <w:rFonts w:ascii="Arial" w:hAnsi="Arial" w:cs="Arial"/>
        </w:rPr>
        <w:t>Identify opportunities to add value to existing and planned activities</w:t>
      </w:r>
    </w:p>
    <w:p w:rsidR="00E61B92" w:rsidRPr="00E61B92" w:rsidRDefault="00E61B92" w:rsidP="00E61B92">
      <w:pPr>
        <w:pStyle w:val="NoSpacing"/>
        <w:numPr>
          <w:ilvl w:val="0"/>
          <w:numId w:val="13"/>
        </w:numPr>
        <w:rPr>
          <w:rFonts w:ascii="Arial" w:hAnsi="Arial" w:cs="Arial"/>
          <w:sz w:val="24"/>
          <w:szCs w:val="24"/>
        </w:rPr>
      </w:pPr>
      <w:r w:rsidRPr="00E61B92">
        <w:rPr>
          <w:rFonts w:ascii="Arial" w:hAnsi="Arial" w:cs="Arial"/>
          <w:sz w:val="24"/>
          <w:szCs w:val="24"/>
        </w:rPr>
        <w:t>Identify gaps in current and planned activities</w:t>
      </w:r>
    </w:p>
    <w:p w:rsidR="00E61B92" w:rsidRPr="000335EB" w:rsidRDefault="00E61B92" w:rsidP="00E61B92">
      <w:pPr>
        <w:pStyle w:val="NormalWeb"/>
        <w:numPr>
          <w:ilvl w:val="0"/>
          <w:numId w:val="13"/>
        </w:numPr>
        <w:rPr>
          <w:rFonts w:ascii="Arial" w:hAnsi="Arial" w:cs="Arial"/>
        </w:rPr>
      </w:pPr>
      <w:r w:rsidRPr="00E61B92">
        <w:rPr>
          <w:rFonts w:ascii="Arial" w:hAnsi="Arial" w:cs="Arial"/>
        </w:rPr>
        <w:t>Highlight areas where cross-border and partnership working to be beneficial</w:t>
      </w:r>
    </w:p>
    <w:p w:rsidR="002E3DEF" w:rsidRDefault="002E3DEF" w:rsidP="00FF7F71">
      <w:pPr>
        <w:pStyle w:val="NoSpacing"/>
        <w:ind w:left="709"/>
        <w:rPr>
          <w:rFonts w:ascii="Arial" w:hAnsi="Arial" w:cs="Arial"/>
          <w:b/>
          <w:i/>
          <w:sz w:val="24"/>
          <w:szCs w:val="24"/>
        </w:rPr>
      </w:pPr>
    </w:p>
    <w:p w:rsidR="00FF7F71" w:rsidRPr="00825239" w:rsidRDefault="00FF7F71" w:rsidP="00FF7F71">
      <w:pPr>
        <w:pStyle w:val="NoSpacing"/>
        <w:ind w:left="709"/>
        <w:rPr>
          <w:rFonts w:ascii="Arial" w:hAnsi="Arial" w:cs="Arial"/>
          <w:b/>
          <w:i/>
          <w:sz w:val="24"/>
          <w:szCs w:val="24"/>
        </w:rPr>
      </w:pPr>
      <w:r w:rsidRPr="00825239">
        <w:rPr>
          <w:rFonts w:ascii="Arial" w:hAnsi="Arial" w:cs="Arial"/>
          <w:b/>
          <w:i/>
          <w:sz w:val="24"/>
          <w:szCs w:val="24"/>
        </w:rPr>
        <w:t>Current MSG position</w:t>
      </w:r>
      <w:r w:rsidR="001229A4">
        <w:rPr>
          <w:rStyle w:val="FootnoteReference"/>
          <w:rFonts w:ascii="Arial" w:hAnsi="Arial" w:cs="Arial"/>
          <w:b/>
          <w:i/>
          <w:sz w:val="24"/>
          <w:szCs w:val="24"/>
        </w:rPr>
        <w:footnoteReference w:id="1"/>
      </w:r>
    </w:p>
    <w:p w:rsidR="00FF7F71" w:rsidRDefault="00FF7F71" w:rsidP="00FF7F71">
      <w:pPr>
        <w:pStyle w:val="NoSpacing"/>
        <w:ind w:left="709"/>
        <w:rPr>
          <w:rFonts w:ascii="Arial" w:hAnsi="Arial" w:cs="Arial"/>
          <w:sz w:val="24"/>
          <w:szCs w:val="24"/>
        </w:rPr>
      </w:pPr>
    </w:p>
    <w:p w:rsidR="00FF7F71" w:rsidRPr="000335EB" w:rsidRDefault="00FF7F71" w:rsidP="00FF7F71">
      <w:pPr>
        <w:pStyle w:val="NoSpacing"/>
        <w:ind w:left="709"/>
        <w:rPr>
          <w:rFonts w:ascii="Arial" w:hAnsi="Arial" w:cs="Arial"/>
          <w:i/>
          <w:sz w:val="24"/>
          <w:szCs w:val="24"/>
        </w:rPr>
      </w:pPr>
      <w:r w:rsidRPr="000335EB">
        <w:rPr>
          <w:rFonts w:ascii="Arial" w:hAnsi="Arial" w:cs="Arial"/>
          <w:i/>
          <w:sz w:val="24"/>
          <w:szCs w:val="24"/>
        </w:rPr>
        <w:t>The below table gives the current (Sept 2018) position of VWI offences compared to our MSG</w:t>
      </w:r>
    </w:p>
    <w:p w:rsidR="00FF7F71" w:rsidRDefault="00FF7F71" w:rsidP="00FF7F71">
      <w:pPr>
        <w:pStyle w:val="NoSpacing"/>
        <w:ind w:left="709"/>
        <w:rPr>
          <w:rFonts w:ascii="Arial" w:hAnsi="Arial" w:cs="Arial"/>
          <w:sz w:val="24"/>
          <w:szCs w:val="24"/>
        </w:rPr>
      </w:pPr>
    </w:p>
    <w:tbl>
      <w:tblPr>
        <w:tblW w:w="7120" w:type="dxa"/>
        <w:jc w:val="center"/>
        <w:tblLook w:val="04A0" w:firstRow="1" w:lastRow="0" w:firstColumn="1" w:lastColumn="0" w:noHBand="0" w:noVBand="1"/>
      </w:tblPr>
      <w:tblGrid>
        <w:gridCol w:w="3800"/>
        <w:gridCol w:w="1120"/>
        <w:gridCol w:w="1120"/>
        <w:gridCol w:w="1080"/>
      </w:tblGrid>
      <w:tr w:rsidR="00FF7F71" w:rsidRPr="00FF7F71" w:rsidTr="00FF7F71">
        <w:trPr>
          <w:trHeight w:val="870"/>
          <w:jc w:val="center"/>
        </w:trPr>
        <w:tc>
          <w:tcPr>
            <w:tcW w:w="3800" w:type="dxa"/>
            <w:tcBorders>
              <w:top w:val="single" w:sz="4" w:space="0" w:color="1F497D"/>
              <w:left w:val="single" w:sz="4" w:space="0" w:color="1F497D"/>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High Harm Offences per 1,000 pop.</w:t>
            </w:r>
          </w:p>
        </w:tc>
        <w:tc>
          <w:tcPr>
            <w:tcW w:w="1120" w:type="dxa"/>
            <w:tcBorders>
              <w:top w:val="single" w:sz="4" w:space="0" w:color="1F497D"/>
              <w:left w:val="nil"/>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Essex</w:t>
            </w:r>
          </w:p>
        </w:tc>
        <w:tc>
          <w:tcPr>
            <w:tcW w:w="1120" w:type="dxa"/>
            <w:tcBorders>
              <w:top w:val="single" w:sz="4" w:space="0" w:color="1F497D"/>
              <w:left w:val="nil"/>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MSG Ave</w:t>
            </w:r>
          </w:p>
        </w:tc>
        <w:tc>
          <w:tcPr>
            <w:tcW w:w="1080" w:type="dxa"/>
            <w:tcBorders>
              <w:top w:val="single" w:sz="4" w:space="0" w:color="1F497D"/>
              <w:left w:val="nil"/>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 diff.</w:t>
            </w:r>
          </w:p>
        </w:tc>
      </w:tr>
      <w:tr w:rsidR="00FF7F71" w:rsidRPr="00FF7F71" w:rsidTr="00FF7F71">
        <w:trPr>
          <w:trHeight w:val="290"/>
          <w:jc w:val="center"/>
        </w:trPr>
        <w:tc>
          <w:tcPr>
            <w:tcW w:w="3800" w:type="dxa"/>
            <w:tcBorders>
              <w:top w:val="nil"/>
              <w:left w:val="single" w:sz="4" w:space="0" w:color="1F497D"/>
              <w:bottom w:val="single" w:sz="4" w:space="0" w:color="1F497D"/>
              <w:right w:val="single" w:sz="4" w:space="0" w:color="1F497D"/>
            </w:tcBorders>
            <w:shd w:val="clear" w:color="auto" w:fill="auto"/>
            <w:noWrap/>
            <w:hideMark/>
          </w:tcPr>
          <w:p w:rsidR="00FF7F71" w:rsidRPr="00FF7F71" w:rsidRDefault="00FF7F71" w:rsidP="00FF7F71">
            <w:pPr>
              <w:spacing w:after="0" w:line="240" w:lineRule="auto"/>
              <w:rPr>
                <w:rFonts w:ascii="Calibri" w:eastAsia="Times New Roman" w:hAnsi="Calibri" w:cs="Calibri"/>
                <w:color w:val="1F497D"/>
                <w:lang w:eastAsia="en-GB"/>
              </w:rPr>
            </w:pPr>
            <w:r w:rsidRPr="00FF7F71">
              <w:rPr>
                <w:rFonts w:ascii="Calibri" w:eastAsia="Times New Roman" w:hAnsi="Calibri" w:cs="Calibri"/>
                <w:color w:val="1F497D"/>
                <w:lang w:eastAsia="en-GB"/>
              </w:rPr>
              <w:t>Violence with Injury</w:t>
            </w:r>
          </w:p>
        </w:tc>
        <w:tc>
          <w:tcPr>
            <w:tcW w:w="112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7.7</w:t>
            </w:r>
          </w:p>
        </w:tc>
        <w:tc>
          <w:tcPr>
            <w:tcW w:w="112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8.4</w:t>
            </w:r>
          </w:p>
        </w:tc>
        <w:tc>
          <w:tcPr>
            <w:tcW w:w="108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-0.7</w:t>
            </w:r>
          </w:p>
        </w:tc>
      </w:tr>
      <w:tr w:rsidR="00FF7F71" w:rsidRPr="00FF7F71" w:rsidTr="00FF7F71">
        <w:trPr>
          <w:trHeight w:val="290"/>
          <w:jc w:val="center"/>
        </w:trPr>
        <w:tc>
          <w:tcPr>
            <w:tcW w:w="3800" w:type="dxa"/>
            <w:tcBorders>
              <w:top w:val="nil"/>
              <w:left w:val="single" w:sz="4" w:space="0" w:color="1F497D"/>
              <w:bottom w:val="single" w:sz="4" w:space="0" w:color="1F497D"/>
              <w:right w:val="single" w:sz="4" w:space="0" w:color="1F497D"/>
            </w:tcBorders>
            <w:shd w:val="clear" w:color="auto" w:fill="auto"/>
            <w:noWrap/>
            <w:hideMark/>
          </w:tcPr>
          <w:p w:rsidR="00FF7F71" w:rsidRPr="00FF7F71" w:rsidRDefault="00FF7F71" w:rsidP="00FF7F71">
            <w:pPr>
              <w:spacing w:after="0" w:line="240" w:lineRule="auto"/>
              <w:rPr>
                <w:rFonts w:ascii="Calibri" w:eastAsia="Times New Roman" w:hAnsi="Calibri" w:cs="Calibri"/>
                <w:color w:val="1F497D"/>
                <w:lang w:eastAsia="en-GB"/>
              </w:rPr>
            </w:pPr>
            <w:r w:rsidRPr="00FF7F71">
              <w:rPr>
                <w:rFonts w:ascii="Calibri" w:eastAsia="Times New Roman" w:hAnsi="Calibri" w:cs="Calibri"/>
                <w:color w:val="1F497D"/>
                <w:lang w:eastAsia="en-GB"/>
              </w:rPr>
              <w:t>Robbery of Personal Property</w:t>
            </w:r>
          </w:p>
        </w:tc>
        <w:tc>
          <w:tcPr>
            <w:tcW w:w="112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0.8</w:t>
            </w:r>
          </w:p>
        </w:tc>
        <w:tc>
          <w:tcPr>
            <w:tcW w:w="112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0.6</w:t>
            </w:r>
          </w:p>
        </w:tc>
        <w:tc>
          <w:tcPr>
            <w:tcW w:w="108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0.2</w:t>
            </w:r>
          </w:p>
        </w:tc>
      </w:tr>
    </w:tbl>
    <w:p w:rsidR="00FF7F71" w:rsidRPr="008F70AF" w:rsidRDefault="00FF7F71" w:rsidP="00FF7F71">
      <w:pPr>
        <w:pStyle w:val="NoSpacing"/>
        <w:ind w:left="709"/>
        <w:rPr>
          <w:rFonts w:ascii="Arial" w:hAnsi="Arial" w:cs="Arial"/>
          <w:sz w:val="24"/>
          <w:szCs w:val="24"/>
        </w:rPr>
      </w:pPr>
    </w:p>
    <w:p w:rsidR="00FF7F71" w:rsidRDefault="00FF7F71" w:rsidP="007D3E9B">
      <w:pPr>
        <w:spacing w:after="0" w:line="240" w:lineRule="auto"/>
        <w:ind w:left="709"/>
        <w:rPr>
          <w:rFonts w:ascii="Arial" w:hAnsi="Arial" w:cs="Arial"/>
          <w:sz w:val="24"/>
          <w:szCs w:val="24"/>
        </w:rPr>
      </w:pPr>
      <w:r>
        <w:rPr>
          <w:rFonts w:ascii="Arial" w:hAnsi="Arial" w:cs="Arial"/>
          <w:sz w:val="24"/>
          <w:szCs w:val="24"/>
        </w:rPr>
        <w:t xml:space="preserve">Currently, Essex is performing slightly better than the MSG average for high harm offences per 1,000 population. </w:t>
      </w:r>
    </w:p>
    <w:p w:rsidR="00FF7F71" w:rsidRDefault="00FF7F71" w:rsidP="007D3E9B">
      <w:pPr>
        <w:spacing w:after="0" w:line="240" w:lineRule="auto"/>
        <w:ind w:left="709"/>
        <w:rPr>
          <w:rFonts w:ascii="Arial" w:hAnsi="Arial" w:cs="Arial"/>
          <w:sz w:val="24"/>
          <w:szCs w:val="24"/>
        </w:rPr>
      </w:pPr>
    </w:p>
    <w:p w:rsidR="002E3DEF" w:rsidRDefault="002E3DEF" w:rsidP="007D3E9B">
      <w:pPr>
        <w:spacing w:after="0" w:line="240" w:lineRule="auto"/>
        <w:ind w:left="709"/>
        <w:rPr>
          <w:rFonts w:ascii="Arial" w:hAnsi="Arial" w:cs="Arial"/>
          <w:i/>
          <w:sz w:val="24"/>
          <w:szCs w:val="24"/>
        </w:rPr>
      </w:pPr>
    </w:p>
    <w:p w:rsidR="002E3DEF" w:rsidRDefault="002E3DEF" w:rsidP="007D3E9B">
      <w:pPr>
        <w:spacing w:after="0" w:line="240" w:lineRule="auto"/>
        <w:ind w:left="709"/>
        <w:rPr>
          <w:rFonts w:ascii="Arial" w:hAnsi="Arial" w:cs="Arial"/>
          <w:i/>
          <w:sz w:val="24"/>
          <w:szCs w:val="24"/>
        </w:rPr>
      </w:pPr>
    </w:p>
    <w:p w:rsidR="00FF7F71" w:rsidRPr="00825239" w:rsidRDefault="00FF7F71" w:rsidP="007D3E9B">
      <w:pPr>
        <w:spacing w:after="0" w:line="240" w:lineRule="auto"/>
        <w:ind w:left="709"/>
        <w:rPr>
          <w:rFonts w:ascii="Arial" w:hAnsi="Arial" w:cs="Arial"/>
          <w:i/>
          <w:sz w:val="24"/>
          <w:szCs w:val="24"/>
        </w:rPr>
      </w:pPr>
      <w:r w:rsidRPr="00825239">
        <w:rPr>
          <w:rFonts w:ascii="Arial" w:hAnsi="Arial" w:cs="Arial"/>
          <w:i/>
          <w:sz w:val="24"/>
          <w:szCs w:val="24"/>
        </w:rPr>
        <w:t xml:space="preserve">The below chart provides comparative of </w:t>
      </w:r>
      <w:r w:rsidR="00825239">
        <w:rPr>
          <w:rFonts w:ascii="Arial" w:hAnsi="Arial" w:cs="Arial"/>
          <w:i/>
          <w:sz w:val="24"/>
          <w:szCs w:val="24"/>
        </w:rPr>
        <w:t xml:space="preserve">offences per 1000 population </w:t>
      </w:r>
      <w:r w:rsidRPr="00825239">
        <w:rPr>
          <w:rFonts w:ascii="Arial" w:hAnsi="Arial" w:cs="Arial"/>
          <w:i/>
          <w:sz w:val="24"/>
          <w:szCs w:val="24"/>
        </w:rPr>
        <w:t>2017 v 2018</w:t>
      </w:r>
    </w:p>
    <w:p w:rsidR="00FF7F71" w:rsidRDefault="00FF7F71" w:rsidP="007D3E9B">
      <w:pPr>
        <w:spacing w:after="0" w:line="240" w:lineRule="auto"/>
        <w:ind w:left="709"/>
        <w:rPr>
          <w:rFonts w:ascii="Arial" w:hAnsi="Arial" w:cs="Arial"/>
          <w:sz w:val="24"/>
          <w:szCs w:val="24"/>
        </w:rPr>
      </w:pPr>
    </w:p>
    <w:tbl>
      <w:tblPr>
        <w:tblW w:w="8703" w:type="dxa"/>
        <w:tblInd w:w="704" w:type="dxa"/>
        <w:tblLook w:val="04A0" w:firstRow="1" w:lastRow="0" w:firstColumn="1" w:lastColumn="0" w:noHBand="0" w:noVBand="1"/>
      </w:tblPr>
      <w:tblGrid>
        <w:gridCol w:w="2948"/>
        <w:gridCol w:w="940"/>
        <w:gridCol w:w="940"/>
        <w:gridCol w:w="940"/>
        <w:gridCol w:w="977"/>
        <w:gridCol w:w="981"/>
        <w:gridCol w:w="977"/>
      </w:tblGrid>
      <w:tr w:rsidR="00FF7F71" w:rsidRPr="00FF7F71" w:rsidTr="002E3DEF">
        <w:trPr>
          <w:trHeight w:val="772"/>
        </w:trPr>
        <w:tc>
          <w:tcPr>
            <w:tcW w:w="2948" w:type="dxa"/>
            <w:tcBorders>
              <w:top w:val="single" w:sz="4" w:space="0" w:color="1F497D"/>
              <w:left w:val="single" w:sz="4" w:space="0" w:color="1F497D"/>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lastRenderedPageBreak/>
              <w:t>High Harm Offences</w:t>
            </w:r>
          </w:p>
        </w:tc>
        <w:tc>
          <w:tcPr>
            <w:tcW w:w="940" w:type="dxa"/>
            <w:tcBorders>
              <w:top w:val="single" w:sz="4" w:space="0" w:color="1F497D"/>
              <w:left w:val="nil"/>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2017</w:t>
            </w:r>
          </w:p>
        </w:tc>
        <w:tc>
          <w:tcPr>
            <w:tcW w:w="940" w:type="dxa"/>
            <w:tcBorders>
              <w:top w:val="single" w:sz="4" w:space="0" w:color="1F497D"/>
              <w:left w:val="nil"/>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2018</w:t>
            </w:r>
          </w:p>
        </w:tc>
        <w:tc>
          <w:tcPr>
            <w:tcW w:w="940" w:type="dxa"/>
            <w:tcBorders>
              <w:top w:val="single" w:sz="4" w:space="0" w:color="1F497D"/>
              <w:left w:val="nil"/>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 diff.</w:t>
            </w:r>
          </w:p>
        </w:tc>
        <w:tc>
          <w:tcPr>
            <w:tcW w:w="977" w:type="dxa"/>
            <w:tcBorders>
              <w:top w:val="single" w:sz="4" w:space="0" w:color="1F497D"/>
              <w:left w:val="nil"/>
              <w:bottom w:val="single" w:sz="4" w:space="0" w:color="1F497D"/>
              <w:right w:val="single" w:sz="4" w:space="0" w:color="1F497D"/>
            </w:tcBorders>
            <w:shd w:val="clear" w:color="000000" w:fill="1F497D"/>
            <w:noWrap/>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 diff.</w:t>
            </w:r>
          </w:p>
        </w:tc>
        <w:tc>
          <w:tcPr>
            <w:tcW w:w="981" w:type="dxa"/>
            <w:tcBorders>
              <w:top w:val="nil"/>
              <w:left w:val="nil"/>
              <w:bottom w:val="nil"/>
              <w:right w:val="nil"/>
            </w:tcBorders>
            <w:shd w:val="clear" w:color="000000" w:fill="1F497D"/>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MSG Ave. Increase</w:t>
            </w:r>
          </w:p>
        </w:tc>
        <w:tc>
          <w:tcPr>
            <w:tcW w:w="977" w:type="dxa"/>
            <w:tcBorders>
              <w:top w:val="single" w:sz="4" w:space="0" w:color="1F497D"/>
              <w:left w:val="single" w:sz="4" w:space="0" w:color="1F497D"/>
              <w:bottom w:val="single" w:sz="4" w:space="0" w:color="1F497D"/>
              <w:right w:val="single" w:sz="4" w:space="0" w:color="1F497D"/>
            </w:tcBorders>
            <w:shd w:val="clear" w:color="000000" w:fill="1F497D"/>
            <w:hideMark/>
          </w:tcPr>
          <w:p w:rsidR="00FF7F71" w:rsidRPr="00FF7F71" w:rsidRDefault="00FF7F71" w:rsidP="00FF7F71">
            <w:pPr>
              <w:spacing w:after="0" w:line="240" w:lineRule="auto"/>
              <w:jc w:val="center"/>
              <w:rPr>
                <w:rFonts w:ascii="Calibri" w:eastAsia="Times New Roman" w:hAnsi="Calibri" w:cs="Calibri"/>
                <w:b/>
                <w:bCs/>
                <w:color w:val="FFFFFF"/>
                <w:lang w:eastAsia="en-GB"/>
              </w:rPr>
            </w:pPr>
            <w:r w:rsidRPr="00FF7F71">
              <w:rPr>
                <w:rFonts w:ascii="Calibri" w:eastAsia="Times New Roman" w:hAnsi="Calibri" w:cs="Calibri"/>
                <w:b/>
                <w:bCs/>
                <w:color w:val="FFFFFF"/>
                <w:lang w:eastAsia="en-GB"/>
              </w:rPr>
              <w:t>MSG v. Force Diff.</w:t>
            </w:r>
          </w:p>
        </w:tc>
      </w:tr>
      <w:tr w:rsidR="00FF7F71" w:rsidRPr="00FF7F71" w:rsidTr="002E3DEF">
        <w:trPr>
          <w:trHeight w:val="257"/>
        </w:trPr>
        <w:tc>
          <w:tcPr>
            <w:tcW w:w="2948" w:type="dxa"/>
            <w:tcBorders>
              <w:top w:val="nil"/>
              <w:left w:val="single" w:sz="4" w:space="0" w:color="1F497D"/>
              <w:bottom w:val="single" w:sz="4" w:space="0" w:color="1F497D"/>
              <w:right w:val="single" w:sz="4" w:space="0" w:color="1F497D"/>
            </w:tcBorders>
            <w:shd w:val="clear" w:color="auto" w:fill="auto"/>
            <w:noWrap/>
            <w:hideMark/>
          </w:tcPr>
          <w:p w:rsidR="00FF7F71" w:rsidRPr="00FF7F71" w:rsidRDefault="00FF7F71" w:rsidP="00FF7F71">
            <w:pPr>
              <w:spacing w:after="0" w:line="240" w:lineRule="auto"/>
              <w:rPr>
                <w:rFonts w:ascii="Calibri" w:eastAsia="Times New Roman" w:hAnsi="Calibri" w:cs="Calibri"/>
                <w:b/>
                <w:bCs/>
                <w:color w:val="FF0000"/>
                <w:lang w:eastAsia="en-GB"/>
              </w:rPr>
            </w:pPr>
            <w:r w:rsidRPr="00FF7F71">
              <w:rPr>
                <w:rFonts w:ascii="Calibri" w:eastAsia="Times New Roman" w:hAnsi="Calibri" w:cs="Calibri"/>
                <w:b/>
                <w:bCs/>
                <w:color w:val="FF0000"/>
                <w:lang w:eastAsia="en-GB"/>
              </w:rPr>
              <w:t>Redline Measure</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25,149</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25,484</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335</w:t>
            </w:r>
          </w:p>
        </w:tc>
        <w:tc>
          <w:tcPr>
            <w:tcW w:w="977"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1.3%</w:t>
            </w:r>
          </w:p>
        </w:tc>
        <w:tc>
          <w:tcPr>
            <w:tcW w:w="981" w:type="dxa"/>
            <w:tcBorders>
              <w:top w:val="single" w:sz="4" w:space="0" w:color="1F497D"/>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7.7%</w:t>
            </w:r>
          </w:p>
        </w:tc>
        <w:tc>
          <w:tcPr>
            <w:tcW w:w="977"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-6.4%</w:t>
            </w:r>
          </w:p>
        </w:tc>
      </w:tr>
      <w:tr w:rsidR="00FF7F71" w:rsidRPr="00FF7F71" w:rsidTr="002E3DEF">
        <w:trPr>
          <w:trHeight w:val="257"/>
        </w:trPr>
        <w:tc>
          <w:tcPr>
            <w:tcW w:w="2948" w:type="dxa"/>
            <w:tcBorders>
              <w:top w:val="nil"/>
              <w:left w:val="single" w:sz="4" w:space="0" w:color="1F497D"/>
              <w:bottom w:val="single" w:sz="4" w:space="0" w:color="1F497D"/>
              <w:right w:val="single" w:sz="4" w:space="0" w:color="1F497D"/>
            </w:tcBorders>
            <w:shd w:val="clear" w:color="auto" w:fill="auto"/>
            <w:noWrap/>
            <w:hideMark/>
          </w:tcPr>
          <w:p w:rsidR="00FF7F71" w:rsidRPr="00FF7F71" w:rsidRDefault="00FF7F71" w:rsidP="00FF7F71">
            <w:pPr>
              <w:spacing w:after="0" w:line="240" w:lineRule="auto"/>
              <w:rPr>
                <w:rFonts w:ascii="Calibri" w:eastAsia="Times New Roman" w:hAnsi="Calibri" w:cs="Calibri"/>
                <w:color w:val="1F497D"/>
                <w:lang w:eastAsia="en-GB"/>
              </w:rPr>
            </w:pPr>
            <w:r w:rsidRPr="00FF7F71">
              <w:rPr>
                <w:rFonts w:ascii="Calibri" w:eastAsia="Times New Roman" w:hAnsi="Calibri" w:cs="Calibri"/>
                <w:color w:val="1F497D"/>
                <w:lang w:eastAsia="en-GB"/>
              </w:rPr>
              <w:t>Violence with Injury</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13,433</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13,835</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402</w:t>
            </w:r>
          </w:p>
        </w:tc>
        <w:tc>
          <w:tcPr>
            <w:tcW w:w="977"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3.0%</w:t>
            </w:r>
          </w:p>
        </w:tc>
        <w:tc>
          <w:tcPr>
            <w:tcW w:w="981"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8.6%</w:t>
            </w:r>
          </w:p>
        </w:tc>
        <w:tc>
          <w:tcPr>
            <w:tcW w:w="977"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-5.6%</w:t>
            </w:r>
          </w:p>
        </w:tc>
      </w:tr>
      <w:tr w:rsidR="00FF7F71" w:rsidRPr="00FF7F71" w:rsidTr="002E3DEF">
        <w:trPr>
          <w:trHeight w:val="257"/>
        </w:trPr>
        <w:tc>
          <w:tcPr>
            <w:tcW w:w="2948" w:type="dxa"/>
            <w:tcBorders>
              <w:top w:val="nil"/>
              <w:left w:val="single" w:sz="4" w:space="0" w:color="1F497D"/>
              <w:bottom w:val="single" w:sz="4" w:space="0" w:color="1F497D"/>
              <w:right w:val="single" w:sz="4" w:space="0" w:color="1F497D"/>
            </w:tcBorders>
            <w:shd w:val="clear" w:color="auto" w:fill="auto"/>
            <w:noWrap/>
            <w:hideMark/>
          </w:tcPr>
          <w:p w:rsidR="00FF7F71" w:rsidRPr="00FF7F71" w:rsidRDefault="00FF7F71" w:rsidP="00FF7F71">
            <w:pPr>
              <w:spacing w:after="0" w:line="240" w:lineRule="auto"/>
              <w:rPr>
                <w:rFonts w:ascii="Calibri" w:eastAsia="Times New Roman" w:hAnsi="Calibri" w:cs="Calibri"/>
                <w:color w:val="1F497D"/>
                <w:lang w:eastAsia="en-GB"/>
              </w:rPr>
            </w:pPr>
            <w:r w:rsidRPr="00FF7F71">
              <w:rPr>
                <w:rFonts w:ascii="Calibri" w:eastAsia="Times New Roman" w:hAnsi="Calibri" w:cs="Calibri"/>
                <w:color w:val="1F497D"/>
                <w:lang w:eastAsia="en-GB"/>
              </w:rPr>
              <w:t>Robbery of Personal Property</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1,284</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1,373</w:t>
            </w:r>
          </w:p>
        </w:tc>
        <w:tc>
          <w:tcPr>
            <w:tcW w:w="940"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89</w:t>
            </w:r>
          </w:p>
        </w:tc>
        <w:tc>
          <w:tcPr>
            <w:tcW w:w="977"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6.9%</w:t>
            </w:r>
          </w:p>
        </w:tc>
        <w:tc>
          <w:tcPr>
            <w:tcW w:w="981"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color w:val="1F497D"/>
                <w:lang w:eastAsia="en-GB"/>
              </w:rPr>
            </w:pPr>
            <w:r w:rsidRPr="00FF7F71">
              <w:rPr>
                <w:rFonts w:ascii="Calibri" w:eastAsia="Times New Roman" w:hAnsi="Calibri" w:cs="Calibri"/>
                <w:color w:val="1F497D"/>
                <w:lang w:eastAsia="en-GB"/>
              </w:rPr>
              <w:t>20.6%</w:t>
            </w:r>
          </w:p>
        </w:tc>
        <w:tc>
          <w:tcPr>
            <w:tcW w:w="977" w:type="dxa"/>
            <w:tcBorders>
              <w:top w:val="nil"/>
              <w:left w:val="nil"/>
              <w:bottom w:val="single" w:sz="4" w:space="0" w:color="1F497D"/>
              <w:right w:val="single" w:sz="4" w:space="0" w:color="1F497D"/>
            </w:tcBorders>
            <w:shd w:val="clear" w:color="auto" w:fill="auto"/>
            <w:noWrap/>
            <w:hideMark/>
          </w:tcPr>
          <w:p w:rsidR="00FF7F71" w:rsidRPr="00FF7F71" w:rsidRDefault="00FF7F71" w:rsidP="00FF7F71">
            <w:pPr>
              <w:spacing w:after="0" w:line="240" w:lineRule="auto"/>
              <w:jc w:val="center"/>
              <w:rPr>
                <w:rFonts w:ascii="Calibri" w:eastAsia="Times New Roman" w:hAnsi="Calibri" w:cs="Calibri"/>
                <w:b/>
                <w:bCs/>
                <w:color w:val="1F497D"/>
                <w:lang w:eastAsia="en-GB"/>
              </w:rPr>
            </w:pPr>
            <w:r w:rsidRPr="00FF7F71">
              <w:rPr>
                <w:rFonts w:ascii="Calibri" w:eastAsia="Times New Roman" w:hAnsi="Calibri" w:cs="Calibri"/>
                <w:b/>
                <w:bCs/>
                <w:color w:val="1F497D"/>
                <w:lang w:eastAsia="en-GB"/>
              </w:rPr>
              <w:t>-13.7%</w:t>
            </w:r>
          </w:p>
        </w:tc>
      </w:tr>
    </w:tbl>
    <w:p w:rsidR="00FF7F71" w:rsidRDefault="00FF7F71" w:rsidP="007D3E9B">
      <w:pPr>
        <w:spacing w:after="0" w:line="240" w:lineRule="auto"/>
        <w:ind w:left="709"/>
        <w:rPr>
          <w:rFonts w:ascii="Arial" w:hAnsi="Arial" w:cs="Arial"/>
          <w:sz w:val="24"/>
          <w:szCs w:val="24"/>
        </w:rPr>
      </w:pPr>
    </w:p>
    <w:p w:rsidR="00C654B8" w:rsidRDefault="00FF7F71" w:rsidP="00902A14">
      <w:pPr>
        <w:pStyle w:val="NoSpacing"/>
        <w:rPr>
          <w:rFonts w:ascii="Arial" w:hAnsi="Arial" w:cs="Arial"/>
          <w:sz w:val="24"/>
          <w:szCs w:val="24"/>
        </w:rPr>
      </w:pPr>
      <w:r>
        <w:rPr>
          <w:rFonts w:ascii="Arial" w:hAnsi="Arial" w:cs="Arial"/>
          <w:sz w:val="24"/>
          <w:szCs w:val="24"/>
        </w:rPr>
        <w:tab/>
      </w:r>
    </w:p>
    <w:p w:rsidR="00E61B92" w:rsidRDefault="00825239" w:rsidP="00825239">
      <w:pPr>
        <w:pStyle w:val="NoSpacing"/>
        <w:ind w:left="720"/>
        <w:rPr>
          <w:rFonts w:ascii="Arial" w:hAnsi="Arial" w:cs="Arial"/>
          <w:sz w:val="24"/>
          <w:szCs w:val="24"/>
        </w:rPr>
      </w:pPr>
      <w:r>
        <w:rPr>
          <w:rFonts w:ascii="Arial" w:hAnsi="Arial" w:cs="Arial"/>
          <w:sz w:val="24"/>
          <w:szCs w:val="24"/>
        </w:rPr>
        <w:t>As can be seen, Essex has had an increase compared to 2017, which is below the MSG average.</w:t>
      </w:r>
    </w:p>
    <w:p w:rsidR="00E61B92" w:rsidRDefault="00E61B92" w:rsidP="00902A14">
      <w:pPr>
        <w:pStyle w:val="NoSpacing"/>
        <w:rPr>
          <w:rFonts w:ascii="Arial" w:hAnsi="Arial" w:cs="Arial"/>
          <w:sz w:val="24"/>
          <w:szCs w:val="24"/>
        </w:rPr>
      </w:pPr>
    </w:p>
    <w:p w:rsidR="00E61B92" w:rsidRPr="00825239" w:rsidRDefault="00E61B92" w:rsidP="00902A14">
      <w:pPr>
        <w:pStyle w:val="NoSpacing"/>
        <w:rPr>
          <w:rFonts w:ascii="Arial" w:hAnsi="Arial" w:cs="Arial"/>
          <w:i/>
          <w:sz w:val="24"/>
          <w:szCs w:val="24"/>
        </w:rPr>
      </w:pPr>
    </w:p>
    <w:p w:rsidR="00825239" w:rsidRPr="00825239" w:rsidRDefault="00825239" w:rsidP="00902A14">
      <w:pPr>
        <w:pStyle w:val="NoSpacing"/>
        <w:rPr>
          <w:rFonts w:ascii="Arial" w:hAnsi="Arial" w:cs="Arial"/>
          <w:i/>
          <w:sz w:val="24"/>
          <w:szCs w:val="24"/>
        </w:rPr>
      </w:pPr>
      <w:r w:rsidRPr="00825239">
        <w:rPr>
          <w:rFonts w:ascii="Arial" w:hAnsi="Arial" w:cs="Arial"/>
          <w:i/>
          <w:sz w:val="24"/>
          <w:szCs w:val="24"/>
        </w:rPr>
        <w:tab/>
        <w:t>The below chart provides comparative of solved rate per 2017 v 2018</w:t>
      </w:r>
    </w:p>
    <w:p w:rsidR="00825239" w:rsidRDefault="00825239" w:rsidP="00902A14">
      <w:pPr>
        <w:pStyle w:val="NoSpacing"/>
        <w:rPr>
          <w:rFonts w:ascii="Arial" w:hAnsi="Arial" w:cs="Arial"/>
          <w:sz w:val="24"/>
          <w:szCs w:val="24"/>
        </w:rPr>
      </w:pPr>
    </w:p>
    <w:tbl>
      <w:tblPr>
        <w:tblW w:w="8647" w:type="dxa"/>
        <w:tblInd w:w="704" w:type="dxa"/>
        <w:tblLook w:val="04A0" w:firstRow="1" w:lastRow="0" w:firstColumn="1" w:lastColumn="0" w:noHBand="0" w:noVBand="1"/>
      </w:tblPr>
      <w:tblGrid>
        <w:gridCol w:w="3196"/>
        <w:gridCol w:w="1020"/>
        <w:gridCol w:w="1020"/>
        <w:gridCol w:w="1020"/>
        <w:gridCol w:w="1060"/>
        <w:gridCol w:w="1331"/>
      </w:tblGrid>
      <w:tr w:rsidR="00825239" w:rsidRPr="00825239" w:rsidTr="00825239">
        <w:trPr>
          <w:trHeight w:val="580"/>
        </w:trPr>
        <w:tc>
          <w:tcPr>
            <w:tcW w:w="3196" w:type="dxa"/>
            <w:tcBorders>
              <w:top w:val="single" w:sz="4" w:space="0" w:color="1F497D"/>
              <w:left w:val="single" w:sz="4" w:space="0" w:color="1F497D"/>
              <w:bottom w:val="single" w:sz="4" w:space="0" w:color="1F497D"/>
              <w:right w:val="single" w:sz="4" w:space="0" w:color="1F497D"/>
            </w:tcBorders>
            <w:shd w:val="clear" w:color="000000" w:fill="1F497D"/>
            <w:hideMark/>
          </w:tcPr>
          <w:p w:rsidR="00825239" w:rsidRPr="00825239" w:rsidRDefault="00825239" w:rsidP="00825239">
            <w:pPr>
              <w:spacing w:after="0" w:line="240" w:lineRule="auto"/>
              <w:rPr>
                <w:rFonts w:ascii="Calibri" w:eastAsia="Times New Roman" w:hAnsi="Calibri" w:cs="Calibri"/>
                <w:b/>
                <w:bCs/>
                <w:color w:val="FFFFFF"/>
                <w:lang w:eastAsia="en-GB"/>
              </w:rPr>
            </w:pPr>
            <w:r w:rsidRPr="00825239">
              <w:rPr>
                <w:rFonts w:ascii="Calibri" w:eastAsia="Times New Roman" w:hAnsi="Calibri" w:cs="Calibri"/>
                <w:b/>
                <w:bCs/>
                <w:color w:val="FFFFFF"/>
                <w:lang w:eastAsia="en-GB"/>
              </w:rPr>
              <w:t>High Harm Solved Rate</w:t>
            </w:r>
          </w:p>
        </w:tc>
        <w:tc>
          <w:tcPr>
            <w:tcW w:w="1020" w:type="dxa"/>
            <w:tcBorders>
              <w:top w:val="single" w:sz="4" w:space="0" w:color="1F497D"/>
              <w:left w:val="nil"/>
              <w:bottom w:val="single" w:sz="4" w:space="0" w:color="1F497D"/>
              <w:right w:val="single" w:sz="4" w:space="0" w:color="1F497D"/>
            </w:tcBorders>
            <w:shd w:val="clear" w:color="000000" w:fill="1F497D"/>
            <w:hideMark/>
          </w:tcPr>
          <w:p w:rsidR="00825239" w:rsidRPr="00825239" w:rsidRDefault="00825239" w:rsidP="00825239">
            <w:pPr>
              <w:spacing w:after="0" w:line="240" w:lineRule="auto"/>
              <w:jc w:val="center"/>
              <w:rPr>
                <w:rFonts w:ascii="Calibri" w:eastAsia="Times New Roman" w:hAnsi="Calibri" w:cs="Calibri"/>
                <w:b/>
                <w:bCs/>
                <w:color w:val="FFFFFF"/>
                <w:lang w:eastAsia="en-GB"/>
              </w:rPr>
            </w:pPr>
            <w:r w:rsidRPr="00825239">
              <w:rPr>
                <w:rFonts w:ascii="Calibri" w:eastAsia="Times New Roman" w:hAnsi="Calibri" w:cs="Calibri"/>
                <w:b/>
                <w:bCs/>
                <w:color w:val="FFFFFF"/>
                <w:lang w:eastAsia="en-GB"/>
              </w:rPr>
              <w:t>2017</w:t>
            </w:r>
          </w:p>
        </w:tc>
        <w:tc>
          <w:tcPr>
            <w:tcW w:w="1020" w:type="dxa"/>
            <w:tcBorders>
              <w:top w:val="single" w:sz="4" w:space="0" w:color="1F497D"/>
              <w:left w:val="nil"/>
              <w:bottom w:val="single" w:sz="4" w:space="0" w:color="1F497D"/>
              <w:right w:val="single" w:sz="4" w:space="0" w:color="1F497D"/>
            </w:tcBorders>
            <w:shd w:val="clear" w:color="000000" w:fill="1F497D"/>
            <w:hideMark/>
          </w:tcPr>
          <w:p w:rsidR="00825239" w:rsidRPr="00825239" w:rsidRDefault="00825239" w:rsidP="00825239">
            <w:pPr>
              <w:spacing w:after="0" w:line="240" w:lineRule="auto"/>
              <w:jc w:val="center"/>
              <w:rPr>
                <w:rFonts w:ascii="Calibri" w:eastAsia="Times New Roman" w:hAnsi="Calibri" w:cs="Calibri"/>
                <w:b/>
                <w:bCs/>
                <w:color w:val="FFFFFF"/>
                <w:lang w:eastAsia="en-GB"/>
              </w:rPr>
            </w:pPr>
            <w:r w:rsidRPr="00825239">
              <w:rPr>
                <w:rFonts w:ascii="Calibri" w:eastAsia="Times New Roman" w:hAnsi="Calibri" w:cs="Calibri"/>
                <w:b/>
                <w:bCs/>
                <w:color w:val="FFFFFF"/>
                <w:lang w:eastAsia="en-GB"/>
              </w:rPr>
              <w:t>2018</w:t>
            </w:r>
          </w:p>
        </w:tc>
        <w:tc>
          <w:tcPr>
            <w:tcW w:w="1020" w:type="dxa"/>
            <w:tcBorders>
              <w:top w:val="single" w:sz="4" w:space="0" w:color="1F497D"/>
              <w:left w:val="nil"/>
              <w:bottom w:val="single" w:sz="4" w:space="0" w:color="1F497D"/>
              <w:right w:val="single" w:sz="4" w:space="0" w:color="1F497D"/>
            </w:tcBorders>
            <w:shd w:val="clear" w:color="000000" w:fill="1F497D"/>
            <w:hideMark/>
          </w:tcPr>
          <w:p w:rsidR="00825239" w:rsidRPr="00825239" w:rsidRDefault="00825239" w:rsidP="00825239">
            <w:pPr>
              <w:spacing w:after="0" w:line="240" w:lineRule="auto"/>
              <w:jc w:val="center"/>
              <w:rPr>
                <w:rFonts w:ascii="Calibri" w:eastAsia="Times New Roman" w:hAnsi="Calibri" w:cs="Calibri"/>
                <w:b/>
                <w:bCs/>
                <w:color w:val="FFFFFF"/>
                <w:lang w:eastAsia="en-GB"/>
              </w:rPr>
            </w:pPr>
            <w:r w:rsidRPr="00825239">
              <w:rPr>
                <w:rFonts w:ascii="Calibri" w:eastAsia="Times New Roman" w:hAnsi="Calibri" w:cs="Calibri"/>
                <w:b/>
                <w:bCs/>
                <w:color w:val="FFFFFF"/>
                <w:lang w:eastAsia="en-GB"/>
              </w:rPr>
              <w:t>Yr. v. Yr Diff.</w:t>
            </w:r>
          </w:p>
        </w:tc>
        <w:tc>
          <w:tcPr>
            <w:tcW w:w="1060" w:type="dxa"/>
            <w:tcBorders>
              <w:top w:val="single" w:sz="4" w:space="0" w:color="1F497D"/>
              <w:left w:val="nil"/>
              <w:bottom w:val="single" w:sz="4" w:space="0" w:color="1F497D"/>
              <w:right w:val="single" w:sz="4" w:space="0" w:color="1F497D"/>
            </w:tcBorders>
            <w:shd w:val="clear" w:color="000000" w:fill="1F497D"/>
            <w:noWrap/>
            <w:hideMark/>
          </w:tcPr>
          <w:p w:rsidR="00825239" w:rsidRPr="00825239" w:rsidRDefault="00825239" w:rsidP="00825239">
            <w:pPr>
              <w:spacing w:after="0" w:line="240" w:lineRule="auto"/>
              <w:jc w:val="center"/>
              <w:rPr>
                <w:rFonts w:ascii="Calibri" w:eastAsia="Times New Roman" w:hAnsi="Calibri" w:cs="Calibri"/>
                <w:b/>
                <w:bCs/>
                <w:color w:val="FFFFFF"/>
                <w:lang w:eastAsia="en-GB"/>
              </w:rPr>
            </w:pPr>
            <w:r w:rsidRPr="00825239">
              <w:rPr>
                <w:rFonts w:ascii="Calibri" w:eastAsia="Times New Roman" w:hAnsi="Calibri" w:cs="Calibri"/>
                <w:b/>
                <w:bCs/>
                <w:color w:val="FFFFFF"/>
                <w:lang w:eastAsia="en-GB"/>
              </w:rPr>
              <w:t>MSG Ave</w:t>
            </w:r>
          </w:p>
        </w:tc>
        <w:tc>
          <w:tcPr>
            <w:tcW w:w="1331" w:type="dxa"/>
            <w:tcBorders>
              <w:top w:val="single" w:sz="4" w:space="0" w:color="1F497D"/>
              <w:left w:val="nil"/>
              <w:bottom w:val="single" w:sz="4" w:space="0" w:color="1F497D"/>
              <w:right w:val="single" w:sz="4" w:space="0" w:color="1F497D"/>
            </w:tcBorders>
            <w:shd w:val="clear" w:color="000000" w:fill="1F497D"/>
            <w:hideMark/>
          </w:tcPr>
          <w:p w:rsidR="00825239" w:rsidRPr="00825239" w:rsidRDefault="00825239" w:rsidP="00825239">
            <w:pPr>
              <w:spacing w:after="0" w:line="240" w:lineRule="auto"/>
              <w:jc w:val="center"/>
              <w:rPr>
                <w:rFonts w:ascii="Calibri" w:eastAsia="Times New Roman" w:hAnsi="Calibri" w:cs="Calibri"/>
                <w:b/>
                <w:bCs/>
                <w:color w:val="FFFFFF"/>
                <w:lang w:eastAsia="en-GB"/>
              </w:rPr>
            </w:pPr>
            <w:r w:rsidRPr="00825239">
              <w:rPr>
                <w:rFonts w:ascii="Calibri" w:eastAsia="Times New Roman" w:hAnsi="Calibri" w:cs="Calibri"/>
                <w:b/>
                <w:bCs/>
                <w:color w:val="FFFFFF"/>
                <w:lang w:eastAsia="en-GB"/>
              </w:rPr>
              <w:t>MSG v. Force Diff.</w:t>
            </w:r>
          </w:p>
        </w:tc>
      </w:tr>
      <w:tr w:rsidR="00825239" w:rsidRPr="00825239" w:rsidTr="00825239">
        <w:trPr>
          <w:trHeight w:val="290"/>
        </w:trPr>
        <w:tc>
          <w:tcPr>
            <w:tcW w:w="3196" w:type="dxa"/>
            <w:tcBorders>
              <w:top w:val="nil"/>
              <w:left w:val="single" w:sz="4" w:space="0" w:color="1F497D"/>
              <w:bottom w:val="single" w:sz="4" w:space="0" w:color="1F497D"/>
              <w:right w:val="single" w:sz="4" w:space="0" w:color="1F497D"/>
            </w:tcBorders>
            <w:shd w:val="clear" w:color="auto" w:fill="auto"/>
            <w:noWrap/>
            <w:hideMark/>
          </w:tcPr>
          <w:p w:rsidR="00825239" w:rsidRPr="00825239" w:rsidRDefault="00825239" w:rsidP="00825239">
            <w:pPr>
              <w:spacing w:after="0" w:line="240" w:lineRule="auto"/>
              <w:rPr>
                <w:rFonts w:ascii="Calibri" w:eastAsia="Times New Roman" w:hAnsi="Calibri" w:cs="Calibri"/>
                <w:b/>
                <w:bCs/>
                <w:color w:val="FF0000"/>
                <w:lang w:eastAsia="en-GB"/>
              </w:rPr>
            </w:pPr>
            <w:r w:rsidRPr="00825239">
              <w:rPr>
                <w:rFonts w:ascii="Calibri" w:eastAsia="Times New Roman" w:hAnsi="Calibri" w:cs="Calibri"/>
                <w:b/>
                <w:bCs/>
                <w:color w:val="FF0000"/>
                <w:lang w:eastAsia="en-GB"/>
              </w:rPr>
              <w:t>Force Level</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b/>
                <w:bCs/>
                <w:color w:val="1F497D"/>
                <w:lang w:eastAsia="en-GB"/>
              </w:rPr>
            </w:pPr>
            <w:r w:rsidRPr="00825239">
              <w:rPr>
                <w:rFonts w:ascii="Calibri" w:eastAsia="Times New Roman" w:hAnsi="Calibri" w:cs="Calibri"/>
                <w:b/>
                <w:bCs/>
                <w:color w:val="1F497D"/>
                <w:lang w:eastAsia="en-GB"/>
              </w:rPr>
              <w:t>12.3%</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b/>
                <w:bCs/>
                <w:color w:val="1F497D"/>
                <w:lang w:eastAsia="en-GB"/>
              </w:rPr>
            </w:pPr>
            <w:r w:rsidRPr="00825239">
              <w:rPr>
                <w:rFonts w:ascii="Calibri" w:eastAsia="Times New Roman" w:hAnsi="Calibri" w:cs="Calibri"/>
                <w:b/>
                <w:bCs/>
                <w:color w:val="1F497D"/>
                <w:lang w:eastAsia="en-GB"/>
              </w:rPr>
              <w:t>10.1%</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b/>
                <w:bCs/>
                <w:color w:val="1F497D"/>
                <w:lang w:eastAsia="en-GB"/>
              </w:rPr>
            </w:pPr>
            <w:r w:rsidRPr="00825239">
              <w:rPr>
                <w:rFonts w:ascii="Calibri" w:eastAsia="Times New Roman" w:hAnsi="Calibri" w:cs="Calibri"/>
                <w:b/>
                <w:bCs/>
                <w:color w:val="1F497D"/>
                <w:lang w:eastAsia="en-GB"/>
              </w:rPr>
              <w:t>-2.2%</w:t>
            </w:r>
          </w:p>
        </w:tc>
        <w:tc>
          <w:tcPr>
            <w:tcW w:w="106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12.6%</w:t>
            </w:r>
          </w:p>
        </w:tc>
        <w:tc>
          <w:tcPr>
            <w:tcW w:w="1331"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-2.5%</w:t>
            </w:r>
          </w:p>
        </w:tc>
      </w:tr>
      <w:tr w:rsidR="00825239" w:rsidRPr="00825239" w:rsidTr="00825239">
        <w:trPr>
          <w:trHeight w:val="290"/>
        </w:trPr>
        <w:tc>
          <w:tcPr>
            <w:tcW w:w="3196" w:type="dxa"/>
            <w:tcBorders>
              <w:top w:val="nil"/>
              <w:left w:val="single" w:sz="4" w:space="0" w:color="1F497D"/>
              <w:bottom w:val="single" w:sz="4" w:space="0" w:color="1F497D"/>
              <w:right w:val="single" w:sz="4" w:space="0" w:color="1F497D"/>
            </w:tcBorders>
            <w:shd w:val="clear" w:color="auto" w:fill="auto"/>
            <w:noWrap/>
            <w:hideMark/>
          </w:tcPr>
          <w:p w:rsidR="00825239" w:rsidRPr="00825239" w:rsidRDefault="00825239" w:rsidP="00825239">
            <w:pPr>
              <w:spacing w:after="0" w:line="240" w:lineRule="auto"/>
              <w:rPr>
                <w:rFonts w:ascii="Calibri" w:eastAsia="Times New Roman" w:hAnsi="Calibri" w:cs="Calibri"/>
                <w:color w:val="1F497D"/>
                <w:lang w:eastAsia="en-GB"/>
              </w:rPr>
            </w:pPr>
            <w:r w:rsidRPr="00825239">
              <w:rPr>
                <w:rFonts w:ascii="Calibri" w:eastAsia="Times New Roman" w:hAnsi="Calibri" w:cs="Calibri"/>
                <w:color w:val="1F497D"/>
                <w:lang w:eastAsia="en-GB"/>
              </w:rPr>
              <w:t>Violence with Injury</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23.7%</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20.5%</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b/>
                <w:bCs/>
                <w:color w:val="1F497D"/>
                <w:lang w:eastAsia="en-GB"/>
              </w:rPr>
            </w:pPr>
            <w:r w:rsidRPr="00825239">
              <w:rPr>
                <w:rFonts w:ascii="Calibri" w:eastAsia="Times New Roman" w:hAnsi="Calibri" w:cs="Calibri"/>
                <w:b/>
                <w:bCs/>
                <w:color w:val="1F497D"/>
                <w:lang w:eastAsia="en-GB"/>
              </w:rPr>
              <w:t>-3.2%</w:t>
            </w:r>
          </w:p>
        </w:tc>
        <w:tc>
          <w:tcPr>
            <w:tcW w:w="106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23.2%</w:t>
            </w:r>
          </w:p>
        </w:tc>
        <w:tc>
          <w:tcPr>
            <w:tcW w:w="1331"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-2.7%</w:t>
            </w:r>
          </w:p>
        </w:tc>
      </w:tr>
      <w:tr w:rsidR="00825239" w:rsidRPr="00825239" w:rsidTr="00825239">
        <w:trPr>
          <w:trHeight w:val="290"/>
        </w:trPr>
        <w:tc>
          <w:tcPr>
            <w:tcW w:w="3196" w:type="dxa"/>
            <w:tcBorders>
              <w:top w:val="nil"/>
              <w:left w:val="single" w:sz="4" w:space="0" w:color="1F497D"/>
              <w:bottom w:val="single" w:sz="4" w:space="0" w:color="1F497D"/>
              <w:right w:val="single" w:sz="4" w:space="0" w:color="1F497D"/>
            </w:tcBorders>
            <w:shd w:val="clear" w:color="auto" w:fill="auto"/>
            <w:noWrap/>
            <w:hideMark/>
          </w:tcPr>
          <w:p w:rsidR="00825239" w:rsidRPr="00825239" w:rsidRDefault="00825239" w:rsidP="00825239">
            <w:pPr>
              <w:spacing w:after="0" w:line="240" w:lineRule="auto"/>
              <w:rPr>
                <w:rFonts w:ascii="Calibri" w:eastAsia="Times New Roman" w:hAnsi="Calibri" w:cs="Calibri"/>
                <w:color w:val="1F497D"/>
                <w:lang w:eastAsia="en-GB"/>
              </w:rPr>
            </w:pPr>
            <w:r w:rsidRPr="00825239">
              <w:rPr>
                <w:rFonts w:ascii="Calibri" w:eastAsia="Times New Roman" w:hAnsi="Calibri" w:cs="Calibri"/>
                <w:color w:val="1F497D"/>
                <w:lang w:eastAsia="en-GB"/>
              </w:rPr>
              <w:t>Robbery of Personal Property</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11.7%</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12.2%</w:t>
            </w:r>
          </w:p>
        </w:tc>
        <w:tc>
          <w:tcPr>
            <w:tcW w:w="102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b/>
                <w:bCs/>
                <w:color w:val="1F497D"/>
                <w:lang w:eastAsia="en-GB"/>
              </w:rPr>
            </w:pPr>
            <w:r w:rsidRPr="00825239">
              <w:rPr>
                <w:rFonts w:ascii="Calibri" w:eastAsia="Times New Roman" w:hAnsi="Calibri" w:cs="Calibri"/>
                <w:b/>
                <w:bCs/>
                <w:color w:val="1F497D"/>
                <w:lang w:eastAsia="en-GB"/>
              </w:rPr>
              <w:t>0.6%</w:t>
            </w:r>
          </w:p>
        </w:tc>
        <w:tc>
          <w:tcPr>
            <w:tcW w:w="1060"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12.4%</w:t>
            </w:r>
          </w:p>
        </w:tc>
        <w:tc>
          <w:tcPr>
            <w:tcW w:w="1331" w:type="dxa"/>
            <w:tcBorders>
              <w:top w:val="nil"/>
              <w:left w:val="nil"/>
              <w:bottom w:val="single" w:sz="4" w:space="0" w:color="1F497D"/>
              <w:right w:val="single" w:sz="4" w:space="0" w:color="1F497D"/>
            </w:tcBorders>
            <w:shd w:val="clear" w:color="auto" w:fill="auto"/>
            <w:noWrap/>
            <w:hideMark/>
          </w:tcPr>
          <w:p w:rsidR="00825239" w:rsidRPr="00825239" w:rsidRDefault="00825239" w:rsidP="00825239">
            <w:pPr>
              <w:spacing w:after="0" w:line="240" w:lineRule="auto"/>
              <w:jc w:val="center"/>
              <w:rPr>
                <w:rFonts w:ascii="Calibri" w:eastAsia="Times New Roman" w:hAnsi="Calibri" w:cs="Calibri"/>
                <w:color w:val="1F497D"/>
                <w:lang w:eastAsia="en-GB"/>
              </w:rPr>
            </w:pPr>
            <w:r w:rsidRPr="00825239">
              <w:rPr>
                <w:rFonts w:ascii="Calibri" w:eastAsia="Times New Roman" w:hAnsi="Calibri" w:cs="Calibri"/>
                <w:color w:val="1F497D"/>
                <w:lang w:eastAsia="en-GB"/>
              </w:rPr>
              <w:t>-0.2%</w:t>
            </w:r>
          </w:p>
        </w:tc>
      </w:tr>
    </w:tbl>
    <w:p w:rsidR="00825239" w:rsidRDefault="00825239" w:rsidP="00902A14">
      <w:pPr>
        <w:pStyle w:val="NoSpacing"/>
        <w:rPr>
          <w:rFonts w:ascii="Arial" w:hAnsi="Arial" w:cs="Arial"/>
          <w:sz w:val="24"/>
          <w:szCs w:val="24"/>
        </w:rPr>
      </w:pPr>
    </w:p>
    <w:p w:rsidR="00825239" w:rsidRDefault="00825239" w:rsidP="00902A14">
      <w:pPr>
        <w:pStyle w:val="NoSpacing"/>
        <w:rPr>
          <w:rFonts w:ascii="Arial" w:hAnsi="Arial" w:cs="Arial"/>
          <w:sz w:val="24"/>
          <w:szCs w:val="24"/>
        </w:rPr>
      </w:pPr>
      <w:r>
        <w:rPr>
          <w:rFonts w:ascii="Arial" w:hAnsi="Arial" w:cs="Arial"/>
          <w:sz w:val="24"/>
          <w:szCs w:val="24"/>
        </w:rPr>
        <w:tab/>
      </w:r>
    </w:p>
    <w:p w:rsidR="00E61B92" w:rsidRDefault="00D65868" w:rsidP="00D65868">
      <w:pPr>
        <w:pStyle w:val="NoSpacing"/>
        <w:ind w:left="720"/>
        <w:rPr>
          <w:rFonts w:ascii="Arial" w:hAnsi="Arial" w:cs="Arial"/>
          <w:sz w:val="24"/>
          <w:szCs w:val="24"/>
        </w:rPr>
      </w:pPr>
      <w:r>
        <w:rPr>
          <w:rFonts w:ascii="Arial" w:hAnsi="Arial" w:cs="Arial"/>
          <w:sz w:val="24"/>
          <w:szCs w:val="24"/>
        </w:rPr>
        <w:t>What must be noted, is the complex nature of Serious Violent Crime. The crime type impacts on the most vulnerable in our communities, with offenders actively targeting vulnerable groups (from children &amp; young people to adults).</w:t>
      </w:r>
    </w:p>
    <w:p w:rsidR="00D65868" w:rsidRDefault="00D65868" w:rsidP="00D65868">
      <w:pPr>
        <w:pStyle w:val="NoSpacing"/>
        <w:ind w:left="720"/>
        <w:rPr>
          <w:rFonts w:ascii="Arial" w:hAnsi="Arial" w:cs="Arial"/>
          <w:sz w:val="24"/>
          <w:szCs w:val="24"/>
        </w:rPr>
      </w:pPr>
    </w:p>
    <w:p w:rsidR="00D65868" w:rsidRDefault="00D65868" w:rsidP="00D65868">
      <w:pPr>
        <w:pStyle w:val="NoSpacing"/>
        <w:ind w:left="720"/>
        <w:rPr>
          <w:rFonts w:ascii="Arial" w:hAnsi="Arial" w:cs="Arial"/>
          <w:sz w:val="24"/>
          <w:szCs w:val="24"/>
        </w:rPr>
      </w:pPr>
      <w:r>
        <w:rPr>
          <w:rFonts w:ascii="Arial" w:hAnsi="Arial" w:cs="Arial"/>
          <w:sz w:val="24"/>
          <w:szCs w:val="24"/>
        </w:rPr>
        <w:t xml:space="preserve">The offenders operate </w:t>
      </w:r>
      <w:r w:rsidR="000335EB">
        <w:rPr>
          <w:rFonts w:ascii="Arial" w:hAnsi="Arial" w:cs="Arial"/>
          <w:sz w:val="24"/>
          <w:szCs w:val="24"/>
        </w:rPr>
        <w:t>across force &amp; organisational boundaries</w:t>
      </w:r>
      <w:r>
        <w:rPr>
          <w:rFonts w:ascii="Arial" w:hAnsi="Arial" w:cs="Arial"/>
          <w:sz w:val="24"/>
          <w:szCs w:val="24"/>
        </w:rPr>
        <w:t xml:space="preserve">, </w:t>
      </w:r>
      <w:r w:rsidR="001229A4">
        <w:rPr>
          <w:rFonts w:ascii="Arial" w:hAnsi="Arial" w:cs="Arial"/>
          <w:sz w:val="24"/>
          <w:szCs w:val="24"/>
        </w:rPr>
        <w:t xml:space="preserve">with </w:t>
      </w:r>
      <w:r w:rsidR="000335EB">
        <w:rPr>
          <w:rFonts w:ascii="Arial" w:hAnsi="Arial" w:cs="Arial"/>
          <w:sz w:val="24"/>
          <w:szCs w:val="24"/>
        </w:rPr>
        <w:t>key offenders</w:t>
      </w:r>
      <w:r w:rsidR="001229A4">
        <w:rPr>
          <w:rFonts w:ascii="Arial" w:hAnsi="Arial" w:cs="Arial"/>
          <w:sz w:val="24"/>
          <w:szCs w:val="24"/>
        </w:rPr>
        <w:t xml:space="preserve"> not based in Essex, </w:t>
      </w:r>
      <w:r>
        <w:rPr>
          <w:rFonts w:ascii="Arial" w:hAnsi="Arial" w:cs="Arial"/>
          <w:sz w:val="24"/>
          <w:szCs w:val="24"/>
        </w:rPr>
        <w:t xml:space="preserve">which makes local targeting problematic, </w:t>
      </w:r>
      <w:r w:rsidR="001229A4">
        <w:rPr>
          <w:rFonts w:ascii="Arial" w:hAnsi="Arial" w:cs="Arial"/>
          <w:sz w:val="24"/>
          <w:szCs w:val="24"/>
        </w:rPr>
        <w:t>making a co-ordinated approach essential.</w:t>
      </w:r>
    </w:p>
    <w:p w:rsidR="00E61B92" w:rsidRDefault="00E61B92" w:rsidP="00902A14">
      <w:pPr>
        <w:pStyle w:val="NoSpacing"/>
        <w:rPr>
          <w:rFonts w:ascii="Arial" w:hAnsi="Arial" w:cs="Arial"/>
          <w:sz w:val="24"/>
          <w:szCs w:val="24"/>
        </w:rPr>
      </w:pPr>
    </w:p>
    <w:p w:rsidR="005D64F8" w:rsidRDefault="001229A4" w:rsidP="001229A4">
      <w:pPr>
        <w:pStyle w:val="NoSpacing"/>
        <w:ind w:left="720"/>
        <w:rPr>
          <w:rFonts w:ascii="Arial" w:hAnsi="Arial" w:cs="Arial"/>
          <w:sz w:val="24"/>
          <w:szCs w:val="24"/>
        </w:rPr>
      </w:pPr>
      <w:r>
        <w:rPr>
          <w:rFonts w:ascii="Arial" w:hAnsi="Arial" w:cs="Arial"/>
          <w:sz w:val="24"/>
          <w:szCs w:val="24"/>
        </w:rPr>
        <w:t>As stated in the Home O</w:t>
      </w:r>
      <w:r w:rsidR="005D64F8">
        <w:rPr>
          <w:rFonts w:ascii="Arial" w:hAnsi="Arial" w:cs="Arial"/>
          <w:sz w:val="24"/>
          <w:szCs w:val="24"/>
        </w:rPr>
        <w:t>ffice Serious Violence Strategy;</w:t>
      </w:r>
    </w:p>
    <w:p w:rsidR="005D64F8" w:rsidRDefault="005D64F8" w:rsidP="001229A4">
      <w:pPr>
        <w:pStyle w:val="NoSpacing"/>
        <w:ind w:left="720"/>
        <w:rPr>
          <w:rFonts w:ascii="Arial" w:hAnsi="Arial" w:cs="Arial"/>
          <w:sz w:val="24"/>
          <w:szCs w:val="24"/>
        </w:rPr>
      </w:pPr>
    </w:p>
    <w:p w:rsidR="001229A4" w:rsidRDefault="001229A4" w:rsidP="001229A4">
      <w:pPr>
        <w:pStyle w:val="NoSpacing"/>
        <w:ind w:left="720"/>
        <w:rPr>
          <w:rFonts w:ascii="Arial" w:hAnsi="Arial" w:cs="Arial"/>
          <w:sz w:val="24"/>
          <w:szCs w:val="24"/>
        </w:rPr>
      </w:pPr>
      <w:r>
        <w:rPr>
          <w:rFonts w:ascii="Arial" w:hAnsi="Arial" w:cs="Arial"/>
          <w:sz w:val="24"/>
          <w:szCs w:val="24"/>
        </w:rPr>
        <w:t>“</w:t>
      </w:r>
      <w:r w:rsidRPr="0066625B">
        <w:rPr>
          <w:rFonts w:ascii="Arial" w:hAnsi="Arial" w:cs="Arial"/>
          <w:i/>
          <w:sz w:val="24"/>
          <w:szCs w:val="24"/>
        </w:rPr>
        <w:t>Our overarching message is that tackling serious violence is not a law enforcement issue alone. It requires a multiple strand approach involving a range of partners across different sectors”</w:t>
      </w:r>
      <w:r>
        <w:rPr>
          <w:rStyle w:val="FootnoteReference"/>
          <w:rFonts w:ascii="Arial" w:hAnsi="Arial" w:cs="Arial"/>
          <w:i/>
          <w:sz w:val="24"/>
          <w:szCs w:val="24"/>
        </w:rPr>
        <w:footnoteReference w:id="2"/>
      </w:r>
      <w:r w:rsidRPr="0066625B">
        <w:rPr>
          <w:rFonts w:ascii="Arial" w:hAnsi="Arial" w:cs="Arial"/>
          <w:i/>
          <w:sz w:val="24"/>
          <w:szCs w:val="24"/>
        </w:rPr>
        <w:t>.</w:t>
      </w:r>
      <w:r>
        <w:rPr>
          <w:rFonts w:ascii="Arial" w:hAnsi="Arial" w:cs="Arial"/>
          <w:sz w:val="24"/>
          <w:szCs w:val="24"/>
        </w:rPr>
        <w:t xml:space="preserve"> </w:t>
      </w:r>
    </w:p>
    <w:p w:rsidR="00E61B92" w:rsidRDefault="00E61B92" w:rsidP="00902A14">
      <w:pPr>
        <w:pStyle w:val="NoSpacing"/>
        <w:rPr>
          <w:rFonts w:ascii="Arial" w:hAnsi="Arial" w:cs="Arial"/>
          <w:sz w:val="24"/>
          <w:szCs w:val="24"/>
        </w:rPr>
      </w:pPr>
    </w:p>
    <w:p w:rsidR="00591EB9" w:rsidRPr="007D3E9B" w:rsidRDefault="00591EB9"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473728" w:rsidRDefault="00473728" w:rsidP="00017D7D">
      <w:pPr>
        <w:spacing w:after="0" w:line="240" w:lineRule="auto"/>
        <w:ind w:left="720"/>
        <w:contextualSpacing/>
        <w:rPr>
          <w:rFonts w:ascii="Arial" w:hAnsi="Arial"/>
          <w:b/>
          <w:i/>
          <w:sz w:val="24"/>
        </w:rPr>
      </w:pPr>
      <w:r>
        <w:rPr>
          <w:rFonts w:ascii="Arial" w:hAnsi="Arial"/>
          <w:b/>
          <w:i/>
          <w:sz w:val="24"/>
        </w:rPr>
        <w:t>Essex Police</w:t>
      </w:r>
    </w:p>
    <w:p w:rsidR="00473728" w:rsidRDefault="00473728" w:rsidP="00017D7D">
      <w:pPr>
        <w:spacing w:after="0" w:line="240" w:lineRule="auto"/>
        <w:ind w:left="720"/>
        <w:contextualSpacing/>
        <w:rPr>
          <w:rFonts w:ascii="Arial" w:hAnsi="Arial"/>
          <w:b/>
          <w:i/>
          <w:sz w:val="24"/>
        </w:rPr>
      </w:pPr>
    </w:p>
    <w:p w:rsidR="001F263A" w:rsidRPr="00E77D22" w:rsidRDefault="001F263A" w:rsidP="00017D7D">
      <w:pPr>
        <w:spacing w:after="0" w:line="240" w:lineRule="auto"/>
        <w:ind w:left="720"/>
        <w:contextualSpacing/>
        <w:rPr>
          <w:rFonts w:ascii="Arial" w:hAnsi="Arial"/>
          <w:b/>
          <w:i/>
          <w:sz w:val="24"/>
        </w:rPr>
      </w:pPr>
      <w:r w:rsidRPr="00E77D22">
        <w:rPr>
          <w:rFonts w:ascii="Arial" w:hAnsi="Arial"/>
          <w:b/>
          <w:i/>
          <w:sz w:val="24"/>
        </w:rPr>
        <w:t>Operation RAPTOR</w:t>
      </w:r>
    </w:p>
    <w:p w:rsidR="001F263A" w:rsidRDefault="001F263A" w:rsidP="00017D7D">
      <w:pPr>
        <w:spacing w:after="0" w:line="240" w:lineRule="auto"/>
        <w:ind w:left="720"/>
        <w:contextualSpacing/>
        <w:rPr>
          <w:rFonts w:ascii="Arial" w:hAnsi="Arial"/>
          <w:sz w:val="24"/>
        </w:rPr>
      </w:pPr>
    </w:p>
    <w:p w:rsidR="00A85689" w:rsidRDefault="001F263A" w:rsidP="00017D7D">
      <w:pPr>
        <w:spacing w:after="0" w:line="240" w:lineRule="auto"/>
        <w:ind w:left="720"/>
        <w:contextualSpacing/>
        <w:rPr>
          <w:rFonts w:ascii="Arial" w:hAnsi="Arial"/>
          <w:sz w:val="24"/>
        </w:rPr>
      </w:pPr>
      <w:r>
        <w:rPr>
          <w:rFonts w:ascii="Arial" w:hAnsi="Arial"/>
          <w:sz w:val="24"/>
        </w:rPr>
        <w:t>Essex Police currently undertakes enforcement activity under Operation RAPTOR. Each L.P.A has an Op RAPTOR team, which is responsible for targeted activity against County Lines / unlawful supply of controlled drugs. The Raptor teams also ensure that any vulnerability that they identify (as part of their enforcement activity) is appropriately dealt with &amp; referred.</w:t>
      </w:r>
    </w:p>
    <w:p w:rsidR="001F263A" w:rsidRDefault="001F263A" w:rsidP="00017D7D">
      <w:pPr>
        <w:spacing w:after="0" w:line="240" w:lineRule="auto"/>
        <w:ind w:left="720"/>
        <w:contextualSpacing/>
        <w:rPr>
          <w:rFonts w:ascii="Arial" w:hAnsi="Arial"/>
          <w:sz w:val="24"/>
        </w:rPr>
      </w:pPr>
    </w:p>
    <w:p w:rsidR="001F263A" w:rsidRDefault="001F263A" w:rsidP="00017D7D">
      <w:pPr>
        <w:spacing w:after="0" w:line="240" w:lineRule="auto"/>
        <w:ind w:left="720"/>
        <w:contextualSpacing/>
        <w:rPr>
          <w:rFonts w:ascii="Arial" w:hAnsi="Arial"/>
          <w:sz w:val="24"/>
        </w:rPr>
      </w:pPr>
      <w:r>
        <w:rPr>
          <w:rFonts w:ascii="Arial" w:hAnsi="Arial"/>
          <w:sz w:val="24"/>
        </w:rPr>
        <w:t>A review of Operation RAPTOR structure &amp; g</w:t>
      </w:r>
      <w:r w:rsidR="00E77D22">
        <w:rPr>
          <w:rFonts w:ascii="Arial" w:hAnsi="Arial"/>
          <w:sz w:val="24"/>
        </w:rPr>
        <w:t>overnance is currently underway.</w:t>
      </w:r>
    </w:p>
    <w:p w:rsidR="001F263A" w:rsidRDefault="001F263A" w:rsidP="00017D7D">
      <w:pPr>
        <w:spacing w:after="0" w:line="240" w:lineRule="auto"/>
        <w:ind w:left="720"/>
        <w:contextualSpacing/>
        <w:rPr>
          <w:rFonts w:ascii="Arial" w:hAnsi="Arial"/>
          <w:sz w:val="24"/>
        </w:rPr>
      </w:pPr>
    </w:p>
    <w:p w:rsidR="001F263A" w:rsidRPr="00E77D22" w:rsidRDefault="00E77D22" w:rsidP="00E77D22">
      <w:pPr>
        <w:spacing w:after="0" w:line="240" w:lineRule="auto"/>
        <w:ind w:left="720"/>
        <w:contextualSpacing/>
        <w:rPr>
          <w:rFonts w:ascii="Arial" w:hAnsi="Arial"/>
          <w:i/>
          <w:sz w:val="24"/>
        </w:rPr>
      </w:pPr>
      <w:r w:rsidRPr="00E77D22">
        <w:rPr>
          <w:rFonts w:ascii="Arial" w:hAnsi="Arial"/>
          <w:i/>
          <w:sz w:val="24"/>
        </w:rPr>
        <w:t xml:space="preserve">Key </w:t>
      </w:r>
      <w:r>
        <w:rPr>
          <w:rFonts w:ascii="Arial" w:hAnsi="Arial"/>
          <w:i/>
          <w:sz w:val="24"/>
        </w:rPr>
        <w:t>areas</w:t>
      </w:r>
      <w:r w:rsidRPr="00E77D22">
        <w:rPr>
          <w:rFonts w:ascii="Arial" w:hAnsi="Arial"/>
          <w:i/>
          <w:sz w:val="24"/>
        </w:rPr>
        <w:t xml:space="preserve"> of the review are;</w:t>
      </w:r>
    </w:p>
    <w:p w:rsidR="001F263A" w:rsidRDefault="002E3DEF" w:rsidP="001F263A">
      <w:pPr>
        <w:pStyle w:val="ListParagraph"/>
        <w:numPr>
          <w:ilvl w:val="0"/>
          <w:numId w:val="14"/>
        </w:numPr>
        <w:spacing w:after="0"/>
      </w:pPr>
      <w:r>
        <w:t>S</w:t>
      </w:r>
      <w:r w:rsidR="001F263A">
        <w:t xml:space="preserve">trategic governance of </w:t>
      </w:r>
      <w:r>
        <w:t>gang violence and Op RAPTOR</w:t>
      </w:r>
    </w:p>
    <w:p w:rsidR="001F263A" w:rsidRDefault="001F263A" w:rsidP="001F263A">
      <w:pPr>
        <w:pStyle w:val="ListParagraph"/>
        <w:numPr>
          <w:ilvl w:val="0"/>
          <w:numId w:val="14"/>
        </w:numPr>
        <w:spacing w:after="0"/>
      </w:pPr>
      <w:r>
        <w:t>Current establishment of Op RAPTOR</w:t>
      </w:r>
    </w:p>
    <w:p w:rsidR="001F263A" w:rsidRDefault="00E77D22" w:rsidP="001F263A">
      <w:pPr>
        <w:pStyle w:val="ListParagraph"/>
        <w:numPr>
          <w:ilvl w:val="0"/>
          <w:numId w:val="14"/>
        </w:numPr>
        <w:spacing w:after="0"/>
      </w:pPr>
      <w:r>
        <w:t>Deployment options for Raptor teams</w:t>
      </w:r>
      <w:r w:rsidR="002E3DEF">
        <w:t xml:space="preserve"> (Locally based v Central team)</w:t>
      </w:r>
    </w:p>
    <w:p w:rsidR="00E77D22" w:rsidRDefault="00E77D22" w:rsidP="00E77D22">
      <w:pPr>
        <w:spacing w:after="0"/>
        <w:ind w:left="720"/>
        <w:rPr>
          <w:rFonts w:ascii="Arial" w:hAnsi="Arial" w:cs="Arial"/>
          <w:sz w:val="24"/>
          <w:szCs w:val="24"/>
        </w:rPr>
      </w:pPr>
      <w:r w:rsidRPr="00E77D22">
        <w:rPr>
          <w:rFonts w:ascii="Arial" w:hAnsi="Arial" w:cs="Arial"/>
          <w:sz w:val="24"/>
          <w:szCs w:val="24"/>
        </w:rPr>
        <w:t xml:space="preserve">The review </w:t>
      </w:r>
      <w:r>
        <w:rPr>
          <w:rFonts w:ascii="Arial" w:hAnsi="Arial" w:cs="Arial"/>
          <w:sz w:val="24"/>
          <w:szCs w:val="24"/>
        </w:rPr>
        <w:t>will ensure it takes into account the current strategic work under the violence &amp; vulnerability strategy.</w:t>
      </w:r>
    </w:p>
    <w:p w:rsidR="00473728" w:rsidRDefault="00473728" w:rsidP="00473728">
      <w:pPr>
        <w:spacing w:after="0"/>
        <w:rPr>
          <w:rFonts w:ascii="Arial" w:hAnsi="Arial" w:cs="Arial"/>
          <w:sz w:val="24"/>
          <w:szCs w:val="24"/>
        </w:rPr>
      </w:pPr>
    </w:p>
    <w:p w:rsidR="00473728" w:rsidRPr="00473728" w:rsidRDefault="00473728" w:rsidP="00473728">
      <w:pPr>
        <w:spacing w:after="0"/>
        <w:ind w:left="720"/>
        <w:rPr>
          <w:rFonts w:ascii="Arial" w:hAnsi="Arial" w:cs="Arial"/>
          <w:sz w:val="24"/>
          <w:szCs w:val="24"/>
        </w:rPr>
      </w:pPr>
      <w:r w:rsidRPr="00473728">
        <w:rPr>
          <w:rFonts w:ascii="Arial" w:hAnsi="Arial" w:cs="Arial"/>
          <w:b/>
          <w:bCs/>
          <w:i/>
          <w:sz w:val="24"/>
          <w:szCs w:val="24"/>
        </w:rPr>
        <w:t>Create a centrally managed ‘Youth Justice Team (YJT)</w:t>
      </w:r>
      <w:r w:rsidRPr="00473728">
        <w:rPr>
          <w:rFonts w:ascii="Arial" w:hAnsi="Arial" w:cs="Arial"/>
          <w:b/>
          <w:bCs/>
          <w:sz w:val="24"/>
          <w:szCs w:val="24"/>
        </w:rPr>
        <w:t>’</w:t>
      </w:r>
      <w:r w:rsidRPr="00473728">
        <w:rPr>
          <w:rFonts w:ascii="Arial" w:hAnsi="Arial" w:cs="Arial"/>
          <w:sz w:val="24"/>
          <w:szCs w:val="24"/>
        </w:rPr>
        <w:t xml:space="preserve"> </w:t>
      </w:r>
    </w:p>
    <w:p w:rsidR="00473728" w:rsidRPr="00473728" w:rsidRDefault="00473728" w:rsidP="00473728">
      <w:pPr>
        <w:spacing w:after="0"/>
        <w:ind w:left="720"/>
        <w:rPr>
          <w:rFonts w:ascii="Arial" w:hAnsi="Arial" w:cs="Arial"/>
          <w:sz w:val="24"/>
          <w:szCs w:val="24"/>
        </w:rPr>
      </w:pPr>
      <w:r w:rsidRPr="00473728">
        <w:rPr>
          <w:rFonts w:ascii="Arial" w:hAnsi="Arial" w:cs="Arial"/>
          <w:bCs/>
          <w:sz w:val="24"/>
          <w:szCs w:val="24"/>
        </w:rPr>
        <w:t>This team</w:t>
      </w:r>
      <w:r w:rsidRPr="00473728">
        <w:rPr>
          <w:rFonts w:ascii="Arial" w:hAnsi="Arial" w:cs="Arial"/>
          <w:sz w:val="24"/>
          <w:szCs w:val="24"/>
        </w:rPr>
        <w:t xml:space="preserve"> will provide consistent decision making, partnership coordination and oversight of the outcome for all youth crimes. It is proposed that the six YJT police staff are given ‘</w:t>
      </w:r>
      <w:r w:rsidRPr="00473728">
        <w:rPr>
          <w:rFonts w:ascii="Arial" w:hAnsi="Arial" w:cs="Arial"/>
          <w:i/>
          <w:iCs/>
          <w:sz w:val="24"/>
          <w:szCs w:val="24"/>
        </w:rPr>
        <w:t>police support powers’</w:t>
      </w:r>
      <w:r w:rsidRPr="00473728">
        <w:rPr>
          <w:rFonts w:ascii="Arial" w:hAnsi="Arial" w:cs="Arial"/>
          <w:sz w:val="24"/>
          <w:szCs w:val="24"/>
        </w:rPr>
        <w:t xml:space="preserve"> to enable them to complete certain policing tasks. The YJT will support the creation of a new, multi-agency Out Of Court Disposals Panel. This will consist of all key agencies and will ensure the best decisions and the most appropriate outcome for young people involved in criminality. This will ensure Essex Police is in line with national guidance and identified good practice.</w:t>
      </w:r>
    </w:p>
    <w:p w:rsidR="00473728" w:rsidRPr="00473728" w:rsidRDefault="00473728" w:rsidP="00473728">
      <w:pPr>
        <w:rPr>
          <w:rFonts w:ascii="Calibri" w:hAnsi="Calibri" w:cs="Calibri"/>
        </w:rPr>
      </w:pPr>
    </w:p>
    <w:p w:rsidR="00473728" w:rsidRPr="00473728" w:rsidRDefault="006B4468" w:rsidP="00473728">
      <w:pPr>
        <w:spacing w:after="0"/>
        <w:ind w:left="720"/>
        <w:rPr>
          <w:rFonts w:ascii="Arial" w:hAnsi="Arial" w:cs="Arial"/>
          <w:sz w:val="24"/>
          <w:szCs w:val="24"/>
        </w:rPr>
      </w:pPr>
      <w:r>
        <w:rPr>
          <w:rFonts w:ascii="Arial" w:hAnsi="Arial" w:cs="Arial"/>
          <w:b/>
          <w:bCs/>
          <w:i/>
          <w:sz w:val="24"/>
          <w:szCs w:val="24"/>
        </w:rPr>
        <w:t>Creation of</w:t>
      </w:r>
      <w:r w:rsidR="00473728" w:rsidRPr="006B4468">
        <w:rPr>
          <w:rFonts w:ascii="Arial" w:hAnsi="Arial" w:cs="Arial"/>
          <w:b/>
          <w:bCs/>
          <w:i/>
          <w:sz w:val="24"/>
          <w:szCs w:val="24"/>
        </w:rPr>
        <w:t xml:space="preserve"> an additional 20 CYP officers</w:t>
      </w:r>
      <w:r w:rsidR="00473728" w:rsidRPr="00473728">
        <w:rPr>
          <w:rFonts w:ascii="Arial" w:hAnsi="Arial" w:cs="Arial"/>
          <w:sz w:val="24"/>
          <w:szCs w:val="24"/>
        </w:rPr>
        <w:t xml:space="preserve"> (from the additional 150 starting on local teams in spring 2019). There will be an even allocation of officers, two onto each district community policing team. The officers will investigate all crimes committed by young people on school premises and by looked after children at their residential setting thus improving the efficiency and effectiveness of youth investigations that require a strong partnership and problem solving approach. The officers will also be focussed on promoting the longer term relationship building, diversion activity and support that is required with schools, pupil referral units and children at children at risk. The officers will provide key support to the Op Raptor team sin their enforcement activity and be an important tactical arm to support the emerging violence and vulnerability coordination team.</w:t>
      </w:r>
    </w:p>
    <w:p w:rsidR="00473728" w:rsidRDefault="00473728" w:rsidP="00E77D22">
      <w:pPr>
        <w:spacing w:after="0"/>
        <w:ind w:left="720"/>
        <w:rPr>
          <w:rFonts w:ascii="Arial" w:hAnsi="Arial" w:cs="Arial"/>
          <w:sz w:val="24"/>
          <w:szCs w:val="24"/>
        </w:rPr>
      </w:pPr>
    </w:p>
    <w:p w:rsidR="001F263A" w:rsidRPr="00CC3D4B" w:rsidRDefault="00473728" w:rsidP="00017D7D">
      <w:pPr>
        <w:spacing w:after="0" w:line="240" w:lineRule="auto"/>
        <w:ind w:left="720"/>
        <w:contextualSpacing/>
        <w:rPr>
          <w:rFonts w:ascii="Arial" w:hAnsi="Arial"/>
          <w:b/>
          <w:sz w:val="24"/>
        </w:rPr>
      </w:pPr>
      <w:r>
        <w:rPr>
          <w:rFonts w:ascii="Arial" w:hAnsi="Arial"/>
          <w:b/>
          <w:sz w:val="24"/>
        </w:rPr>
        <w:t xml:space="preserve">Development of </w:t>
      </w:r>
      <w:r w:rsidR="00CC3D4B" w:rsidRPr="00CC3D4B">
        <w:rPr>
          <w:rFonts w:ascii="Arial" w:hAnsi="Arial"/>
          <w:b/>
          <w:sz w:val="24"/>
        </w:rPr>
        <w:t xml:space="preserve">Co-ordinated </w:t>
      </w:r>
      <w:r>
        <w:rPr>
          <w:rFonts w:ascii="Arial" w:hAnsi="Arial"/>
          <w:b/>
          <w:sz w:val="24"/>
        </w:rPr>
        <w:t xml:space="preserve">Partnership </w:t>
      </w:r>
      <w:r w:rsidR="00CC3D4B" w:rsidRPr="00CC3D4B">
        <w:rPr>
          <w:rFonts w:ascii="Arial" w:hAnsi="Arial"/>
          <w:b/>
          <w:sz w:val="24"/>
        </w:rPr>
        <w:t>Activity</w:t>
      </w:r>
    </w:p>
    <w:p w:rsidR="00CC3D4B" w:rsidRDefault="00CC3D4B" w:rsidP="00017D7D">
      <w:pPr>
        <w:spacing w:after="0" w:line="240" w:lineRule="auto"/>
        <w:ind w:left="720"/>
        <w:contextualSpacing/>
        <w:rPr>
          <w:rFonts w:ascii="Arial" w:hAnsi="Arial"/>
          <w:sz w:val="24"/>
        </w:rPr>
      </w:pPr>
    </w:p>
    <w:p w:rsidR="00241B49" w:rsidRDefault="00CC3D4B" w:rsidP="00241B49">
      <w:pPr>
        <w:spacing w:after="0" w:line="240" w:lineRule="auto"/>
        <w:ind w:left="720"/>
        <w:contextualSpacing/>
        <w:rPr>
          <w:rFonts w:ascii="Arial" w:hAnsi="Arial" w:cs="Arial"/>
          <w:sz w:val="24"/>
          <w:szCs w:val="24"/>
        </w:rPr>
      </w:pPr>
      <w:r>
        <w:rPr>
          <w:rFonts w:ascii="Arial" w:hAnsi="Arial"/>
          <w:sz w:val="24"/>
        </w:rPr>
        <w:t>In August 2018, a Task &amp; Finish Group was established</w:t>
      </w:r>
      <w:r w:rsidR="00241B49">
        <w:rPr>
          <w:rFonts w:ascii="Arial" w:hAnsi="Arial"/>
          <w:sz w:val="24"/>
        </w:rPr>
        <w:t xml:space="preserve"> </w:t>
      </w:r>
      <w:r>
        <w:rPr>
          <w:rFonts w:ascii="Arial" w:hAnsi="Arial" w:cs="Arial"/>
          <w:sz w:val="24"/>
          <w:szCs w:val="24"/>
        </w:rPr>
        <w:t xml:space="preserve">to produce an outline proposal for the creation of a countywide (SET) Gangs, Violence and Vulnerability Central Coordination Response. </w:t>
      </w:r>
    </w:p>
    <w:p w:rsidR="00CC3D4B" w:rsidRPr="00241B49" w:rsidRDefault="00CC3D4B" w:rsidP="00241B49">
      <w:pPr>
        <w:spacing w:after="0" w:line="240" w:lineRule="auto"/>
        <w:ind w:left="720"/>
        <w:contextualSpacing/>
        <w:rPr>
          <w:rFonts w:ascii="Arial" w:hAnsi="Arial"/>
          <w:sz w:val="24"/>
        </w:rPr>
      </w:pPr>
      <w:r>
        <w:rPr>
          <w:rFonts w:ascii="Arial" w:hAnsi="Arial" w:cs="Arial"/>
          <w:sz w:val="24"/>
          <w:szCs w:val="24"/>
        </w:rPr>
        <w:t xml:space="preserve"> </w:t>
      </w:r>
    </w:p>
    <w:p w:rsidR="002E3DEF" w:rsidRDefault="002E3DEF" w:rsidP="00CC3D4B">
      <w:pPr>
        <w:ind w:firstLine="720"/>
        <w:jc w:val="both"/>
        <w:rPr>
          <w:rFonts w:ascii="Arial" w:hAnsi="Arial" w:cs="Arial"/>
          <w:i/>
          <w:sz w:val="24"/>
          <w:szCs w:val="24"/>
        </w:rPr>
      </w:pPr>
    </w:p>
    <w:p w:rsidR="002E3DEF" w:rsidRDefault="002E3DEF" w:rsidP="00CC3D4B">
      <w:pPr>
        <w:ind w:firstLine="720"/>
        <w:jc w:val="both"/>
        <w:rPr>
          <w:rFonts w:ascii="Arial" w:hAnsi="Arial" w:cs="Arial"/>
          <w:i/>
          <w:sz w:val="24"/>
          <w:szCs w:val="24"/>
        </w:rPr>
      </w:pPr>
    </w:p>
    <w:p w:rsidR="00CC3D4B" w:rsidRPr="00CC3D4B" w:rsidRDefault="00CC3D4B" w:rsidP="00CC3D4B">
      <w:pPr>
        <w:ind w:firstLine="720"/>
        <w:jc w:val="both"/>
        <w:rPr>
          <w:rFonts w:ascii="Arial" w:hAnsi="Arial" w:cs="Arial"/>
          <w:i/>
          <w:sz w:val="24"/>
          <w:szCs w:val="24"/>
        </w:rPr>
      </w:pPr>
      <w:bookmarkStart w:id="0" w:name="_GoBack"/>
      <w:bookmarkEnd w:id="0"/>
      <w:r w:rsidRPr="00CC3D4B">
        <w:rPr>
          <w:rFonts w:ascii="Arial" w:hAnsi="Arial" w:cs="Arial"/>
          <w:i/>
          <w:sz w:val="24"/>
          <w:szCs w:val="24"/>
        </w:rPr>
        <w:t>The proposal should,</w:t>
      </w:r>
    </w:p>
    <w:p w:rsidR="00CC3D4B" w:rsidRDefault="00CC3D4B" w:rsidP="00CC3D4B">
      <w:pPr>
        <w:pStyle w:val="ListParagraph"/>
        <w:numPr>
          <w:ilvl w:val="0"/>
          <w:numId w:val="15"/>
        </w:numPr>
        <w:spacing w:before="0" w:beforeAutospacing="0" w:after="200" w:afterAutospacing="0" w:line="276" w:lineRule="auto"/>
        <w:jc w:val="both"/>
        <w:rPr>
          <w:rFonts w:cs="Arial"/>
          <w:szCs w:val="24"/>
        </w:rPr>
      </w:pPr>
      <w:r>
        <w:rPr>
          <w:rFonts w:cs="Arial"/>
          <w:szCs w:val="24"/>
        </w:rPr>
        <w:t xml:space="preserve">Consider options for strategic governance of a county wide gangs, violence and vulnerability drive </w:t>
      </w:r>
    </w:p>
    <w:p w:rsidR="00CC3D4B" w:rsidRDefault="00CC3D4B" w:rsidP="00CC3D4B">
      <w:pPr>
        <w:pStyle w:val="ListParagraph"/>
        <w:numPr>
          <w:ilvl w:val="0"/>
          <w:numId w:val="15"/>
        </w:numPr>
        <w:spacing w:before="0" w:beforeAutospacing="0" w:after="200" w:afterAutospacing="0" w:line="276" w:lineRule="auto"/>
        <w:jc w:val="both"/>
        <w:rPr>
          <w:rFonts w:cs="Arial"/>
          <w:szCs w:val="24"/>
        </w:rPr>
      </w:pPr>
      <w:r>
        <w:rPr>
          <w:rFonts w:cs="Arial"/>
          <w:szCs w:val="24"/>
        </w:rPr>
        <w:lastRenderedPageBreak/>
        <w:t>Consider potential operating models for a Coordination Team including the option of co-location</w:t>
      </w:r>
    </w:p>
    <w:p w:rsidR="00CC3D4B" w:rsidRDefault="00CC3D4B" w:rsidP="00CC3D4B">
      <w:pPr>
        <w:pStyle w:val="ListParagraph"/>
        <w:numPr>
          <w:ilvl w:val="0"/>
          <w:numId w:val="15"/>
        </w:numPr>
        <w:spacing w:before="0" w:beforeAutospacing="0" w:after="200" w:afterAutospacing="0" w:line="276" w:lineRule="auto"/>
        <w:jc w:val="both"/>
        <w:rPr>
          <w:rFonts w:cs="Arial"/>
          <w:szCs w:val="24"/>
        </w:rPr>
      </w:pPr>
      <w:r>
        <w:rPr>
          <w:rFonts w:cs="Arial"/>
          <w:szCs w:val="24"/>
        </w:rPr>
        <w:t>Set out the proposed staffing structure and other costs associated with a Coordination Team</w:t>
      </w:r>
    </w:p>
    <w:p w:rsidR="00CC3D4B" w:rsidRPr="000335EB" w:rsidRDefault="00CC3D4B" w:rsidP="000335EB">
      <w:pPr>
        <w:pStyle w:val="ListParagraph"/>
        <w:numPr>
          <w:ilvl w:val="0"/>
          <w:numId w:val="15"/>
        </w:numPr>
        <w:spacing w:before="0" w:beforeAutospacing="0" w:after="200" w:afterAutospacing="0" w:line="276" w:lineRule="auto"/>
        <w:jc w:val="both"/>
        <w:rPr>
          <w:rFonts w:cs="Arial"/>
          <w:szCs w:val="24"/>
        </w:rPr>
      </w:pPr>
      <w:r>
        <w:rPr>
          <w:rFonts w:cs="Arial"/>
          <w:szCs w:val="24"/>
        </w:rPr>
        <w:t>Detailed the anticipated benefits and outcomes</w:t>
      </w:r>
    </w:p>
    <w:p w:rsidR="00CC3D4B" w:rsidRDefault="00CC3D4B" w:rsidP="000335EB">
      <w:pPr>
        <w:spacing w:after="0" w:line="240" w:lineRule="auto"/>
        <w:ind w:left="720"/>
        <w:contextualSpacing/>
        <w:rPr>
          <w:rFonts w:ascii="Arial" w:hAnsi="Arial"/>
          <w:sz w:val="24"/>
        </w:rPr>
      </w:pPr>
      <w:r>
        <w:rPr>
          <w:rFonts w:ascii="Arial" w:hAnsi="Arial"/>
          <w:sz w:val="24"/>
        </w:rPr>
        <w:t xml:space="preserve">The group developed a number of potential options, before recommending the following option; </w:t>
      </w:r>
      <w:r>
        <w:rPr>
          <w:rStyle w:val="FootnoteReference"/>
          <w:rFonts w:ascii="Arial" w:hAnsi="Arial"/>
          <w:sz w:val="24"/>
        </w:rPr>
        <w:footnoteReference w:id="3"/>
      </w:r>
    </w:p>
    <w:p w:rsidR="00CC3D4B" w:rsidRDefault="001D230C" w:rsidP="001229A4">
      <w:pPr>
        <w:spacing w:after="0" w:line="240" w:lineRule="auto"/>
        <w:ind w:left="284"/>
        <w:contextualSpacing/>
        <w:jc w:val="center"/>
        <w:rPr>
          <w:rFonts w:ascii="Arial" w:hAnsi="Arial"/>
          <w:sz w:val="24"/>
        </w:rPr>
      </w:pPr>
      <w:r w:rsidRPr="001D230C">
        <w:rPr>
          <w:rFonts w:ascii="Arial" w:hAnsi="Arial"/>
          <w:noProof/>
          <w:sz w:val="24"/>
          <w:lang w:eastAsia="en-GB"/>
        </w:rPr>
        <w:drawing>
          <wp:inline distT="0" distB="0" distL="0" distR="0" wp14:anchorId="6B0B8B57" wp14:editId="15BAB4FD">
            <wp:extent cx="6095999" cy="3429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4053" cy="3433530"/>
                    </a:xfrm>
                    <a:prstGeom prst="rect">
                      <a:avLst/>
                    </a:prstGeom>
                  </pic:spPr>
                </pic:pic>
              </a:graphicData>
            </a:graphic>
          </wp:inline>
        </w:drawing>
      </w:r>
    </w:p>
    <w:p w:rsidR="001D230C" w:rsidRDefault="001D230C" w:rsidP="00017D7D">
      <w:pPr>
        <w:spacing w:after="0" w:line="240" w:lineRule="auto"/>
        <w:ind w:left="720"/>
        <w:contextualSpacing/>
        <w:rPr>
          <w:rFonts w:ascii="Arial" w:hAnsi="Arial"/>
          <w:sz w:val="24"/>
        </w:rPr>
      </w:pPr>
    </w:p>
    <w:p w:rsidR="001D230C" w:rsidRDefault="001D230C" w:rsidP="00017D7D">
      <w:pPr>
        <w:spacing w:after="0" w:line="240" w:lineRule="auto"/>
        <w:ind w:left="720"/>
        <w:contextualSpacing/>
        <w:rPr>
          <w:rFonts w:ascii="Arial" w:hAnsi="Arial"/>
          <w:sz w:val="24"/>
        </w:rPr>
      </w:pPr>
    </w:p>
    <w:p w:rsidR="001F263A" w:rsidRPr="00241B49" w:rsidRDefault="00241B49" w:rsidP="00017D7D">
      <w:pPr>
        <w:spacing w:after="0" w:line="240" w:lineRule="auto"/>
        <w:ind w:left="720"/>
        <w:contextualSpacing/>
        <w:rPr>
          <w:rFonts w:ascii="Arial" w:hAnsi="Arial"/>
          <w:i/>
          <w:sz w:val="24"/>
        </w:rPr>
      </w:pPr>
      <w:r>
        <w:rPr>
          <w:rFonts w:ascii="Arial" w:hAnsi="Arial"/>
          <w:i/>
          <w:sz w:val="24"/>
        </w:rPr>
        <w:t>Key aspects of</w:t>
      </w:r>
      <w:r w:rsidRPr="00241B49">
        <w:rPr>
          <w:rFonts w:ascii="Arial" w:hAnsi="Arial"/>
          <w:i/>
          <w:sz w:val="24"/>
        </w:rPr>
        <w:t xml:space="preserve"> this proposal are;</w:t>
      </w:r>
    </w:p>
    <w:p w:rsidR="00241B49" w:rsidRDefault="00241B49" w:rsidP="00017D7D">
      <w:pPr>
        <w:spacing w:after="0" w:line="240" w:lineRule="auto"/>
        <w:ind w:left="720"/>
        <w:contextualSpacing/>
        <w:rPr>
          <w:rFonts w:ascii="Arial" w:hAnsi="Arial"/>
          <w:sz w:val="24"/>
        </w:rPr>
      </w:pPr>
    </w:p>
    <w:p w:rsidR="00241B49" w:rsidRDefault="00241B49" w:rsidP="00241B49">
      <w:pPr>
        <w:pStyle w:val="ListParagraph"/>
        <w:numPr>
          <w:ilvl w:val="0"/>
          <w:numId w:val="16"/>
        </w:numPr>
        <w:spacing w:after="0"/>
        <w:ind w:hanging="589"/>
      </w:pPr>
      <w:r>
        <w:t>The development of S.E.T Violence &amp; Vulnerability Board</w:t>
      </w:r>
    </w:p>
    <w:p w:rsidR="00241B49" w:rsidRPr="00241B49" w:rsidRDefault="00241B49" w:rsidP="00241B49">
      <w:pPr>
        <w:pStyle w:val="ListParagraph"/>
        <w:numPr>
          <w:ilvl w:val="0"/>
          <w:numId w:val="16"/>
        </w:numPr>
        <w:spacing w:after="0"/>
        <w:ind w:hanging="589"/>
      </w:pPr>
      <w:r>
        <w:t>The development of S.E.T Violence &amp; Vulnerability Co-located Unit</w:t>
      </w:r>
    </w:p>
    <w:p w:rsidR="00241B49" w:rsidRPr="00241B49" w:rsidRDefault="00241B49" w:rsidP="00017D7D">
      <w:pPr>
        <w:spacing w:after="0" w:line="240" w:lineRule="auto"/>
        <w:ind w:left="720"/>
        <w:contextualSpacing/>
        <w:rPr>
          <w:rFonts w:ascii="Arial" w:hAnsi="Arial"/>
          <w:b/>
          <w:i/>
          <w:sz w:val="24"/>
        </w:rPr>
      </w:pPr>
    </w:p>
    <w:p w:rsidR="00241B49" w:rsidRPr="00241B49" w:rsidRDefault="00241B49" w:rsidP="00017D7D">
      <w:pPr>
        <w:spacing w:after="0" w:line="240" w:lineRule="auto"/>
        <w:ind w:left="720"/>
        <w:contextualSpacing/>
        <w:rPr>
          <w:rFonts w:ascii="Arial" w:hAnsi="Arial"/>
          <w:b/>
          <w:i/>
          <w:sz w:val="24"/>
        </w:rPr>
      </w:pPr>
      <w:r w:rsidRPr="00241B49">
        <w:rPr>
          <w:rFonts w:ascii="Arial" w:hAnsi="Arial"/>
          <w:b/>
          <w:i/>
          <w:sz w:val="24"/>
        </w:rPr>
        <w:t>S.E.T Violence &amp; Vulnerability Board – Key Areas</w:t>
      </w:r>
    </w:p>
    <w:p w:rsidR="00241B49" w:rsidRDefault="00241B49" w:rsidP="00017D7D">
      <w:pPr>
        <w:spacing w:after="0" w:line="240" w:lineRule="auto"/>
        <w:ind w:left="720"/>
        <w:contextualSpacing/>
        <w:rPr>
          <w:rFonts w:ascii="Arial" w:hAnsi="Arial"/>
          <w:sz w:val="24"/>
        </w:rPr>
      </w:pPr>
    </w:p>
    <w:p w:rsidR="00241B49" w:rsidRPr="00241B49" w:rsidRDefault="00241B49" w:rsidP="00241B49">
      <w:pPr>
        <w:pStyle w:val="ListParagraph"/>
        <w:numPr>
          <w:ilvl w:val="0"/>
          <w:numId w:val="17"/>
        </w:numPr>
        <w:spacing w:after="0"/>
      </w:pPr>
      <w:r>
        <w:rPr>
          <w:rFonts w:cs="Arial"/>
          <w:szCs w:val="24"/>
        </w:rPr>
        <w:t>B</w:t>
      </w:r>
      <w:r w:rsidRPr="00241B49">
        <w:rPr>
          <w:rFonts w:cs="Arial"/>
          <w:szCs w:val="24"/>
        </w:rPr>
        <w:t>rings together senior leaders to provide a Southend, Essex and Thurrock seni</w:t>
      </w:r>
      <w:r>
        <w:rPr>
          <w:rFonts w:cs="Arial"/>
          <w:szCs w:val="24"/>
        </w:rPr>
        <w:t xml:space="preserve">or leadership strategic group. </w:t>
      </w:r>
    </w:p>
    <w:p w:rsidR="00241B49" w:rsidRPr="00241B49" w:rsidRDefault="00241B49" w:rsidP="00241B49">
      <w:pPr>
        <w:pStyle w:val="ListParagraph"/>
        <w:numPr>
          <w:ilvl w:val="0"/>
          <w:numId w:val="17"/>
        </w:numPr>
        <w:spacing w:after="0"/>
      </w:pPr>
      <w:r w:rsidRPr="00241B49">
        <w:rPr>
          <w:rFonts w:cs="Arial"/>
          <w:szCs w:val="24"/>
        </w:rPr>
        <w:t xml:space="preserve">Its purpose is to bring together key partners to drive strategic change and deliver an effective response to violence and vulnerability which will be outlined under the key themes of: criminal exploitation, sexual exploitation, modern slavery, trafficking, violence and drugs, across adult and children’s agenda. </w:t>
      </w:r>
    </w:p>
    <w:p w:rsidR="00241B49" w:rsidRDefault="00241B49" w:rsidP="00241B49">
      <w:pPr>
        <w:pStyle w:val="ListParagraph"/>
        <w:numPr>
          <w:ilvl w:val="0"/>
          <w:numId w:val="17"/>
        </w:numPr>
        <w:spacing w:after="0"/>
      </w:pPr>
      <w:r>
        <w:rPr>
          <w:rFonts w:cs="Arial"/>
          <w:szCs w:val="24"/>
        </w:rPr>
        <w:lastRenderedPageBreak/>
        <w:t>Chaired by PFCC (or deputy)</w:t>
      </w:r>
    </w:p>
    <w:p w:rsidR="00241B49" w:rsidRPr="00241B49" w:rsidRDefault="00241B49" w:rsidP="00241B49">
      <w:pPr>
        <w:pStyle w:val="Heading4"/>
        <w:ind w:firstLine="720"/>
      </w:pPr>
      <w:r>
        <w:t xml:space="preserve">Governance: </w:t>
      </w:r>
    </w:p>
    <w:p w:rsidR="00241B49" w:rsidRDefault="00241B49" w:rsidP="00241B49">
      <w:pPr>
        <w:spacing w:after="0"/>
        <w:ind w:left="720"/>
      </w:pPr>
      <w:r>
        <w:rPr>
          <w:rFonts w:ascii="Arial" w:hAnsi="Arial" w:cs="Arial"/>
          <w:sz w:val="24"/>
          <w:szCs w:val="24"/>
        </w:rPr>
        <w:t>The Violence and Vulnerability Strategic Leadership Board would be accountable to and report directly to Safer Essex</w:t>
      </w:r>
    </w:p>
    <w:p w:rsidR="00241B49" w:rsidRDefault="00241B49" w:rsidP="00241B49">
      <w:pPr>
        <w:spacing w:after="0"/>
      </w:pPr>
    </w:p>
    <w:p w:rsidR="00241B49" w:rsidRPr="00241B49" w:rsidRDefault="00241B49" w:rsidP="00241B49">
      <w:pPr>
        <w:spacing w:after="0"/>
      </w:pPr>
    </w:p>
    <w:p w:rsidR="00241B49" w:rsidRPr="00241B49" w:rsidRDefault="00241B49" w:rsidP="00017D7D">
      <w:pPr>
        <w:spacing w:after="0" w:line="240" w:lineRule="auto"/>
        <w:ind w:left="720"/>
        <w:contextualSpacing/>
        <w:rPr>
          <w:rFonts w:ascii="Arial" w:hAnsi="Arial" w:cs="Arial"/>
          <w:b/>
          <w:i/>
          <w:sz w:val="24"/>
          <w:szCs w:val="24"/>
        </w:rPr>
      </w:pPr>
      <w:r w:rsidRPr="00241B49">
        <w:rPr>
          <w:rFonts w:ascii="Arial" w:hAnsi="Arial" w:cs="Arial"/>
          <w:b/>
          <w:i/>
          <w:sz w:val="24"/>
          <w:szCs w:val="24"/>
        </w:rPr>
        <w:t>S.E.T Violence &amp; Vulnerability Co-located Unit – Key Areas</w:t>
      </w:r>
    </w:p>
    <w:p w:rsidR="00241B49" w:rsidRDefault="00241B49" w:rsidP="00017D7D">
      <w:pPr>
        <w:spacing w:after="0" w:line="240" w:lineRule="auto"/>
        <w:ind w:left="720"/>
        <w:contextualSpacing/>
        <w:rPr>
          <w:rFonts w:ascii="Arial" w:hAnsi="Arial" w:cs="Arial"/>
          <w:sz w:val="24"/>
          <w:szCs w:val="24"/>
        </w:rPr>
      </w:pPr>
    </w:p>
    <w:p w:rsidR="00241B49" w:rsidRDefault="00241B49" w:rsidP="00241B49">
      <w:pPr>
        <w:pStyle w:val="ListParagraph"/>
        <w:numPr>
          <w:ilvl w:val="0"/>
          <w:numId w:val="18"/>
        </w:numPr>
        <w:spacing w:after="0"/>
        <w:ind w:left="1560" w:hanging="567"/>
        <w:jc w:val="both"/>
        <w:rPr>
          <w:rFonts w:cs="Arial"/>
          <w:szCs w:val="24"/>
        </w:rPr>
      </w:pPr>
      <w:r w:rsidRPr="00241B49">
        <w:rPr>
          <w:rFonts w:cs="Arial"/>
          <w:szCs w:val="24"/>
        </w:rPr>
        <w:t xml:space="preserve">The Central Co-Located Unit would be to bring all information together to create an overall picture of risk and opportunity within Essex.   </w:t>
      </w:r>
    </w:p>
    <w:p w:rsidR="00241B49" w:rsidRDefault="00241B49" w:rsidP="00241B49">
      <w:pPr>
        <w:pStyle w:val="ListParagraph"/>
        <w:numPr>
          <w:ilvl w:val="0"/>
          <w:numId w:val="18"/>
        </w:numPr>
        <w:spacing w:after="0"/>
        <w:ind w:left="1560" w:hanging="567"/>
        <w:jc w:val="both"/>
        <w:rPr>
          <w:rFonts w:cs="Arial"/>
          <w:szCs w:val="24"/>
        </w:rPr>
      </w:pPr>
      <w:r>
        <w:rPr>
          <w:rFonts w:cs="Arial"/>
          <w:szCs w:val="24"/>
        </w:rPr>
        <w:t>A role of “Violence &amp; vulnerability Co-Ordinator” would be created.</w:t>
      </w:r>
    </w:p>
    <w:p w:rsidR="00241B49" w:rsidRDefault="00241B49" w:rsidP="008556F8">
      <w:pPr>
        <w:pStyle w:val="ListParagraph"/>
        <w:numPr>
          <w:ilvl w:val="0"/>
          <w:numId w:val="18"/>
        </w:numPr>
        <w:spacing w:after="0" w:line="360" w:lineRule="auto"/>
        <w:ind w:left="1560" w:hanging="567"/>
        <w:jc w:val="both"/>
        <w:rPr>
          <w:rFonts w:cs="Arial"/>
          <w:szCs w:val="24"/>
        </w:rPr>
      </w:pPr>
      <w:r>
        <w:rPr>
          <w:rFonts w:cs="Arial"/>
          <w:szCs w:val="24"/>
        </w:rPr>
        <w:t>Key partners will dedicate resources to be part of this team, including;</w:t>
      </w:r>
    </w:p>
    <w:p w:rsidR="00241B49" w:rsidRDefault="00241B49" w:rsidP="008556F8">
      <w:pPr>
        <w:pStyle w:val="ListParagraph"/>
        <w:numPr>
          <w:ilvl w:val="0"/>
          <w:numId w:val="21"/>
        </w:numPr>
        <w:spacing w:before="0" w:beforeAutospacing="0" w:after="200" w:afterAutospacing="0" w:line="276" w:lineRule="auto"/>
        <w:ind w:firstLine="120"/>
        <w:jc w:val="both"/>
        <w:rPr>
          <w:rFonts w:cs="Arial"/>
          <w:szCs w:val="24"/>
        </w:rPr>
      </w:pPr>
      <w:r>
        <w:rPr>
          <w:rFonts w:cs="Arial"/>
          <w:szCs w:val="24"/>
        </w:rPr>
        <w:t xml:space="preserve">Youth Offending (Team Manager) </w:t>
      </w:r>
    </w:p>
    <w:p w:rsidR="00241B49" w:rsidRDefault="00241B49" w:rsidP="008556F8">
      <w:pPr>
        <w:pStyle w:val="ListParagraph"/>
        <w:numPr>
          <w:ilvl w:val="0"/>
          <w:numId w:val="21"/>
        </w:numPr>
        <w:spacing w:before="0" w:beforeAutospacing="0" w:after="200" w:afterAutospacing="0" w:line="276" w:lineRule="auto"/>
        <w:ind w:firstLine="120"/>
        <w:jc w:val="both"/>
        <w:rPr>
          <w:rFonts w:cs="Arial"/>
          <w:szCs w:val="24"/>
        </w:rPr>
      </w:pPr>
      <w:r>
        <w:rPr>
          <w:rFonts w:cs="Arial"/>
          <w:szCs w:val="24"/>
        </w:rPr>
        <w:t xml:space="preserve">Essex Police </w:t>
      </w:r>
      <w:r w:rsidR="008556F8">
        <w:rPr>
          <w:rFonts w:cs="Arial"/>
          <w:szCs w:val="24"/>
        </w:rPr>
        <w:t>-</w:t>
      </w:r>
      <w:r>
        <w:rPr>
          <w:rFonts w:cs="Arial"/>
          <w:szCs w:val="24"/>
        </w:rPr>
        <w:t xml:space="preserve"> Op Raptor </w:t>
      </w:r>
    </w:p>
    <w:p w:rsidR="00241B49" w:rsidRDefault="00241B49" w:rsidP="008556F8">
      <w:pPr>
        <w:pStyle w:val="ListParagraph"/>
        <w:numPr>
          <w:ilvl w:val="0"/>
          <w:numId w:val="21"/>
        </w:numPr>
        <w:spacing w:before="0" w:beforeAutospacing="0" w:after="200" w:afterAutospacing="0" w:line="276" w:lineRule="auto"/>
        <w:ind w:firstLine="120"/>
        <w:jc w:val="both"/>
        <w:rPr>
          <w:rFonts w:cs="Arial"/>
          <w:szCs w:val="24"/>
        </w:rPr>
      </w:pPr>
      <w:r>
        <w:rPr>
          <w:rFonts w:cs="Arial"/>
          <w:szCs w:val="24"/>
        </w:rPr>
        <w:t xml:space="preserve">Public Health </w:t>
      </w:r>
    </w:p>
    <w:p w:rsidR="00241B49" w:rsidRDefault="00241B49" w:rsidP="008556F8">
      <w:pPr>
        <w:pStyle w:val="ListParagraph"/>
        <w:numPr>
          <w:ilvl w:val="0"/>
          <w:numId w:val="21"/>
        </w:numPr>
        <w:spacing w:before="0" w:beforeAutospacing="0" w:after="200" w:afterAutospacing="0" w:line="276" w:lineRule="auto"/>
        <w:ind w:firstLine="120"/>
        <w:jc w:val="both"/>
        <w:rPr>
          <w:rFonts w:cs="Arial"/>
          <w:szCs w:val="24"/>
        </w:rPr>
      </w:pPr>
      <w:r>
        <w:rPr>
          <w:rFonts w:cs="Arial"/>
          <w:szCs w:val="24"/>
        </w:rPr>
        <w:t xml:space="preserve">Mental Health </w:t>
      </w:r>
    </w:p>
    <w:p w:rsidR="00241B49" w:rsidRDefault="00241B49" w:rsidP="008556F8">
      <w:pPr>
        <w:pStyle w:val="ListParagraph"/>
        <w:numPr>
          <w:ilvl w:val="0"/>
          <w:numId w:val="21"/>
        </w:numPr>
        <w:spacing w:before="0" w:beforeAutospacing="0" w:after="200" w:afterAutospacing="0" w:line="276" w:lineRule="auto"/>
        <w:ind w:firstLine="120"/>
        <w:jc w:val="both"/>
        <w:rPr>
          <w:rFonts w:cs="Arial"/>
          <w:szCs w:val="24"/>
        </w:rPr>
      </w:pPr>
      <w:r>
        <w:rPr>
          <w:rFonts w:cs="Arial"/>
          <w:szCs w:val="24"/>
        </w:rPr>
        <w:t xml:space="preserve">Integrated Offender Management </w:t>
      </w:r>
    </w:p>
    <w:p w:rsidR="00241B49" w:rsidRDefault="00241B49" w:rsidP="008556F8">
      <w:pPr>
        <w:pStyle w:val="ListParagraph"/>
        <w:numPr>
          <w:ilvl w:val="0"/>
          <w:numId w:val="21"/>
        </w:numPr>
        <w:spacing w:before="0" w:beforeAutospacing="0" w:after="200" w:afterAutospacing="0" w:line="276" w:lineRule="auto"/>
        <w:ind w:firstLine="120"/>
        <w:jc w:val="both"/>
        <w:rPr>
          <w:rFonts w:cs="Arial"/>
          <w:szCs w:val="24"/>
        </w:rPr>
      </w:pPr>
      <w:r>
        <w:rPr>
          <w:rFonts w:cs="Arial"/>
          <w:szCs w:val="24"/>
        </w:rPr>
        <w:t xml:space="preserve">Dedicated Analyst </w:t>
      </w:r>
    </w:p>
    <w:p w:rsidR="00241B49" w:rsidRDefault="00241B49" w:rsidP="008556F8">
      <w:pPr>
        <w:pStyle w:val="ListParagraph"/>
        <w:numPr>
          <w:ilvl w:val="0"/>
          <w:numId w:val="21"/>
        </w:numPr>
        <w:spacing w:before="0" w:beforeAutospacing="0" w:after="200" w:afterAutospacing="0" w:line="276" w:lineRule="auto"/>
        <w:ind w:firstLine="120"/>
        <w:jc w:val="both"/>
        <w:rPr>
          <w:rFonts w:cs="Arial"/>
          <w:szCs w:val="24"/>
        </w:rPr>
      </w:pPr>
      <w:r>
        <w:rPr>
          <w:rFonts w:cs="Arial"/>
          <w:szCs w:val="24"/>
        </w:rPr>
        <w:t xml:space="preserve">Dedicated Intelligence liaison </w:t>
      </w:r>
    </w:p>
    <w:p w:rsidR="00241B49" w:rsidRDefault="00241B49" w:rsidP="00CB409A">
      <w:pPr>
        <w:pStyle w:val="ListParagraph"/>
        <w:numPr>
          <w:ilvl w:val="0"/>
          <w:numId w:val="21"/>
        </w:numPr>
        <w:spacing w:before="0" w:beforeAutospacing="0" w:after="200" w:afterAutospacing="0" w:line="360" w:lineRule="auto"/>
        <w:ind w:left="1560" w:firstLine="0"/>
        <w:jc w:val="both"/>
        <w:rPr>
          <w:rFonts w:cs="Arial"/>
          <w:szCs w:val="24"/>
        </w:rPr>
      </w:pPr>
      <w:r>
        <w:rPr>
          <w:rFonts w:cs="Arial"/>
          <w:szCs w:val="24"/>
        </w:rPr>
        <w:t xml:space="preserve">Part-time post </w:t>
      </w:r>
      <w:r w:rsidR="00CB409A">
        <w:rPr>
          <w:rFonts w:cs="Arial"/>
          <w:szCs w:val="24"/>
        </w:rPr>
        <w:t>“</w:t>
      </w:r>
      <w:r>
        <w:rPr>
          <w:rFonts w:cs="Arial"/>
          <w:szCs w:val="24"/>
        </w:rPr>
        <w:t>Comm</w:t>
      </w:r>
      <w:r w:rsidR="001229A4">
        <w:rPr>
          <w:rFonts w:cs="Arial"/>
          <w:szCs w:val="24"/>
        </w:rPr>
        <w:t>unication</w:t>
      </w:r>
      <w:r>
        <w:rPr>
          <w:rFonts w:cs="Arial"/>
          <w:szCs w:val="24"/>
        </w:rPr>
        <w:t xml:space="preserve">s and </w:t>
      </w:r>
      <w:r w:rsidR="00CB409A">
        <w:rPr>
          <w:rFonts w:cs="Arial"/>
          <w:szCs w:val="24"/>
        </w:rPr>
        <w:t>Media”</w:t>
      </w:r>
    </w:p>
    <w:p w:rsidR="008556F8" w:rsidRPr="00DB5443" w:rsidRDefault="008556F8" w:rsidP="00DB5443">
      <w:pPr>
        <w:pStyle w:val="ListParagraph"/>
        <w:numPr>
          <w:ilvl w:val="0"/>
          <w:numId w:val="22"/>
        </w:numPr>
        <w:ind w:firstLine="273"/>
        <w:jc w:val="both"/>
        <w:rPr>
          <w:rFonts w:cs="Arial"/>
          <w:i/>
          <w:szCs w:val="24"/>
        </w:rPr>
      </w:pPr>
      <w:r w:rsidRPr="00DB5443">
        <w:rPr>
          <w:rFonts w:cs="Arial"/>
          <w:i/>
          <w:szCs w:val="24"/>
        </w:rPr>
        <w:t>Key activities of the unit will be;</w:t>
      </w:r>
    </w:p>
    <w:p w:rsidR="008556F8" w:rsidRDefault="008556F8" w:rsidP="008556F8">
      <w:pPr>
        <w:pStyle w:val="ListParagraph"/>
        <w:ind w:left="1134"/>
        <w:jc w:val="both"/>
        <w:rPr>
          <w:rFonts w:cs="Arial"/>
          <w:szCs w:val="24"/>
        </w:rPr>
      </w:pPr>
    </w:p>
    <w:p w:rsidR="008556F8" w:rsidRPr="008556F8" w:rsidRDefault="008556F8" w:rsidP="008556F8">
      <w:pPr>
        <w:pStyle w:val="ListParagraph"/>
        <w:numPr>
          <w:ilvl w:val="0"/>
          <w:numId w:val="28"/>
        </w:numPr>
        <w:ind w:left="2127" w:hanging="567"/>
        <w:jc w:val="both"/>
        <w:rPr>
          <w:rFonts w:cs="Arial"/>
          <w:szCs w:val="24"/>
        </w:rPr>
      </w:pPr>
      <w:r w:rsidRPr="008556F8">
        <w:rPr>
          <w:rFonts w:cs="Arial"/>
          <w:szCs w:val="24"/>
        </w:rPr>
        <w:t xml:space="preserve">Information and intelligence sharing across the key agencies to establish and analyse the threat and risk, including having some oversight of risky individuals and perpetrators who may not fall within the MAPPA criteria.  Mapping risk to children and adults and enabling this information locally.  </w:t>
      </w:r>
    </w:p>
    <w:p w:rsidR="008556F8" w:rsidRPr="008556F8" w:rsidRDefault="008556F8" w:rsidP="008556F8">
      <w:pPr>
        <w:pStyle w:val="ListParagraph"/>
        <w:numPr>
          <w:ilvl w:val="0"/>
          <w:numId w:val="27"/>
        </w:numPr>
        <w:ind w:left="2127" w:hanging="567"/>
        <w:jc w:val="both"/>
        <w:rPr>
          <w:rFonts w:cs="Arial"/>
          <w:szCs w:val="24"/>
        </w:rPr>
      </w:pPr>
      <w:r w:rsidRPr="008556F8">
        <w:rPr>
          <w:rFonts w:cs="Arial"/>
          <w:szCs w:val="24"/>
        </w:rPr>
        <w:t xml:space="preserve">Coordination function: analyse cross cutting themes, identify threats spanning areas and understand specific localised issues.  </w:t>
      </w:r>
    </w:p>
    <w:p w:rsidR="008556F8" w:rsidRDefault="008556F8" w:rsidP="008556F8">
      <w:pPr>
        <w:pStyle w:val="ListParagraph"/>
        <w:numPr>
          <w:ilvl w:val="2"/>
          <w:numId w:val="26"/>
        </w:numPr>
        <w:spacing w:before="0" w:beforeAutospacing="0" w:after="200" w:afterAutospacing="0" w:line="276" w:lineRule="auto"/>
        <w:ind w:left="2127" w:hanging="567"/>
        <w:jc w:val="both"/>
        <w:rPr>
          <w:rFonts w:cs="Arial"/>
          <w:szCs w:val="24"/>
        </w:rPr>
      </w:pPr>
      <w:r>
        <w:rPr>
          <w:rFonts w:cs="Arial"/>
          <w:szCs w:val="24"/>
        </w:rPr>
        <w:t xml:space="preserve">Oversee information flow across agencies </w:t>
      </w:r>
    </w:p>
    <w:p w:rsidR="008556F8" w:rsidRDefault="008556F8" w:rsidP="008556F8">
      <w:pPr>
        <w:pStyle w:val="ListParagraph"/>
        <w:numPr>
          <w:ilvl w:val="2"/>
          <w:numId w:val="26"/>
        </w:numPr>
        <w:spacing w:before="0" w:beforeAutospacing="0" w:after="200" w:afterAutospacing="0" w:line="276" w:lineRule="auto"/>
        <w:ind w:left="2127" w:hanging="567"/>
        <w:jc w:val="both"/>
        <w:rPr>
          <w:rFonts w:cs="Arial"/>
          <w:szCs w:val="24"/>
        </w:rPr>
      </w:pPr>
      <w:r>
        <w:rPr>
          <w:rFonts w:cs="Arial"/>
          <w:szCs w:val="24"/>
        </w:rPr>
        <w:t xml:space="preserve">Identity disruption methods and communicate effectively with local areas as required. </w:t>
      </w:r>
    </w:p>
    <w:p w:rsidR="008556F8" w:rsidRDefault="008556F8" w:rsidP="008556F8">
      <w:pPr>
        <w:pStyle w:val="ListParagraph"/>
        <w:numPr>
          <w:ilvl w:val="1"/>
          <w:numId w:val="26"/>
        </w:numPr>
        <w:spacing w:before="0" w:beforeAutospacing="0" w:after="200" w:afterAutospacing="0" w:line="276" w:lineRule="auto"/>
        <w:ind w:hanging="600"/>
        <w:jc w:val="both"/>
        <w:rPr>
          <w:rFonts w:cs="Arial"/>
          <w:szCs w:val="24"/>
        </w:rPr>
      </w:pPr>
      <w:r>
        <w:rPr>
          <w:rFonts w:cs="Arial"/>
          <w:szCs w:val="24"/>
        </w:rPr>
        <w:t xml:space="preserve">Grading of risk </w:t>
      </w:r>
    </w:p>
    <w:p w:rsidR="008556F8" w:rsidRDefault="008556F8" w:rsidP="008556F8">
      <w:pPr>
        <w:pStyle w:val="ListParagraph"/>
        <w:numPr>
          <w:ilvl w:val="1"/>
          <w:numId w:val="26"/>
        </w:numPr>
        <w:spacing w:before="0" w:beforeAutospacing="0" w:after="200" w:afterAutospacing="0" w:line="276" w:lineRule="auto"/>
        <w:ind w:hanging="600"/>
        <w:jc w:val="both"/>
        <w:rPr>
          <w:rFonts w:cs="Arial"/>
          <w:szCs w:val="24"/>
        </w:rPr>
      </w:pPr>
      <w:r>
        <w:rPr>
          <w:rFonts w:cs="Arial"/>
          <w:szCs w:val="24"/>
        </w:rPr>
        <w:t xml:space="preserve">Cascading of what we know to affect local delivery and frontline practice. </w:t>
      </w:r>
    </w:p>
    <w:p w:rsidR="008556F8" w:rsidRDefault="008556F8" w:rsidP="008556F8">
      <w:pPr>
        <w:pStyle w:val="ListParagraph"/>
        <w:numPr>
          <w:ilvl w:val="1"/>
          <w:numId w:val="26"/>
        </w:numPr>
        <w:spacing w:before="0" w:beforeAutospacing="0" w:after="200" w:afterAutospacing="0" w:line="276" w:lineRule="auto"/>
        <w:ind w:hanging="600"/>
        <w:jc w:val="both"/>
        <w:rPr>
          <w:rFonts w:cs="Arial"/>
          <w:szCs w:val="24"/>
        </w:rPr>
      </w:pPr>
      <w:r>
        <w:rPr>
          <w:rFonts w:cs="Arial"/>
          <w:szCs w:val="24"/>
        </w:rPr>
        <w:t>Provide a place for workforce support, advice and training.</w:t>
      </w:r>
    </w:p>
    <w:p w:rsidR="008556F8" w:rsidRDefault="008556F8" w:rsidP="008556F8">
      <w:pPr>
        <w:pStyle w:val="ListParagraph"/>
        <w:numPr>
          <w:ilvl w:val="2"/>
          <w:numId w:val="26"/>
        </w:numPr>
        <w:spacing w:before="0" w:beforeAutospacing="0" w:after="200" w:afterAutospacing="0" w:line="276" w:lineRule="auto"/>
        <w:ind w:left="2127" w:hanging="567"/>
        <w:jc w:val="both"/>
        <w:rPr>
          <w:rFonts w:cs="Arial"/>
          <w:szCs w:val="24"/>
        </w:rPr>
      </w:pPr>
      <w:r>
        <w:rPr>
          <w:rFonts w:cs="Arial"/>
          <w:szCs w:val="24"/>
        </w:rPr>
        <w:t xml:space="preserve">Dissemination of information to educational establishments through enabling an understanding of the problem and interventions, learning, diversionary activities. </w:t>
      </w:r>
    </w:p>
    <w:p w:rsidR="008556F8" w:rsidRDefault="008556F8" w:rsidP="008556F8">
      <w:pPr>
        <w:pStyle w:val="ListParagraph"/>
        <w:numPr>
          <w:ilvl w:val="2"/>
          <w:numId w:val="26"/>
        </w:numPr>
        <w:spacing w:before="0" w:beforeAutospacing="0" w:after="200" w:afterAutospacing="0" w:line="276" w:lineRule="auto"/>
        <w:ind w:left="2127" w:hanging="567"/>
        <w:jc w:val="both"/>
        <w:rPr>
          <w:rFonts w:cs="Arial"/>
          <w:szCs w:val="24"/>
        </w:rPr>
      </w:pPr>
      <w:r>
        <w:rPr>
          <w:rFonts w:cs="Arial"/>
          <w:szCs w:val="24"/>
        </w:rPr>
        <w:t xml:space="preserve">Establish a ‘team around the worker’ approach in delivery of support and advice. </w:t>
      </w:r>
    </w:p>
    <w:p w:rsidR="008556F8" w:rsidRDefault="008556F8" w:rsidP="008556F8">
      <w:pPr>
        <w:pStyle w:val="ListParagraph"/>
        <w:numPr>
          <w:ilvl w:val="2"/>
          <w:numId w:val="26"/>
        </w:numPr>
        <w:spacing w:before="0" w:beforeAutospacing="0" w:after="200" w:afterAutospacing="0" w:line="276" w:lineRule="auto"/>
        <w:ind w:left="2127" w:hanging="567"/>
        <w:jc w:val="both"/>
        <w:rPr>
          <w:rFonts w:cs="Arial"/>
          <w:szCs w:val="24"/>
        </w:rPr>
      </w:pPr>
      <w:r>
        <w:rPr>
          <w:rFonts w:cs="Arial"/>
          <w:szCs w:val="24"/>
        </w:rPr>
        <w:t xml:space="preserve">Supporting the understanding (mapping) and delivery of interventions for organised and complex abuse enquiries across SET. </w:t>
      </w:r>
    </w:p>
    <w:p w:rsidR="008556F8" w:rsidRDefault="008556F8" w:rsidP="008556F8">
      <w:pPr>
        <w:pStyle w:val="ListParagraph"/>
        <w:numPr>
          <w:ilvl w:val="2"/>
          <w:numId w:val="26"/>
        </w:numPr>
        <w:spacing w:before="0" w:beforeAutospacing="0" w:after="200" w:afterAutospacing="0" w:line="276" w:lineRule="auto"/>
        <w:ind w:left="2127" w:hanging="567"/>
        <w:jc w:val="both"/>
        <w:rPr>
          <w:rFonts w:cs="Arial"/>
          <w:szCs w:val="24"/>
        </w:rPr>
      </w:pPr>
      <w:r>
        <w:rPr>
          <w:rFonts w:cs="Arial"/>
          <w:szCs w:val="24"/>
        </w:rPr>
        <w:t xml:space="preserve">Develop a suit of approved services and interventions, diversionary activities and gang exit strategies.  </w:t>
      </w:r>
    </w:p>
    <w:p w:rsidR="00241B49" w:rsidRPr="00473728" w:rsidRDefault="008556F8" w:rsidP="00473728">
      <w:pPr>
        <w:pStyle w:val="ListParagraph"/>
        <w:numPr>
          <w:ilvl w:val="1"/>
          <w:numId w:val="26"/>
        </w:numPr>
        <w:spacing w:before="0" w:beforeAutospacing="0" w:after="200" w:afterAutospacing="0" w:line="276" w:lineRule="auto"/>
        <w:ind w:hanging="600"/>
        <w:jc w:val="both"/>
        <w:rPr>
          <w:rFonts w:cs="Arial"/>
          <w:szCs w:val="24"/>
        </w:rPr>
      </w:pPr>
      <w:r>
        <w:rPr>
          <w:rFonts w:cs="Arial"/>
          <w:szCs w:val="24"/>
        </w:rPr>
        <w:lastRenderedPageBreak/>
        <w:t xml:space="preserve">Inform the Violence and Vulnerability Strategic Leadership Board. </w:t>
      </w:r>
    </w:p>
    <w:p w:rsidR="001F263A" w:rsidRPr="007D3E9B" w:rsidRDefault="001F263A" w:rsidP="00017D7D">
      <w:pPr>
        <w:spacing w:after="0" w:line="240" w:lineRule="auto"/>
        <w:ind w:left="720"/>
        <w:contextualSpacing/>
        <w:rPr>
          <w:rFonts w:ascii="Arial" w:hAnsi="Arial"/>
          <w:sz w:val="24"/>
        </w:rPr>
      </w:pPr>
    </w:p>
    <w:p w:rsidR="00121A7F" w:rsidRPr="007D3E9B" w:rsidRDefault="00121A7F"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3832F7" w:rsidRDefault="00CB409A" w:rsidP="006279AB">
      <w:pPr>
        <w:pStyle w:val="NoSpacing"/>
        <w:ind w:left="720"/>
        <w:rPr>
          <w:rFonts w:ascii="Arial" w:hAnsi="Arial" w:cs="Arial"/>
          <w:sz w:val="24"/>
          <w:szCs w:val="24"/>
        </w:rPr>
      </w:pPr>
      <w:r>
        <w:rPr>
          <w:rFonts w:ascii="Arial" w:hAnsi="Arial" w:cs="Arial"/>
          <w:sz w:val="24"/>
          <w:szCs w:val="24"/>
        </w:rPr>
        <w:t xml:space="preserve">A funding bid has been submitted to the Early Intervention Youth Fund to support proposed activity </w:t>
      </w:r>
      <w:r w:rsidR="001D230C">
        <w:rPr>
          <w:rFonts w:ascii="Arial" w:hAnsi="Arial" w:cs="Arial"/>
          <w:sz w:val="24"/>
          <w:szCs w:val="24"/>
        </w:rPr>
        <w:t xml:space="preserve">(developed &amp; </w:t>
      </w:r>
      <w:r>
        <w:rPr>
          <w:rFonts w:ascii="Arial" w:hAnsi="Arial" w:cs="Arial"/>
          <w:sz w:val="24"/>
          <w:szCs w:val="24"/>
        </w:rPr>
        <w:t>submitted by OPCC). The result of this is due in November 2018.</w:t>
      </w:r>
    </w:p>
    <w:p w:rsidR="00CB409A" w:rsidRDefault="00CB409A" w:rsidP="006279AB">
      <w:pPr>
        <w:pStyle w:val="NoSpacing"/>
        <w:ind w:left="720"/>
        <w:rPr>
          <w:rFonts w:ascii="Arial" w:hAnsi="Arial" w:cs="Arial"/>
          <w:sz w:val="24"/>
          <w:szCs w:val="24"/>
        </w:rPr>
      </w:pPr>
    </w:p>
    <w:p w:rsidR="001D230C" w:rsidRDefault="001D230C" w:rsidP="006279AB">
      <w:pPr>
        <w:pStyle w:val="NoSpacing"/>
        <w:ind w:left="720"/>
        <w:rPr>
          <w:rFonts w:ascii="Arial" w:hAnsi="Arial" w:cs="Arial"/>
          <w:sz w:val="24"/>
          <w:szCs w:val="24"/>
        </w:rPr>
      </w:pPr>
      <w:r>
        <w:rPr>
          <w:rFonts w:ascii="Arial" w:hAnsi="Arial" w:cs="Arial"/>
          <w:sz w:val="24"/>
          <w:szCs w:val="24"/>
        </w:rPr>
        <w:t>Activity is currently on-going by senior managers to progress the above proposals, to ensure that Essex has a co-ordinated approach to address serious Violence in the County.</w:t>
      </w:r>
    </w:p>
    <w:p w:rsidR="00CB409A" w:rsidRDefault="00CB409A" w:rsidP="006279AB">
      <w:pPr>
        <w:pStyle w:val="NoSpacing"/>
        <w:ind w:left="720"/>
        <w:rPr>
          <w:rFonts w:ascii="Arial" w:hAnsi="Arial" w:cs="Arial"/>
          <w:sz w:val="24"/>
          <w:szCs w:val="24"/>
        </w:rPr>
      </w:pPr>
    </w:p>
    <w:p w:rsidR="00573FD9" w:rsidRPr="007D3E9B" w:rsidRDefault="00573FD9"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411145" w:rsidRDefault="003B7D1D" w:rsidP="00411145">
      <w:pPr>
        <w:pStyle w:val="NoSpacing"/>
        <w:ind w:left="709"/>
        <w:rPr>
          <w:rFonts w:ascii="Arial" w:hAnsi="Arial" w:cs="Arial"/>
          <w:sz w:val="24"/>
          <w:szCs w:val="24"/>
        </w:rPr>
      </w:pPr>
      <w:r>
        <w:rPr>
          <w:rFonts w:ascii="Arial" w:hAnsi="Arial" w:cs="Arial"/>
          <w:sz w:val="24"/>
          <w:szCs w:val="24"/>
        </w:rPr>
        <w:t>The proposal works towards the following aspects of the Police &amp; crime Plan Priorities;</w:t>
      </w:r>
    </w:p>
    <w:p w:rsidR="003B7D1D" w:rsidRDefault="003B7D1D" w:rsidP="00411145">
      <w:pPr>
        <w:pStyle w:val="NoSpacing"/>
        <w:ind w:left="709"/>
        <w:rPr>
          <w:rFonts w:ascii="Arial" w:hAnsi="Arial" w:cs="Arial"/>
          <w:sz w:val="24"/>
          <w:szCs w:val="24"/>
        </w:rPr>
      </w:pPr>
    </w:p>
    <w:p w:rsidR="003B7D1D" w:rsidRDefault="003B7D1D" w:rsidP="003B7D1D">
      <w:pPr>
        <w:pStyle w:val="NoSpacing"/>
        <w:numPr>
          <w:ilvl w:val="0"/>
          <w:numId w:val="29"/>
        </w:numPr>
        <w:rPr>
          <w:rFonts w:ascii="Arial" w:hAnsi="Arial" w:cs="Arial"/>
          <w:sz w:val="24"/>
          <w:szCs w:val="24"/>
        </w:rPr>
      </w:pPr>
      <w:r>
        <w:rPr>
          <w:rFonts w:ascii="Arial" w:hAnsi="Arial" w:cs="Arial"/>
          <w:sz w:val="24"/>
          <w:szCs w:val="24"/>
        </w:rPr>
        <w:t>Priority 4 – Reverse the trend in serious violence</w:t>
      </w:r>
    </w:p>
    <w:p w:rsidR="003B7D1D" w:rsidRDefault="003B7D1D" w:rsidP="003B7D1D">
      <w:pPr>
        <w:pStyle w:val="NoSpacing"/>
        <w:numPr>
          <w:ilvl w:val="0"/>
          <w:numId w:val="29"/>
        </w:numPr>
        <w:rPr>
          <w:rFonts w:ascii="Arial" w:hAnsi="Arial" w:cs="Arial"/>
          <w:sz w:val="24"/>
          <w:szCs w:val="24"/>
        </w:rPr>
      </w:pPr>
      <w:r>
        <w:rPr>
          <w:rFonts w:ascii="Arial" w:hAnsi="Arial" w:cs="Arial"/>
          <w:sz w:val="24"/>
          <w:szCs w:val="24"/>
        </w:rPr>
        <w:t>Priority 5 – Tackle Gangs &amp; Organised Crime</w:t>
      </w:r>
    </w:p>
    <w:p w:rsidR="003B7D1D" w:rsidRDefault="003B7D1D" w:rsidP="003B7D1D">
      <w:pPr>
        <w:pStyle w:val="NoSpacing"/>
        <w:numPr>
          <w:ilvl w:val="0"/>
          <w:numId w:val="29"/>
        </w:numPr>
        <w:rPr>
          <w:rFonts w:ascii="Arial" w:hAnsi="Arial" w:cs="Arial"/>
          <w:sz w:val="24"/>
          <w:szCs w:val="24"/>
        </w:rPr>
      </w:pPr>
      <w:r>
        <w:rPr>
          <w:rFonts w:ascii="Arial" w:hAnsi="Arial" w:cs="Arial"/>
          <w:sz w:val="24"/>
          <w:szCs w:val="24"/>
        </w:rPr>
        <w:t>Priority 6 – Protecting Children &amp; Vulnerable People from harm.</w:t>
      </w: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411145" w:rsidRDefault="003B7D1D" w:rsidP="00411145">
      <w:pPr>
        <w:pStyle w:val="NoSpacing"/>
        <w:ind w:left="709"/>
        <w:rPr>
          <w:rFonts w:ascii="Arial" w:hAnsi="Arial" w:cs="Arial"/>
          <w:sz w:val="24"/>
          <w:szCs w:val="24"/>
        </w:rPr>
      </w:pPr>
      <w:r>
        <w:rPr>
          <w:rFonts w:ascii="Arial" w:hAnsi="Arial" w:cs="Arial"/>
          <w:sz w:val="24"/>
          <w:szCs w:val="24"/>
        </w:rPr>
        <w:t>N/A</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3B7D1D" w:rsidP="0030288C">
      <w:pPr>
        <w:spacing w:after="0" w:line="240" w:lineRule="auto"/>
        <w:ind w:left="709"/>
        <w:contextualSpacing/>
        <w:rPr>
          <w:rFonts w:ascii="Arial" w:hAnsi="Arial"/>
          <w:sz w:val="24"/>
        </w:rPr>
      </w:pPr>
      <w:r>
        <w:rPr>
          <w:rFonts w:ascii="Arial" w:hAnsi="Arial"/>
          <w:sz w:val="24"/>
        </w:rPr>
        <w:t>Essex Police response to Gangs is part of the Essex Police Risk register – currently graded as a “Medium” risk</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3B7D1D" w:rsidP="003832F7">
      <w:pPr>
        <w:pStyle w:val="NoSpacing"/>
        <w:ind w:left="360" w:firstLine="360"/>
        <w:rPr>
          <w:rFonts w:ascii="Arial" w:hAnsi="Arial" w:cs="Arial"/>
          <w:sz w:val="24"/>
          <w:szCs w:val="24"/>
        </w:rPr>
      </w:pPr>
      <w:r>
        <w:rPr>
          <w:rFonts w:ascii="Arial" w:hAnsi="Arial" w:cs="Arial"/>
          <w:sz w:val="24"/>
          <w:szCs w:val="24"/>
        </w:rPr>
        <w:t>Proposal is being developed – this area will be subsequently reviewed.</w:t>
      </w:r>
    </w:p>
    <w:p w:rsidR="001D5222" w:rsidRPr="00DE144B" w:rsidRDefault="001D5222" w:rsidP="00DE144B">
      <w:pPr>
        <w:pStyle w:val="NoSpacing"/>
        <w:ind w:left="720"/>
        <w:rPr>
          <w:rFonts w:ascii="Arial" w:hAnsi="Arial" w:cs="Arial"/>
          <w:b/>
          <w:sz w:val="24"/>
          <w:szCs w:val="24"/>
        </w:rPr>
      </w:pPr>
    </w:p>
    <w:p w:rsidR="003B7D1D"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B7D1D" w:rsidRPr="007D3E9B" w:rsidRDefault="003B7D1D" w:rsidP="003B7D1D">
      <w:pPr>
        <w:pStyle w:val="NoSpacing"/>
        <w:ind w:left="709"/>
        <w:rPr>
          <w:rFonts w:ascii="Arial" w:hAnsi="Arial" w:cs="Arial"/>
          <w:sz w:val="24"/>
          <w:szCs w:val="24"/>
        </w:rPr>
      </w:pPr>
      <w:r>
        <w:rPr>
          <w:rFonts w:ascii="Arial" w:hAnsi="Arial" w:cs="Arial"/>
          <w:b/>
          <w:sz w:val="24"/>
          <w:szCs w:val="24"/>
        </w:rPr>
        <w:tab/>
      </w:r>
    </w:p>
    <w:p w:rsidR="003B7D1D" w:rsidRPr="003B7D1D" w:rsidRDefault="003B7D1D" w:rsidP="003B7D1D">
      <w:pPr>
        <w:pStyle w:val="NoSpacing"/>
        <w:ind w:left="360" w:firstLine="360"/>
        <w:rPr>
          <w:rFonts w:ascii="Arial" w:hAnsi="Arial" w:cs="Arial"/>
          <w:sz w:val="24"/>
          <w:szCs w:val="24"/>
        </w:rPr>
      </w:pPr>
      <w:r>
        <w:rPr>
          <w:rFonts w:ascii="Arial" w:hAnsi="Arial" w:cs="Arial"/>
          <w:sz w:val="24"/>
          <w:szCs w:val="24"/>
        </w:rPr>
        <w:t>Proposal is being developed – this area will be subsequently reviewed.</w:t>
      </w: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517DD2" w:rsidRDefault="003B7D1D" w:rsidP="009F3263">
      <w:pPr>
        <w:pStyle w:val="NoSpacing"/>
        <w:ind w:left="709"/>
        <w:rPr>
          <w:rFonts w:ascii="Arial" w:hAnsi="Arial" w:cs="Arial"/>
          <w:sz w:val="24"/>
          <w:szCs w:val="24"/>
        </w:rPr>
      </w:pPr>
      <w:r>
        <w:rPr>
          <w:rFonts w:ascii="Arial" w:hAnsi="Arial" w:cs="Arial"/>
          <w:sz w:val="24"/>
          <w:szCs w:val="24"/>
        </w:rPr>
        <w:t>O.P.C.C</w:t>
      </w:r>
    </w:p>
    <w:p w:rsidR="003B7D1D" w:rsidRDefault="003B7D1D" w:rsidP="009F3263">
      <w:pPr>
        <w:pStyle w:val="NoSpacing"/>
        <w:ind w:left="709"/>
        <w:rPr>
          <w:rFonts w:ascii="Arial" w:hAnsi="Arial" w:cs="Arial"/>
          <w:sz w:val="24"/>
          <w:szCs w:val="24"/>
        </w:rPr>
      </w:pPr>
      <w:r>
        <w:rPr>
          <w:rFonts w:ascii="Arial" w:hAnsi="Arial" w:cs="Arial"/>
          <w:sz w:val="24"/>
          <w:szCs w:val="24"/>
        </w:rPr>
        <w:t>Safer Essex</w:t>
      </w:r>
    </w:p>
    <w:p w:rsidR="003B7D1D" w:rsidRDefault="003B7D1D" w:rsidP="009F3263">
      <w:pPr>
        <w:pStyle w:val="NoSpacing"/>
        <w:ind w:left="709"/>
        <w:rPr>
          <w:rFonts w:ascii="Arial" w:hAnsi="Arial" w:cs="Arial"/>
          <w:sz w:val="24"/>
          <w:szCs w:val="24"/>
        </w:rPr>
      </w:pPr>
      <w:r>
        <w:rPr>
          <w:rFonts w:ascii="Arial" w:hAnsi="Arial" w:cs="Arial"/>
          <w:sz w:val="24"/>
          <w:szCs w:val="24"/>
        </w:rPr>
        <w:t>Essex Police</w:t>
      </w:r>
    </w:p>
    <w:p w:rsidR="003B7D1D" w:rsidRDefault="003B7D1D" w:rsidP="009F3263">
      <w:pPr>
        <w:pStyle w:val="NoSpacing"/>
        <w:ind w:left="709"/>
        <w:rPr>
          <w:rFonts w:ascii="Arial" w:hAnsi="Arial" w:cs="Arial"/>
          <w:sz w:val="24"/>
          <w:szCs w:val="24"/>
        </w:rPr>
      </w:pPr>
      <w:r>
        <w:rPr>
          <w:rFonts w:ascii="Arial" w:hAnsi="Arial" w:cs="Arial"/>
          <w:sz w:val="24"/>
          <w:szCs w:val="24"/>
        </w:rPr>
        <w:t>Y.O.T</w:t>
      </w:r>
    </w:p>
    <w:p w:rsidR="003B7D1D" w:rsidRDefault="003B7D1D" w:rsidP="009F3263">
      <w:pPr>
        <w:pStyle w:val="NoSpacing"/>
        <w:ind w:left="709"/>
        <w:rPr>
          <w:rFonts w:ascii="Arial" w:hAnsi="Arial" w:cs="Arial"/>
          <w:sz w:val="24"/>
          <w:szCs w:val="24"/>
        </w:rPr>
      </w:pPr>
      <w:r>
        <w:rPr>
          <w:rFonts w:ascii="Arial" w:hAnsi="Arial" w:cs="Arial"/>
          <w:sz w:val="24"/>
          <w:szCs w:val="24"/>
        </w:rPr>
        <w:t>Southend Borough Council</w:t>
      </w:r>
    </w:p>
    <w:p w:rsidR="003B7D1D" w:rsidRPr="009F3263" w:rsidRDefault="003B7D1D" w:rsidP="009F3263">
      <w:pPr>
        <w:pStyle w:val="NoSpacing"/>
        <w:ind w:left="709"/>
        <w:rPr>
          <w:rFonts w:ascii="Arial" w:hAnsi="Arial" w:cs="Arial"/>
          <w:sz w:val="24"/>
          <w:szCs w:val="24"/>
        </w:rPr>
      </w:pPr>
      <w:r>
        <w:rPr>
          <w:rFonts w:ascii="Arial" w:hAnsi="Arial" w:cs="Arial"/>
          <w:sz w:val="24"/>
          <w:szCs w:val="24"/>
        </w:rPr>
        <w:t>Thurrock Council</w:t>
      </w:r>
    </w:p>
    <w:p w:rsidR="00663C2D" w:rsidRDefault="00663C2D" w:rsidP="00176135">
      <w:pPr>
        <w:pStyle w:val="NoSpacing"/>
        <w:ind w:left="709"/>
        <w:rPr>
          <w:rFonts w:ascii="Arial" w:hAnsi="Arial" w:cs="Arial"/>
          <w:sz w:val="24"/>
          <w:szCs w:val="24"/>
        </w:rPr>
      </w:pPr>
    </w:p>
    <w:p w:rsidR="003B7D1D" w:rsidRPr="007D3E9B" w:rsidRDefault="003B7D1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66625B" w:rsidRPr="0066625B" w:rsidRDefault="0066625B" w:rsidP="0066625B">
      <w:pPr>
        <w:pStyle w:val="NoSpacing"/>
        <w:ind w:left="709"/>
        <w:rPr>
          <w:rFonts w:ascii="Arial" w:hAnsi="Arial" w:cs="Arial"/>
          <w:sz w:val="24"/>
          <w:szCs w:val="24"/>
        </w:rPr>
      </w:pPr>
      <w:r w:rsidRPr="0066625B">
        <w:rPr>
          <w:rFonts w:ascii="Arial" w:hAnsi="Arial" w:cs="Arial"/>
          <w:sz w:val="24"/>
          <w:szCs w:val="24"/>
        </w:rPr>
        <w:t>Proposal is being developed – this area will be subsequently reviewed.</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7D3E9B" w:rsidRDefault="0066625B" w:rsidP="007D3E9B">
      <w:pPr>
        <w:pStyle w:val="NoSpacing"/>
        <w:ind w:left="720"/>
        <w:rPr>
          <w:rFonts w:ascii="Arial" w:hAnsi="Arial" w:cs="Arial"/>
          <w:sz w:val="24"/>
          <w:szCs w:val="24"/>
        </w:rPr>
      </w:pPr>
      <w:r>
        <w:rPr>
          <w:rFonts w:ascii="Arial" w:hAnsi="Arial" w:cs="Arial"/>
          <w:sz w:val="24"/>
          <w:szCs w:val="24"/>
        </w:rPr>
        <w:t>The development of co-ordinated partnership activity is key for the county of Essex.</w:t>
      </w:r>
    </w:p>
    <w:p w:rsidR="0066625B" w:rsidRDefault="0066625B" w:rsidP="007D3E9B">
      <w:pPr>
        <w:pStyle w:val="NoSpacing"/>
        <w:ind w:left="720"/>
        <w:rPr>
          <w:rFonts w:ascii="Arial" w:hAnsi="Arial" w:cs="Arial"/>
          <w:sz w:val="24"/>
          <w:szCs w:val="24"/>
        </w:rPr>
      </w:pPr>
    </w:p>
    <w:p w:rsidR="005D64F8" w:rsidRDefault="005D64F8" w:rsidP="0066625B">
      <w:pPr>
        <w:pStyle w:val="NoSpacing"/>
        <w:ind w:left="720"/>
        <w:rPr>
          <w:rFonts w:ascii="Arial" w:hAnsi="Arial" w:cs="Arial"/>
          <w:sz w:val="24"/>
          <w:szCs w:val="24"/>
        </w:rPr>
      </w:pPr>
      <w:r>
        <w:rPr>
          <w:rFonts w:ascii="Arial" w:hAnsi="Arial" w:cs="Arial"/>
          <w:sz w:val="24"/>
          <w:szCs w:val="24"/>
        </w:rPr>
        <w:t xml:space="preserve">Referring back to </w:t>
      </w:r>
      <w:r w:rsidR="0066625B">
        <w:rPr>
          <w:rFonts w:ascii="Arial" w:hAnsi="Arial" w:cs="Arial"/>
          <w:sz w:val="24"/>
          <w:szCs w:val="24"/>
        </w:rPr>
        <w:t xml:space="preserve">the Home Office Serious Violence Strategy </w:t>
      </w:r>
    </w:p>
    <w:p w:rsidR="005D64F8" w:rsidRDefault="005D64F8" w:rsidP="0066625B">
      <w:pPr>
        <w:pStyle w:val="NoSpacing"/>
        <w:ind w:left="720"/>
        <w:rPr>
          <w:rFonts w:ascii="Arial" w:hAnsi="Arial" w:cs="Arial"/>
          <w:sz w:val="24"/>
          <w:szCs w:val="24"/>
        </w:rPr>
      </w:pPr>
    </w:p>
    <w:p w:rsidR="0066625B" w:rsidRDefault="0066625B" w:rsidP="0066625B">
      <w:pPr>
        <w:pStyle w:val="NoSpacing"/>
        <w:ind w:left="720"/>
        <w:rPr>
          <w:rFonts w:ascii="Arial" w:hAnsi="Arial" w:cs="Arial"/>
          <w:sz w:val="24"/>
          <w:szCs w:val="24"/>
        </w:rPr>
      </w:pPr>
      <w:r>
        <w:rPr>
          <w:rFonts w:ascii="Arial" w:hAnsi="Arial" w:cs="Arial"/>
          <w:sz w:val="24"/>
          <w:szCs w:val="24"/>
        </w:rPr>
        <w:t>“</w:t>
      </w:r>
      <w:r w:rsidRPr="0066625B">
        <w:rPr>
          <w:rFonts w:ascii="Arial" w:hAnsi="Arial" w:cs="Arial"/>
          <w:i/>
          <w:sz w:val="24"/>
          <w:szCs w:val="24"/>
        </w:rPr>
        <w:t>Our overarching message is that tackling serious violence is not a law enforcement issue alone. It requires a multiple strand approach involving a range of partners across different sectors”</w:t>
      </w:r>
      <w:r>
        <w:rPr>
          <w:rStyle w:val="FootnoteReference"/>
          <w:rFonts w:ascii="Arial" w:hAnsi="Arial" w:cs="Arial"/>
          <w:i/>
          <w:sz w:val="24"/>
          <w:szCs w:val="24"/>
        </w:rPr>
        <w:footnoteReference w:id="4"/>
      </w:r>
      <w:r w:rsidRPr="0066625B">
        <w:rPr>
          <w:rFonts w:ascii="Arial" w:hAnsi="Arial" w:cs="Arial"/>
          <w:i/>
          <w:sz w:val="24"/>
          <w:szCs w:val="24"/>
        </w:rPr>
        <w:t>.</w:t>
      </w:r>
      <w:r>
        <w:rPr>
          <w:rFonts w:ascii="Arial" w:hAnsi="Arial" w:cs="Arial"/>
          <w:sz w:val="24"/>
          <w:szCs w:val="24"/>
        </w:rPr>
        <w:t xml:space="preserve"> </w:t>
      </w:r>
    </w:p>
    <w:p w:rsidR="0066625B" w:rsidRDefault="0066625B" w:rsidP="0066625B">
      <w:pPr>
        <w:pStyle w:val="NoSpacing"/>
        <w:ind w:left="720"/>
        <w:rPr>
          <w:rFonts w:ascii="Arial" w:hAnsi="Arial" w:cs="Arial"/>
          <w:sz w:val="24"/>
          <w:szCs w:val="24"/>
        </w:rPr>
      </w:pPr>
    </w:p>
    <w:p w:rsidR="0066625B" w:rsidRDefault="0066625B" w:rsidP="0066625B">
      <w:pPr>
        <w:pStyle w:val="NoSpacing"/>
        <w:ind w:left="720"/>
        <w:rPr>
          <w:rFonts w:ascii="Arial" w:hAnsi="Arial" w:cs="Arial"/>
          <w:sz w:val="24"/>
          <w:szCs w:val="24"/>
        </w:rPr>
      </w:pPr>
      <w:r>
        <w:rPr>
          <w:rFonts w:ascii="Arial" w:hAnsi="Arial" w:cs="Arial"/>
          <w:sz w:val="24"/>
          <w:szCs w:val="24"/>
        </w:rPr>
        <w:t>Essex Police will continue to work towards achieving this partnership response to the increase in serious violence in the county and the associated harm it brings to our community.</w:t>
      </w:r>
    </w:p>
    <w:p w:rsidR="0066625B" w:rsidRDefault="0066625B" w:rsidP="007D3E9B">
      <w:pPr>
        <w:pStyle w:val="NoSpacing"/>
        <w:ind w:left="720"/>
        <w:rPr>
          <w:rFonts w:ascii="Arial" w:hAnsi="Arial" w:cs="Arial"/>
          <w:sz w:val="24"/>
          <w:szCs w:val="24"/>
        </w:rPr>
      </w:pPr>
    </w:p>
    <w:p w:rsidR="00665862" w:rsidRDefault="00665862"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66625B" w:rsidRDefault="0066625B" w:rsidP="00665862">
      <w:pPr>
        <w:pStyle w:val="NoSpacing"/>
        <w:ind w:left="720"/>
        <w:rPr>
          <w:rFonts w:ascii="Arial" w:hAnsi="Arial" w:cs="Arial"/>
          <w:sz w:val="24"/>
          <w:szCs w:val="24"/>
        </w:rPr>
      </w:pPr>
    </w:p>
    <w:p w:rsidR="0066625B" w:rsidRDefault="0066625B" w:rsidP="00665862">
      <w:pPr>
        <w:pStyle w:val="NoSpacing"/>
        <w:ind w:left="720"/>
        <w:rPr>
          <w:rFonts w:ascii="Arial" w:hAnsi="Arial" w:cs="Arial"/>
          <w:sz w:val="24"/>
          <w:szCs w:val="24"/>
        </w:rPr>
      </w:pPr>
      <w:r>
        <w:rPr>
          <w:rFonts w:ascii="Arial" w:hAnsi="Arial" w:cs="Arial"/>
          <w:sz w:val="24"/>
          <w:szCs w:val="24"/>
        </w:rPr>
        <w:t>Nil – For information only at this time.</w:t>
      </w:r>
    </w:p>
    <w:p w:rsidR="001229A4" w:rsidRDefault="001229A4" w:rsidP="00665862">
      <w:pPr>
        <w:pStyle w:val="NoSpacing"/>
        <w:ind w:left="720"/>
        <w:rPr>
          <w:rFonts w:ascii="Arial" w:hAnsi="Arial" w:cs="Arial"/>
          <w:sz w:val="24"/>
          <w:szCs w:val="24"/>
        </w:rPr>
      </w:pPr>
    </w:p>
    <w:p w:rsidR="001229A4" w:rsidRDefault="001229A4" w:rsidP="00665862">
      <w:pPr>
        <w:pStyle w:val="NoSpacing"/>
        <w:ind w:left="720"/>
        <w:rPr>
          <w:rFonts w:ascii="Arial" w:hAnsi="Arial" w:cs="Arial"/>
          <w:sz w:val="24"/>
          <w:szCs w:val="24"/>
        </w:rPr>
      </w:pPr>
    </w:p>
    <w:p w:rsidR="001229A4" w:rsidRDefault="001229A4" w:rsidP="00665862">
      <w:pPr>
        <w:pStyle w:val="NoSpacing"/>
        <w:ind w:left="720"/>
        <w:rPr>
          <w:rFonts w:ascii="Arial" w:hAnsi="Arial" w:cs="Arial"/>
          <w:sz w:val="24"/>
          <w:szCs w:val="24"/>
        </w:rPr>
      </w:pPr>
    </w:p>
    <w:p w:rsidR="001229A4" w:rsidRDefault="001229A4" w:rsidP="00665862">
      <w:pPr>
        <w:pStyle w:val="NoSpacing"/>
        <w:ind w:left="720"/>
        <w:rPr>
          <w:rFonts w:ascii="Arial" w:hAnsi="Arial" w:cs="Arial"/>
          <w:sz w:val="24"/>
          <w:szCs w:val="24"/>
        </w:rPr>
      </w:pPr>
    </w:p>
    <w:p w:rsidR="001229A4" w:rsidRDefault="001229A4" w:rsidP="00665862">
      <w:pPr>
        <w:pStyle w:val="NoSpacing"/>
        <w:ind w:left="720"/>
        <w:rPr>
          <w:rFonts w:ascii="Arial" w:hAnsi="Arial" w:cs="Arial"/>
          <w:sz w:val="24"/>
          <w:szCs w:val="24"/>
        </w:rPr>
      </w:pPr>
    </w:p>
    <w:p w:rsidR="001229A4" w:rsidRDefault="001229A4" w:rsidP="00665862">
      <w:pPr>
        <w:pStyle w:val="NoSpacing"/>
        <w:ind w:left="720"/>
        <w:rPr>
          <w:rFonts w:ascii="Arial" w:hAnsi="Arial" w:cs="Arial"/>
          <w:sz w:val="24"/>
          <w:szCs w:val="24"/>
        </w:rPr>
      </w:pPr>
    </w:p>
    <w:p w:rsidR="001229A4" w:rsidRDefault="001229A4" w:rsidP="00665862">
      <w:pPr>
        <w:pStyle w:val="NoSpacing"/>
        <w:ind w:left="720"/>
        <w:rPr>
          <w:rFonts w:ascii="Arial" w:hAnsi="Arial" w:cs="Arial"/>
          <w:sz w:val="24"/>
          <w:szCs w:val="24"/>
        </w:rPr>
      </w:pPr>
    </w:p>
    <w:p w:rsidR="001229A4" w:rsidRPr="00E92E89" w:rsidRDefault="001229A4" w:rsidP="00665862">
      <w:pPr>
        <w:pStyle w:val="NoSpacing"/>
        <w:ind w:left="720"/>
        <w:rPr>
          <w:rFonts w:ascii="Arial" w:hAnsi="Arial" w:cs="Arial"/>
          <w:sz w:val="24"/>
          <w:szCs w:val="24"/>
        </w:rPr>
      </w:pPr>
    </w:p>
    <w:sectPr w:rsidR="001229A4" w:rsidRPr="00E92E89" w:rsidSect="00773654">
      <w:headerReference w:type="default" r:id="rId9"/>
      <w:footerReference w:type="default" r:id="rId10"/>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5C" w:rsidRDefault="0090475C" w:rsidP="00121A7F">
      <w:pPr>
        <w:spacing w:after="0" w:line="240" w:lineRule="auto"/>
      </w:pPr>
      <w:r>
        <w:separator/>
      </w:r>
    </w:p>
  </w:endnote>
  <w:endnote w:type="continuationSeparator" w:id="0">
    <w:p w:rsidR="0090475C" w:rsidRDefault="0090475C"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2E3DEF">
              <w:rPr>
                <w:rFonts w:ascii="Arial" w:hAnsi="Arial" w:cs="Arial"/>
                <w:bCs/>
                <w:noProof/>
                <w:sz w:val="20"/>
                <w:szCs w:val="20"/>
              </w:rPr>
              <w:t>8</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2E3DEF">
              <w:rPr>
                <w:rFonts w:ascii="Arial" w:hAnsi="Arial" w:cs="Arial"/>
                <w:bCs/>
                <w:noProof/>
                <w:sz w:val="20"/>
                <w:szCs w:val="20"/>
              </w:rPr>
              <w:t>8</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5C" w:rsidRDefault="0090475C" w:rsidP="00121A7F">
      <w:pPr>
        <w:spacing w:after="0" w:line="240" w:lineRule="auto"/>
      </w:pPr>
      <w:r>
        <w:separator/>
      </w:r>
    </w:p>
  </w:footnote>
  <w:footnote w:type="continuationSeparator" w:id="0">
    <w:p w:rsidR="0090475C" w:rsidRDefault="0090475C" w:rsidP="00121A7F">
      <w:pPr>
        <w:spacing w:after="0" w:line="240" w:lineRule="auto"/>
      </w:pPr>
      <w:r>
        <w:continuationSeparator/>
      </w:r>
    </w:p>
  </w:footnote>
  <w:footnote w:id="1">
    <w:p w:rsidR="001229A4" w:rsidRDefault="001229A4">
      <w:pPr>
        <w:pStyle w:val="FootnoteText"/>
      </w:pPr>
      <w:r>
        <w:rPr>
          <w:rStyle w:val="FootnoteReference"/>
        </w:rPr>
        <w:footnoteRef/>
      </w:r>
      <w:r>
        <w:t xml:space="preserve"> Statistics from Essex Police Redline Measures – September 2018</w:t>
      </w:r>
    </w:p>
  </w:footnote>
  <w:footnote w:id="2">
    <w:p w:rsidR="001229A4" w:rsidRDefault="001229A4" w:rsidP="001229A4">
      <w:pPr>
        <w:pStyle w:val="FootnoteText"/>
      </w:pPr>
      <w:r>
        <w:rPr>
          <w:rStyle w:val="FootnoteReference"/>
        </w:rPr>
        <w:footnoteRef/>
      </w:r>
      <w:r>
        <w:t xml:space="preserve"> Home Office Serious Violence Strategy April 2018.</w:t>
      </w:r>
    </w:p>
  </w:footnote>
  <w:footnote w:id="3">
    <w:p w:rsidR="00CC3D4B" w:rsidRDefault="00CC3D4B">
      <w:pPr>
        <w:pStyle w:val="FootnoteText"/>
      </w:pPr>
      <w:r>
        <w:rPr>
          <w:rStyle w:val="FootnoteReference"/>
        </w:rPr>
        <w:footnoteRef/>
      </w:r>
      <w:r>
        <w:t xml:space="preserve"> Violence &amp; Vulnerability Response paper – August 2018</w:t>
      </w:r>
    </w:p>
  </w:footnote>
  <w:footnote w:id="4">
    <w:p w:rsidR="0066625B" w:rsidRDefault="0066625B">
      <w:pPr>
        <w:pStyle w:val="FootnoteText"/>
      </w:pPr>
      <w:r>
        <w:rPr>
          <w:rStyle w:val="FootnoteReference"/>
        </w:rPr>
        <w:footnoteRef/>
      </w:r>
      <w:r>
        <w:t xml:space="preserve"> Home Office Serious Violence Strategy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DD6"/>
    <w:multiLevelType w:val="hybridMultilevel"/>
    <w:tmpl w:val="85FEBF8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924551E"/>
    <w:multiLevelType w:val="hybridMultilevel"/>
    <w:tmpl w:val="3FECA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FC1A21"/>
    <w:multiLevelType w:val="multilevel"/>
    <w:tmpl w:val="1A4C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75AE0"/>
    <w:multiLevelType w:val="hybridMultilevel"/>
    <w:tmpl w:val="3BD60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F3EB0"/>
    <w:multiLevelType w:val="hybridMultilevel"/>
    <w:tmpl w:val="85B8852A"/>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4BA4F5F"/>
    <w:multiLevelType w:val="hybridMultilevel"/>
    <w:tmpl w:val="66CE4F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EE50FA"/>
    <w:multiLevelType w:val="hybridMultilevel"/>
    <w:tmpl w:val="8712220E"/>
    <w:lvl w:ilvl="0" w:tplc="08090011">
      <w:start w:val="1"/>
      <w:numFmt w:val="decimal"/>
      <w:lvlText w:val="%1)"/>
      <w:lvlJc w:val="left"/>
      <w:pPr>
        <w:ind w:left="873" w:hanging="360"/>
      </w:pPr>
    </w:lvl>
    <w:lvl w:ilvl="1" w:tplc="08090019">
      <w:start w:val="1"/>
      <w:numFmt w:val="lowerLetter"/>
      <w:lvlText w:val="%2."/>
      <w:lvlJc w:val="left"/>
      <w:pPr>
        <w:ind w:left="1593" w:hanging="360"/>
      </w:pPr>
    </w:lvl>
    <w:lvl w:ilvl="2" w:tplc="0809001B">
      <w:start w:val="1"/>
      <w:numFmt w:val="lowerRoman"/>
      <w:lvlText w:val="%3."/>
      <w:lvlJc w:val="right"/>
      <w:pPr>
        <w:ind w:left="2313" w:hanging="180"/>
      </w:pPr>
    </w:lvl>
    <w:lvl w:ilvl="3" w:tplc="0809000F">
      <w:start w:val="1"/>
      <w:numFmt w:val="decimal"/>
      <w:lvlText w:val="%4."/>
      <w:lvlJc w:val="left"/>
      <w:pPr>
        <w:ind w:left="3033" w:hanging="360"/>
      </w:pPr>
    </w:lvl>
    <w:lvl w:ilvl="4" w:tplc="08090019">
      <w:start w:val="1"/>
      <w:numFmt w:val="lowerLetter"/>
      <w:lvlText w:val="%5."/>
      <w:lvlJc w:val="left"/>
      <w:pPr>
        <w:ind w:left="3753" w:hanging="360"/>
      </w:pPr>
    </w:lvl>
    <w:lvl w:ilvl="5" w:tplc="0809001B">
      <w:start w:val="1"/>
      <w:numFmt w:val="lowerRoman"/>
      <w:lvlText w:val="%6."/>
      <w:lvlJc w:val="right"/>
      <w:pPr>
        <w:ind w:left="4473" w:hanging="180"/>
      </w:pPr>
    </w:lvl>
    <w:lvl w:ilvl="6" w:tplc="0809000F">
      <w:start w:val="1"/>
      <w:numFmt w:val="decimal"/>
      <w:lvlText w:val="%7."/>
      <w:lvlJc w:val="left"/>
      <w:pPr>
        <w:ind w:left="5193" w:hanging="360"/>
      </w:pPr>
    </w:lvl>
    <w:lvl w:ilvl="7" w:tplc="08090019">
      <w:start w:val="1"/>
      <w:numFmt w:val="lowerLetter"/>
      <w:lvlText w:val="%8."/>
      <w:lvlJc w:val="left"/>
      <w:pPr>
        <w:ind w:left="5913" w:hanging="360"/>
      </w:pPr>
    </w:lvl>
    <w:lvl w:ilvl="8" w:tplc="0809001B">
      <w:start w:val="1"/>
      <w:numFmt w:val="lowerRoman"/>
      <w:lvlText w:val="%9."/>
      <w:lvlJc w:val="right"/>
      <w:pPr>
        <w:ind w:left="6633" w:hanging="180"/>
      </w:pPr>
    </w:lvl>
  </w:abstractNum>
  <w:abstractNum w:abstractNumId="11" w15:restartNumberingAfterBreak="0">
    <w:nsid w:val="26DB69AA"/>
    <w:multiLevelType w:val="hybridMultilevel"/>
    <w:tmpl w:val="FB94166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F5D3971"/>
    <w:multiLevelType w:val="hybridMultilevel"/>
    <w:tmpl w:val="C7FCBE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B6FA7"/>
    <w:multiLevelType w:val="hybridMultilevel"/>
    <w:tmpl w:val="5F247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A246A"/>
    <w:multiLevelType w:val="hybridMultilevel"/>
    <w:tmpl w:val="6B787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844444"/>
    <w:multiLevelType w:val="hybridMultilevel"/>
    <w:tmpl w:val="36386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5F5CA2"/>
    <w:multiLevelType w:val="hybridMultilevel"/>
    <w:tmpl w:val="439AD8FA"/>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B">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4548C"/>
    <w:multiLevelType w:val="hybridMultilevel"/>
    <w:tmpl w:val="806C4B3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24A85"/>
    <w:multiLevelType w:val="hybridMultilevel"/>
    <w:tmpl w:val="1F0C8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F0501"/>
    <w:multiLevelType w:val="hybridMultilevel"/>
    <w:tmpl w:val="334EBE2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68153EB4"/>
    <w:multiLevelType w:val="hybridMultilevel"/>
    <w:tmpl w:val="5CF0C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362BC"/>
    <w:multiLevelType w:val="hybridMultilevel"/>
    <w:tmpl w:val="14984EE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970513"/>
    <w:multiLevelType w:val="hybridMultilevel"/>
    <w:tmpl w:val="FC469D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BB3B80"/>
    <w:multiLevelType w:val="hybridMultilevel"/>
    <w:tmpl w:val="C14881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CC57756"/>
    <w:multiLevelType w:val="hybridMultilevel"/>
    <w:tmpl w:val="E362B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5E12AF"/>
    <w:multiLevelType w:val="hybridMultilevel"/>
    <w:tmpl w:val="DDCA4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9"/>
  </w:num>
  <w:num w:numId="4">
    <w:abstractNumId w:val="23"/>
  </w:num>
  <w:num w:numId="5">
    <w:abstractNumId w:val="6"/>
  </w:num>
  <w:num w:numId="6">
    <w:abstractNumId w:val="24"/>
  </w:num>
  <w:num w:numId="7">
    <w:abstractNumId w:val="8"/>
  </w:num>
  <w:num w:numId="8">
    <w:abstractNumId w:val="17"/>
  </w:num>
  <w:num w:numId="9">
    <w:abstractNumId w:val="2"/>
  </w:num>
  <w:num w:numId="10">
    <w:abstractNumId w:val="1"/>
  </w:num>
  <w:num w:numId="11">
    <w:abstractNumId w:val="14"/>
  </w:num>
  <w:num w:numId="12">
    <w:abstractNumId w:val="0"/>
  </w:num>
  <w:num w:numId="13">
    <w:abstractNumId w:val="27"/>
  </w:num>
  <w:num w:numId="14">
    <w:abstractNumId w:val="29"/>
  </w:num>
  <w:num w:numId="15">
    <w:abstractNumId w:val="5"/>
  </w:num>
  <w:num w:numId="16">
    <w:abstractNumId w:val="15"/>
  </w:num>
  <w:num w:numId="17">
    <w:abstractNumId w:val="28"/>
  </w:num>
  <w:num w:numId="18">
    <w:abstractNumId w:val="3"/>
  </w:num>
  <w:num w:numId="19">
    <w:abstractNumId w:val="26"/>
  </w:num>
  <w:num w:numId="20">
    <w:abstractNumId w:val="21"/>
  </w:num>
  <w:num w:numId="21">
    <w:abstractNumId w:val="12"/>
  </w:num>
  <w:num w:numId="22">
    <w:abstractNumId w:val="13"/>
  </w:num>
  <w:num w:numId="23">
    <w:abstractNumId w:val="22"/>
  </w:num>
  <w:num w:numId="24">
    <w:abstractNumId w:val="19"/>
  </w:num>
  <w:num w:numId="25">
    <w:abstractNumId w:val="25"/>
  </w:num>
  <w:num w:numId="26">
    <w:abstractNumId w:val="16"/>
  </w:num>
  <w:num w:numId="27">
    <w:abstractNumId w:val="4"/>
  </w:num>
  <w:num w:numId="28">
    <w:abstractNumId w:val="20"/>
  </w:num>
  <w:num w:numId="29">
    <w:abstractNumId w:val="1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335EB"/>
    <w:rsid w:val="00046E42"/>
    <w:rsid w:val="000628F8"/>
    <w:rsid w:val="00121849"/>
    <w:rsid w:val="00121A7F"/>
    <w:rsid w:val="001229A4"/>
    <w:rsid w:val="00176135"/>
    <w:rsid w:val="00182A62"/>
    <w:rsid w:val="001D230C"/>
    <w:rsid w:val="001D5222"/>
    <w:rsid w:val="001E2DAF"/>
    <w:rsid w:val="001F263A"/>
    <w:rsid w:val="00234BCF"/>
    <w:rsid w:val="00241B49"/>
    <w:rsid w:val="002573A1"/>
    <w:rsid w:val="002E3DEF"/>
    <w:rsid w:val="002E46DF"/>
    <w:rsid w:val="0030288C"/>
    <w:rsid w:val="00336373"/>
    <w:rsid w:val="00376772"/>
    <w:rsid w:val="003832A4"/>
    <w:rsid w:val="003832F7"/>
    <w:rsid w:val="003A0F89"/>
    <w:rsid w:val="003B7D1D"/>
    <w:rsid w:val="003C5238"/>
    <w:rsid w:val="003F7C58"/>
    <w:rsid w:val="0041002E"/>
    <w:rsid w:val="00411145"/>
    <w:rsid w:val="00473728"/>
    <w:rsid w:val="00481761"/>
    <w:rsid w:val="004A55EC"/>
    <w:rsid w:val="004D1DF5"/>
    <w:rsid w:val="004F62BB"/>
    <w:rsid w:val="00517871"/>
    <w:rsid w:val="00517DD2"/>
    <w:rsid w:val="00523007"/>
    <w:rsid w:val="00573FD9"/>
    <w:rsid w:val="00583860"/>
    <w:rsid w:val="00591EB9"/>
    <w:rsid w:val="005A7360"/>
    <w:rsid w:val="005D64F8"/>
    <w:rsid w:val="005F6903"/>
    <w:rsid w:val="006279AB"/>
    <w:rsid w:val="0063208F"/>
    <w:rsid w:val="00633941"/>
    <w:rsid w:val="006469A7"/>
    <w:rsid w:val="00652B9C"/>
    <w:rsid w:val="00656F5B"/>
    <w:rsid w:val="00663C2D"/>
    <w:rsid w:val="00665862"/>
    <w:rsid w:val="0066625B"/>
    <w:rsid w:val="006B4468"/>
    <w:rsid w:val="006F271A"/>
    <w:rsid w:val="007222D9"/>
    <w:rsid w:val="007427EA"/>
    <w:rsid w:val="00761487"/>
    <w:rsid w:val="00773654"/>
    <w:rsid w:val="007A4CFA"/>
    <w:rsid w:val="007A7C60"/>
    <w:rsid w:val="007D3E9B"/>
    <w:rsid w:val="007F244C"/>
    <w:rsid w:val="00825239"/>
    <w:rsid w:val="00841A12"/>
    <w:rsid w:val="00852251"/>
    <w:rsid w:val="008556F8"/>
    <w:rsid w:val="008B19D3"/>
    <w:rsid w:val="008C29C2"/>
    <w:rsid w:val="008E522B"/>
    <w:rsid w:val="008F5959"/>
    <w:rsid w:val="008F70AF"/>
    <w:rsid w:val="00902A14"/>
    <w:rsid w:val="0090475C"/>
    <w:rsid w:val="00966AA0"/>
    <w:rsid w:val="00977757"/>
    <w:rsid w:val="009907DC"/>
    <w:rsid w:val="009F283C"/>
    <w:rsid w:val="009F3263"/>
    <w:rsid w:val="00A11310"/>
    <w:rsid w:val="00A85689"/>
    <w:rsid w:val="00AB1FBF"/>
    <w:rsid w:val="00AC1ABD"/>
    <w:rsid w:val="00B05292"/>
    <w:rsid w:val="00B16810"/>
    <w:rsid w:val="00BE4D5A"/>
    <w:rsid w:val="00C1201E"/>
    <w:rsid w:val="00C44E4F"/>
    <w:rsid w:val="00C4626C"/>
    <w:rsid w:val="00C64EB3"/>
    <w:rsid w:val="00C654B8"/>
    <w:rsid w:val="00CB409A"/>
    <w:rsid w:val="00CC3D4B"/>
    <w:rsid w:val="00D459B2"/>
    <w:rsid w:val="00D6469E"/>
    <w:rsid w:val="00D65868"/>
    <w:rsid w:val="00D8103E"/>
    <w:rsid w:val="00DB5443"/>
    <w:rsid w:val="00DE144B"/>
    <w:rsid w:val="00E33341"/>
    <w:rsid w:val="00E5304F"/>
    <w:rsid w:val="00E61B92"/>
    <w:rsid w:val="00E77D22"/>
    <w:rsid w:val="00E92E89"/>
    <w:rsid w:val="00F44851"/>
    <w:rsid w:val="00FB268D"/>
    <w:rsid w:val="00FF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E6D06"/>
  <w15:docId w15:val="{444D18FA-F10F-49DB-B470-D772422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paragraph" w:styleId="Heading3">
    <w:name w:val="heading 3"/>
    <w:basedOn w:val="Normal"/>
    <w:next w:val="Normal"/>
    <w:link w:val="Heading3Char"/>
    <w:uiPriority w:val="9"/>
    <w:semiHidden/>
    <w:unhideWhenUsed/>
    <w:qFormat/>
    <w:rsid w:val="00241B49"/>
    <w:pPr>
      <w:keepNext/>
      <w:keepLines/>
      <w:spacing w:before="200" w:after="0"/>
      <w:outlineLvl w:val="2"/>
    </w:pPr>
    <w:rPr>
      <w:rFonts w:ascii="Arial" w:eastAsiaTheme="majorEastAsia" w:hAnsi="Arial" w:cstheme="majorBidi"/>
      <w:b/>
      <w:bCs/>
      <w:color w:val="000000" w:themeColor="text1"/>
      <w:sz w:val="24"/>
      <w:u w:val="single"/>
    </w:rPr>
  </w:style>
  <w:style w:type="paragraph" w:styleId="Heading4">
    <w:name w:val="heading 4"/>
    <w:basedOn w:val="Normal"/>
    <w:next w:val="Normal"/>
    <w:link w:val="Heading4Char"/>
    <w:uiPriority w:val="9"/>
    <w:unhideWhenUsed/>
    <w:qFormat/>
    <w:rsid w:val="00241B49"/>
    <w:pPr>
      <w:keepNext/>
      <w:keepLines/>
      <w:spacing w:before="200" w:after="0"/>
      <w:outlineLvl w:val="3"/>
    </w:pPr>
    <w:rPr>
      <w:rFonts w:ascii="Arial" w:eastAsiaTheme="majorEastAsia" w:hAnsi="Arial" w:cstheme="majorBidi"/>
      <w:bCs/>
      <w:iCs/>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633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41"/>
    <w:rPr>
      <w:rFonts w:ascii="Segoe UI" w:hAnsi="Segoe UI" w:cs="Segoe UI"/>
      <w:sz w:val="18"/>
      <w:szCs w:val="18"/>
    </w:rPr>
  </w:style>
  <w:style w:type="paragraph" w:styleId="FootnoteText">
    <w:name w:val="footnote text"/>
    <w:basedOn w:val="Normal"/>
    <w:link w:val="FootnoteTextChar"/>
    <w:uiPriority w:val="99"/>
    <w:semiHidden/>
    <w:unhideWhenUsed/>
    <w:rsid w:val="00BE4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D5A"/>
    <w:rPr>
      <w:sz w:val="20"/>
      <w:szCs w:val="20"/>
    </w:rPr>
  </w:style>
  <w:style w:type="character" w:styleId="FootnoteReference">
    <w:name w:val="footnote reference"/>
    <w:basedOn w:val="DefaultParagraphFont"/>
    <w:uiPriority w:val="99"/>
    <w:semiHidden/>
    <w:unhideWhenUsed/>
    <w:rsid w:val="00BE4D5A"/>
    <w:rPr>
      <w:vertAlign w:val="superscript"/>
    </w:rPr>
  </w:style>
  <w:style w:type="paragraph" w:styleId="NormalWeb">
    <w:name w:val="Normal (Web)"/>
    <w:basedOn w:val="Normal"/>
    <w:uiPriority w:val="99"/>
    <w:unhideWhenUsed/>
    <w:rsid w:val="00E61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41B49"/>
    <w:rPr>
      <w:rFonts w:ascii="Arial" w:eastAsiaTheme="majorEastAsia" w:hAnsi="Arial" w:cstheme="majorBidi"/>
      <w:b/>
      <w:bCs/>
      <w:color w:val="000000" w:themeColor="text1"/>
      <w:sz w:val="24"/>
      <w:u w:val="single"/>
    </w:rPr>
  </w:style>
  <w:style w:type="character" w:customStyle="1" w:styleId="Heading4Char">
    <w:name w:val="Heading 4 Char"/>
    <w:basedOn w:val="DefaultParagraphFont"/>
    <w:link w:val="Heading4"/>
    <w:uiPriority w:val="9"/>
    <w:rsid w:val="00241B49"/>
    <w:rPr>
      <w:rFonts w:ascii="Arial" w:eastAsiaTheme="majorEastAsia" w:hAnsi="Arial" w:cstheme="majorBidi"/>
      <w:bCs/>
      <w:iCs/>
      <w:color w:val="000000" w:themeColor="text1"/>
      <w:sz w:val="24"/>
      <w:u w:val="single"/>
    </w:rPr>
  </w:style>
  <w:style w:type="paragraph" w:styleId="EndnoteText">
    <w:name w:val="endnote text"/>
    <w:basedOn w:val="Normal"/>
    <w:link w:val="EndnoteTextChar"/>
    <w:uiPriority w:val="99"/>
    <w:semiHidden/>
    <w:unhideWhenUsed/>
    <w:rsid w:val="00FF7F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F71"/>
    <w:rPr>
      <w:sz w:val="20"/>
      <w:szCs w:val="20"/>
    </w:rPr>
  </w:style>
  <w:style w:type="character" w:styleId="EndnoteReference">
    <w:name w:val="endnote reference"/>
    <w:basedOn w:val="DefaultParagraphFont"/>
    <w:uiPriority w:val="99"/>
    <w:semiHidden/>
    <w:unhideWhenUsed/>
    <w:rsid w:val="00FF7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9200">
      <w:bodyDiv w:val="1"/>
      <w:marLeft w:val="0"/>
      <w:marRight w:val="0"/>
      <w:marTop w:val="0"/>
      <w:marBottom w:val="0"/>
      <w:divBdr>
        <w:top w:val="none" w:sz="0" w:space="0" w:color="auto"/>
        <w:left w:val="none" w:sz="0" w:space="0" w:color="auto"/>
        <w:bottom w:val="none" w:sz="0" w:space="0" w:color="auto"/>
        <w:right w:val="none" w:sz="0" w:space="0" w:color="auto"/>
      </w:divBdr>
    </w:div>
    <w:div w:id="325523994">
      <w:bodyDiv w:val="1"/>
      <w:marLeft w:val="0"/>
      <w:marRight w:val="0"/>
      <w:marTop w:val="0"/>
      <w:marBottom w:val="0"/>
      <w:divBdr>
        <w:top w:val="none" w:sz="0" w:space="0" w:color="auto"/>
        <w:left w:val="none" w:sz="0" w:space="0" w:color="auto"/>
        <w:bottom w:val="none" w:sz="0" w:space="0" w:color="auto"/>
        <w:right w:val="none" w:sz="0" w:space="0" w:color="auto"/>
      </w:divBdr>
    </w:div>
    <w:div w:id="396131485">
      <w:bodyDiv w:val="1"/>
      <w:marLeft w:val="0"/>
      <w:marRight w:val="0"/>
      <w:marTop w:val="0"/>
      <w:marBottom w:val="0"/>
      <w:divBdr>
        <w:top w:val="none" w:sz="0" w:space="0" w:color="auto"/>
        <w:left w:val="none" w:sz="0" w:space="0" w:color="auto"/>
        <w:bottom w:val="none" w:sz="0" w:space="0" w:color="auto"/>
        <w:right w:val="none" w:sz="0" w:space="0" w:color="auto"/>
      </w:divBdr>
    </w:div>
    <w:div w:id="463548994">
      <w:bodyDiv w:val="1"/>
      <w:marLeft w:val="0"/>
      <w:marRight w:val="0"/>
      <w:marTop w:val="0"/>
      <w:marBottom w:val="0"/>
      <w:divBdr>
        <w:top w:val="none" w:sz="0" w:space="0" w:color="auto"/>
        <w:left w:val="none" w:sz="0" w:space="0" w:color="auto"/>
        <w:bottom w:val="none" w:sz="0" w:space="0" w:color="auto"/>
        <w:right w:val="none" w:sz="0" w:space="0" w:color="auto"/>
      </w:divBdr>
    </w:div>
    <w:div w:id="818886674">
      <w:bodyDiv w:val="1"/>
      <w:marLeft w:val="0"/>
      <w:marRight w:val="0"/>
      <w:marTop w:val="0"/>
      <w:marBottom w:val="0"/>
      <w:divBdr>
        <w:top w:val="none" w:sz="0" w:space="0" w:color="auto"/>
        <w:left w:val="none" w:sz="0" w:space="0" w:color="auto"/>
        <w:bottom w:val="none" w:sz="0" w:space="0" w:color="auto"/>
        <w:right w:val="none" w:sz="0" w:space="0" w:color="auto"/>
      </w:divBdr>
    </w:div>
    <w:div w:id="914506945">
      <w:bodyDiv w:val="1"/>
      <w:marLeft w:val="0"/>
      <w:marRight w:val="0"/>
      <w:marTop w:val="0"/>
      <w:marBottom w:val="0"/>
      <w:divBdr>
        <w:top w:val="none" w:sz="0" w:space="0" w:color="auto"/>
        <w:left w:val="none" w:sz="0" w:space="0" w:color="auto"/>
        <w:bottom w:val="none" w:sz="0" w:space="0" w:color="auto"/>
        <w:right w:val="none" w:sz="0" w:space="0" w:color="auto"/>
      </w:divBdr>
    </w:div>
    <w:div w:id="1054429626">
      <w:bodyDiv w:val="1"/>
      <w:marLeft w:val="0"/>
      <w:marRight w:val="0"/>
      <w:marTop w:val="0"/>
      <w:marBottom w:val="0"/>
      <w:divBdr>
        <w:top w:val="none" w:sz="0" w:space="0" w:color="auto"/>
        <w:left w:val="none" w:sz="0" w:space="0" w:color="auto"/>
        <w:bottom w:val="none" w:sz="0" w:space="0" w:color="auto"/>
        <w:right w:val="none" w:sz="0" w:space="0" w:color="auto"/>
      </w:divBdr>
    </w:div>
    <w:div w:id="1126047812">
      <w:bodyDiv w:val="1"/>
      <w:marLeft w:val="0"/>
      <w:marRight w:val="0"/>
      <w:marTop w:val="0"/>
      <w:marBottom w:val="0"/>
      <w:divBdr>
        <w:top w:val="none" w:sz="0" w:space="0" w:color="auto"/>
        <w:left w:val="none" w:sz="0" w:space="0" w:color="auto"/>
        <w:bottom w:val="none" w:sz="0" w:space="0" w:color="auto"/>
        <w:right w:val="none" w:sz="0" w:space="0" w:color="auto"/>
      </w:divBdr>
    </w:div>
    <w:div w:id="1317539713">
      <w:bodyDiv w:val="1"/>
      <w:marLeft w:val="0"/>
      <w:marRight w:val="0"/>
      <w:marTop w:val="0"/>
      <w:marBottom w:val="0"/>
      <w:divBdr>
        <w:top w:val="none" w:sz="0" w:space="0" w:color="auto"/>
        <w:left w:val="none" w:sz="0" w:space="0" w:color="auto"/>
        <w:bottom w:val="none" w:sz="0" w:space="0" w:color="auto"/>
        <w:right w:val="none" w:sz="0" w:space="0" w:color="auto"/>
      </w:divBdr>
    </w:div>
    <w:div w:id="1698853214">
      <w:bodyDiv w:val="1"/>
      <w:marLeft w:val="0"/>
      <w:marRight w:val="0"/>
      <w:marTop w:val="0"/>
      <w:marBottom w:val="0"/>
      <w:divBdr>
        <w:top w:val="none" w:sz="0" w:space="0" w:color="auto"/>
        <w:left w:val="none" w:sz="0" w:space="0" w:color="auto"/>
        <w:bottom w:val="none" w:sz="0" w:space="0" w:color="auto"/>
        <w:right w:val="none" w:sz="0" w:space="0" w:color="auto"/>
      </w:divBdr>
    </w:div>
    <w:div w:id="1883517173">
      <w:bodyDiv w:val="1"/>
      <w:marLeft w:val="0"/>
      <w:marRight w:val="0"/>
      <w:marTop w:val="0"/>
      <w:marBottom w:val="0"/>
      <w:divBdr>
        <w:top w:val="none" w:sz="0" w:space="0" w:color="auto"/>
        <w:left w:val="none" w:sz="0" w:space="0" w:color="auto"/>
        <w:bottom w:val="none" w:sz="0" w:space="0" w:color="auto"/>
        <w:right w:val="none" w:sz="0" w:space="0" w:color="auto"/>
      </w:divBdr>
    </w:div>
    <w:div w:id="2011643126">
      <w:bodyDiv w:val="1"/>
      <w:marLeft w:val="0"/>
      <w:marRight w:val="0"/>
      <w:marTop w:val="0"/>
      <w:marBottom w:val="0"/>
      <w:divBdr>
        <w:top w:val="none" w:sz="0" w:space="0" w:color="auto"/>
        <w:left w:val="none" w:sz="0" w:space="0" w:color="auto"/>
        <w:bottom w:val="none" w:sz="0" w:space="0" w:color="auto"/>
        <w:right w:val="none" w:sz="0" w:space="0" w:color="auto"/>
      </w:divBdr>
    </w:div>
    <w:div w:id="2034072096">
      <w:bodyDiv w:val="1"/>
      <w:marLeft w:val="0"/>
      <w:marRight w:val="0"/>
      <w:marTop w:val="0"/>
      <w:marBottom w:val="0"/>
      <w:divBdr>
        <w:top w:val="none" w:sz="0" w:space="0" w:color="auto"/>
        <w:left w:val="none" w:sz="0" w:space="0" w:color="auto"/>
        <w:bottom w:val="none" w:sz="0" w:space="0" w:color="auto"/>
        <w:right w:val="none" w:sz="0" w:space="0" w:color="auto"/>
      </w:divBdr>
    </w:div>
    <w:div w:id="20578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306D-FB48-4B35-844B-FC72C03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Jo Collins DS 42001471</cp:lastModifiedBy>
  <cp:revision>2</cp:revision>
  <cp:lastPrinted>2018-10-12T07:22:00Z</cp:lastPrinted>
  <dcterms:created xsi:type="dcterms:W3CDTF">2018-10-15T14:20:00Z</dcterms:created>
  <dcterms:modified xsi:type="dcterms:W3CDTF">2018-10-15T14:20:00Z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