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5FCB" w14:textId="3A63FDBE" w:rsidR="00011BFE" w:rsidRDefault="00011BFE" w:rsidP="00732032"/>
    <w:p w14:paraId="10B3C784" w14:textId="70F7074F" w:rsidR="00011BFE" w:rsidRDefault="00011BFE" w:rsidP="00732032"/>
    <w:p w14:paraId="637F348D" w14:textId="6871BF80" w:rsidR="00011BFE" w:rsidRDefault="00011BFE" w:rsidP="00732032"/>
    <w:p w14:paraId="569F19A3" w14:textId="7BDC3DC8" w:rsidR="00011BFE" w:rsidRDefault="00011BFE" w:rsidP="00732032"/>
    <w:p w14:paraId="33E94649" w14:textId="77777777" w:rsidR="00011BFE" w:rsidRDefault="00011BFE" w:rsidP="00732032"/>
    <w:p w14:paraId="178A9765" w14:textId="77777777" w:rsidR="00011BFE" w:rsidRDefault="00011BFE" w:rsidP="00732032"/>
    <w:p w14:paraId="18626FB2" w14:textId="19EF9743"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363C3" w:rsidRPr="002F45F7" w:rsidRDefault="00B363C3"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363C3" w:rsidRPr="002F45F7" w:rsidRDefault="00B363C3"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363C3" w:rsidRPr="002F45F7" w:rsidRDefault="00B363C3"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363C3" w:rsidRPr="002F45F7" w:rsidRDefault="00B363C3"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0463BD4A" w:rsidR="00B15F8B" w:rsidRPr="00B15F8B" w:rsidRDefault="005F43BF" w:rsidP="009E572F">
            <w:pPr>
              <w:spacing w:before="120" w:after="120"/>
              <w:rPr>
                <w:rFonts w:cs="Times New Roman"/>
                <w:b/>
                <w:szCs w:val="20"/>
              </w:rPr>
            </w:pPr>
            <w:r>
              <w:rPr>
                <w:rFonts w:cs="Times New Roman"/>
                <w:b/>
                <w:szCs w:val="20"/>
              </w:rPr>
              <w:t>ECFRS Performance and Resources Board</w:t>
            </w:r>
            <w:bookmarkStart w:id="0" w:name="_GoBack"/>
            <w:bookmarkEnd w:id="0"/>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38012D99" w:rsidR="00B15F8B" w:rsidRPr="00B15F8B" w:rsidRDefault="005F43BF" w:rsidP="009E572F">
            <w:pPr>
              <w:spacing w:before="120" w:after="120"/>
              <w:rPr>
                <w:rFonts w:cs="Times New Roman"/>
                <w:sz w:val="32"/>
                <w:szCs w:val="32"/>
              </w:rPr>
            </w:pPr>
            <w:r>
              <w:rPr>
                <w:rFonts w:cs="Times New Roman"/>
                <w:sz w:val="32"/>
                <w:szCs w:val="32"/>
              </w:rPr>
              <w:t>10</w:t>
            </w:r>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39A8CFF3" w:rsidR="00B15F8B" w:rsidRPr="009E572F" w:rsidRDefault="005F43BF" w:rsidP="00EC7871">
            <w:pPr>
              <w:spacing w:before="120" w:after="120"/>
              <w:rPr>
                <w:rFonts w:cs="Times New Roman"/>
                <w:szCs w:val="20"/>
              </w:rPr>
            </w:pPr>
            <w:r>
              <w:rPr>
                <w:rFonts w:cs="Times New Roman"/>
                <w:szCs w:val="20"/>
              </w:rPr>
              <w:t>25</w:t>
            </w:r>
            <w:r w:rsidR="008A4D1C" w:rsidRPr="008A4D1C">
              <w:rPr>
                <w:rFonts w:cs="Times New Roman"/>
                <w:szCs w:val="20"/>
                <w:vertAlign w:val="superscript"/>
              </w:rPr>
              <w:t>th</w:t>
            </w:r>
            <w:r w:rsidR="008A4D1C">
              <w:rPr>
                <w:rFonts w:cs="Times New Roman"/>
                <w:szCs w:val="20"/>
              </w:rPr>
              <w:t xml:space="preserve"> March </w:t>
            </w:r>
            <w:r w:rsidR="00010C9F">
              <w:rPr>
                <w:rFonts w:cs="Times New Roman"/>
                <w:szCs w:val="20"/>
              </w:rPr>
              <w:t xml:space="preserve">2019 </w:t>
            </w:r>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77777777"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516318D1" w:rsidR="009E572F" w:rsidRPr="00B15F8B" w:rsidRDefault="00010C9F" w:rsidP="009E572F">
            <w:pPr>
              <w:spacing w:before="120" w:after="120"/>
              <w:rPr>
                <w:rFonts w:cs="Times New Roman"/>
                <w:szCs w:val="20"/>
              </w:rPr>
            </w:pPr>
            <w:r>
              <w:rPr>
                <w:rFonts w:cs="Times New Roman"/>
                <w:szCs w:val="20"/>
              </w:rPr>
              <w:t>Director of Prevention, Protection &amp; Response</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61942758" w:rsidR="009E572F" w:rsidRPr="009E572F" w:rsidRDefault="00010C9F" w:rsidP="009E572F">
            <w:pPr>
              <w:spacing w:before="120" w:after="120"/>
              <w:rPr>
                <w:rFonts w:cs="Times New Roman"/>
                <w:szCs w:val="20"/>
              </w:rPr>
            </w:pPr>
            <w:r>
              <w:rPr>
                <w:rFonts w:cs="Times New Roman"/>
                <w:szCs w:val="20"/>
              </w:rPr>
              <w:t>Director of Prevention, Protection &amp; Response</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0F135DDF" w:rsidR="009E572F" w:rsidRPr="003A46D1" w:rsidRDefault="00010C9F" w:rsidP="009E572F">
            <w:pPr>
              <w:spacing w:before="120" w:after="120"/>
              <w:rPr>
                <w:rFonts w:cs="Times New Roman"/>
                <w:b/>
                <w:szCs w:val="20"/>
              </w:rPr>
            </w:pPr>
            <w:r>
              <w:rPr>
                <w:rFonts w:cs="Times New Roman"/>
                <w:b/>
                <w:szCs w:val="20"/>
              </w:rPr>
              <w:t xml:space="preserve">Collapsed behind closed doors </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0FD1F091" w:rsidR="009E572F" w:rsidRPr="009E572F" w:rsidRDefault="00140960" w:rsidP="00B71DD7">
            <w:pPr>
              <w:tabs>
                <w:tab w:val="num" w:pos="567"/>
              </w:tabs>
              <w:spacing w:before="120" w:after="120"/>
              <w:rPr>
                <w:rFonts w:cs="Times New Roman"/>
                <w:szCs w:val="20"/>
              </w:rPr>
            </w:pPr>
            <w:r>
              <w:rPr>
                <w:rFonts w:cs="Times New Roman"/>
                <w:szCs w:val="20"/>
              </w:rPr>
              <w:t>Information</w:t>
            </w:r>
          </w:p>
        </w:tc>
      </w:tr>
    </w:tbl>
    <w:p w14:paraId="4122DB56" w14:textId="77777777" w:rsidR="009E572F" w:rsidRDefault="009E572F" w:rsidP="009E572F">
      <w:pPr>
        <w:tabs>
          <w:tab w:val="num" w:pos="567"/>
        </w:tabs>
        <w:spacing w:after="120"/>
        <w:rPr>
          <w:rFonts w:cs="Times New Roman"/>
          <w:szCs w:val="20"/>
        </w:rPr>
      </w:pPr>
    </w:p>
    <w:p w14:paraId="71455B24" w14:textId="7987539F" w:rsidR="00A20145" w:rsidRDefault="00C0492F" w:rsidP="00695E95">
      <w:pPr>
        <w:pStyle w:val="Heading1"/>
        <w:spacing w:after="120"/>
      </w:pPr>
      <w:r w:rsidRPr="00C0492F">
        <w:t>Recommendations</w:t>
      </w:r>
    </w:p>
    <w:p w14:paraId="7F981AC3" w14:textId="104E687A" w:rsidR="002F3BA0" w:rsidRPr="00EE60F4" w:rsidRDefault="002F3BA0" w:rsidP="00695E95">
      <w:pPr>
        <w:spacing w:after="360"/>
        <w:jc w:val="both"/>
      </w:pPr>
      <w:r>
        <w:t>To provide member</w:t>
      </w:r>
      <w:r w:rsidR="00441CF0">
        <w:t>s</w:t>
      </w:r>
      <w:r>
        <w:t xml:space="preserve"> of the board with statistics and information </w:t>
      </w:r>
      <w:r w:rsidR="00441CF0">
        <w:t>in relation to</w:t>
      </w:r>
      <w:r w:rsidR="00047209" w:rsidRPr="00047209">
        <w:t xml:space="preserve"> Essex</w:t>
      </w:r>
      <w:r w:rsidR="00F6754F">
        <w:t xml:space="preserve"> County</w:t>
      </w:r>
      <w:r w:rsidR="00047209" w:rsidRPr="00047209">
        <w:t xml:space="preserve"> Fire and Rescue Service</w:t>
      </w:r>
      <w:r w:rsidR="00441CF0" w:rsidRPr="00047209">
        <w:t xml:space="preserve"> </w:t>
      </w:r>
      <w:r w:rsidR="00F6754F">
        <w:t>(</w:t>
      </w:r>
      <w:r w:rsidR="00047209">
        <w:t>ECFRS</w:t>
      </w:r>
      <w:r w:rsidR="00F6754F">
        <w:t>)</w:t>
      </w:r>
      <w:r w:rsidR="00047209">
        <w:t xml:space="preserve"> attendance to</w:t>
      </w:r>
      <w:r w:rsidR="00040F7F">
        <w:t xml:space="preserve"> </w:t>
      </w:r>
      <w:r w:rsidR="00441CF0">
        <w:t xml:space="preserve">collapsed behind </w:t>
      </w:r>
      <w:r w:rsidR="00040F7F">
        <w:t xml:space="preserve">closed </w:t>
      </w:r>
      <w:r w:rsidR="00441CF0">
        <w:t>doors</w:t>
      </w:r>
      <w:r w:rsidR="00DF068F">
        <w:t xml:space="preserve"> incidents</w:t>
      </w:r>
      <w:r w:rsidR="00441CF0">
        <w:t>.</w:t>
      </w:r>
    </w:p>
    <w:p w14:paraId="053FA8EC" w14:textId="3E699BAA" w:rsidR="00C0492F" w:rsidRDefault="00C0492F" w:rsidP="00695E95">
      <w:pPr>
        <w:pStyle w:val="Heading1"/>
        <w:spacing w:after="120"/>
        <w:jc w:val="both"/>
      </w:pPr>
      <w:r>
        <w:t>BACKGROUND</w:t>
      </w:r>
    </w:p>
    <w:p w14:paraId="667F451E" w14:textId="32D905A9" w:rsidR="0053153D" w:rsidRPr="0053153D" w:rsidRDefault="00F6754F" w:rsidP="00695E95">
      <w:pPr>
        <w:spacing w:after="360"/>
        <w:jc w:val="both"/>
      </w:pPr>
      <w:r>
        <w:t>ECFRS</w:t>
      </w:r>
      <w:r w:rsidR="0053153D" w:rsidRPr="0053153D">
        <w:t xml:space="preserve"> assist the East of England Ambulance Service Trust (EEAST) with enforced entry requests for patients who have collapsed behind closed doors.</w:t>
      </w:r>
      <w:r w:rsidR="00DF068F">
        <w:t xml:space="preserve"> </w:t>
      </w:r>
      <w:r w:rsidR="0053153D" w:rsidRPr="0053153D">
        <w:t xml:space="preserve">The circumstances in which </w:t>
      </w:r>
      <w:r w:rsidR="00DF068F">
        <w:t xml:space="preserve">this is done is set out in the Operational Article note in Appendix One. </w:t>
      </w:r>
    </w:p>
    <w:p w14:paraId="29896A9E" w14:textId="5DB77D37" w:rsidR="00B71DD7" w:rsidRDefault="00C0492F" w:rsidP="00695E95">
      <w:pPr>
        <w:pStyle w:val="Heading1"/>
        <w:spacing w:after="120"/>
        <w:jc w:val="both"/>
      </w:pPr>
      <w:r>
        <w:t>Analysis</w:t>
      </w:r>
    </w:p>
    <w:p w14:paraId="630E7DD9" w14:textId="77777777" w:rsidR="004865CE" w:rsidRDefault="004865CE" w:rsidP="00695E95">
      <w:pPr>
        <w:jc w:val="both"/>
      </w:pPr>
      <w:r>
        <w:t>Also attached for information is the following information; -</w:t>
      </w:r>
    </w:p>
    <w:p w14:paraId="3DFED3F6" w14:textId="77777777" w:rsidR="004865CE" w:rsidRDefault="004865CE" w:rsidP="00695E95">
      <w:pPr>
        <w:jc w:val="both"/>
      </w:pPr>
    </w:p>
    <w:p w14:paraId="74164DF2" w14:textId="77777777" w:rsidR="004865CE" w:rsidRDefault="004865CE" w:rsidP="00695E95">
      <w:pPr>
        <w:ind w:left="720" w:hanging="720"/>
        <w:jc w:val="both"/>
      </w:pPr>
      <w:r>
        <w:t>•</w:t>
      </w:r>
      <w:r>
        <w:tab/>
        <w:t>The number of special service calls broken down by year/month, shown in Appendix 2.</w:t>
      </w:r>
    </w:p>
    <w:p w14:paraId="16B924FE" w14:textId="77777777" w:rsidR="004865CE" w:rsidRDefault="004865CE" w:rsidP="00695E95">
      <w:pPr>
        <w:jc w:val="both"/>
      </w:pPr>
      <w:r>
        <w:t>•</w:t>
      </w:r>
      <w:r>
        <w:tab/>
        <w:t>The number of calls broken down by description, shown in appendix 3.</w:t>
      </w:r>
    </w:p>
    <w:p w14:paraId="57CCE349" w14:textId="77777777" w:rsidR="004865CE" w:rsidRDefault="004865CE" w:rsidP="00695E95">
      <w:pPr>
        <w:ind w:left="720" w:hanging="720"/>
        <w:jc w:val="both"/>
      </w:pPr>
      <w:r>
        <w:t>•</w:t>
      </w:r>
      <w:r>
        <w:tab/>
        <w:t>Special Service Calls attended at Private Dwellings where the call was initiated by the Ambulance Service, shown in Appendix 4.</w:t>
      </w:r>
    </w:p>
    <w:p w14:paraId="07FC5AB6" w14:textId="16CEF848" w:rsidR="004865CE" w:rsidRDefault="004865CE" w:rsidP="00695E95">
      <w:pPr>
        <w:spacing w:after="360"/>
        <w:jc w:val="both"/>
      </w:pPr>
      <w:r>
        <w:t>•</w:t>
      </w:r>
      <w:r>
        <w:tab/>
        <w:t>Reasons for assisting other Services, shown in Appendix 5.</w:t>
      </w:r>
    </w:p>
    <w:p w14:paraId="1D0EE2A7" w14:textId="7304534B" w:rsidR="00C0492F" w:rsidRDefault="00C0492F" w:rsidP="00695E95">
      <w:pPr>
        <w:pStyle w:val="Heading1"/>
        <w:spacing w:after="120"/>
      </w:pPr>
      <w:r w:rsidRPr="002E1E94">
        <w:t>Benefits and Risk Implications</w:t>
      </w:r>
    </w:p>
    <w:p w14:paraId="6069A6D3" w14:textId="6F946930" w:rsidR="00695E95" w:rsidRDefault="004865CE" w:rsidP="00695E95">
      <w:pPr>
        <w:spacing w:after="360"/>
        <w:jc w:val="both"/>
      </w:pPr>
      <w:r>
        <w:t>The statistic</w:t>
      </w:r>
      <w:r w:rsidR="00C75CE4">
        <w:t>s</w:t>
      </w:r>
      <w:r>
        <w:t xml:space="preserve"> show that there are many incident</w:t>
      </w:r>
      <w:r w:rsidR="00C75CE4">
        <w:t>s</w:t>
      </w:r>
      <w:r>
        <w:t xml:space="preserve"> where ECFRS assist partner agencies in order to bring a </w:t>
      </w:r>
      <w:r w:rsidR="00C75CE4">
        <w:t xml:space="preserve">swift </w:t>
      </w:r>
      <w:r>
        <w:t xml:space="preserve">resolution to an incident. </w:t>
      </w:r>
      <w:r w:rsidR="00C75CE4">
        <w:t>Alt</w:t>
      </w:r>
      <w:r>
        <w:t>hough controls are in place there is a risk that Fire resources may attend an incident for a prolonged period due to premises being left unsecured following action required to access a</w:t>
      </w:r>
      <w:r w:rsidR="00695E95">
        <w:t xml:space="preserve"> property.</w:t>
      </w:r>
    </w:p>
    <w:p w14:paraId="1021915C" w14:textId="5A31657F" w:rsidR="00C0492F" w:rsidRDefault="00C0492F" w:rsidP="00695E95">
      <w:pPr>
        <w:pStyle w:val="Heading1"/>
        <w:spacing w:after="120"/>
      </w:pPr>
      <w:r w:rsidRPr="002E1E94">
        <w:lastRenderedPageBreak/>
        <w:t>Financial Implications</w:t>
      </w:r>
    </w:p>
    <w:p w14:paraId="2C8DF3BC" w14:textId="74B9E9D6" w:rsidR="004865CE" w:rsidRPr="004865CE" w:rsidRDefault="004865CE" w:rsidP="00695E95">
      <w:pPr>
        <w:spacing w:after="360"/>
      </w:pPr>
      <w:r>
        <w:t>The main financial implications would be through On-call crews attending incidents. The On-call budget for 2018-19 is currently underspent.</w:t>
      </w:r>
    </w:p>
    <w:p w14:paraId="469BBF56" w14:textId="75DC223A" w:rsidR="00C0492F" w:rsidRDefault="00C0492F" w:rsidP="00695E95">
      <w:pPr>
        <w:pStyle w:val="Heading1"/>
        <w:spacing w:after="120"/>
      </w:pPr>
      <w:r w:rsidRPr="002E1E94">
        <w:t>Equality and Diversity Implications</w:t>
      </w:r>
    </w:p>
    <w:p w14:paraId="23DBA2D7" w14:textId="2B945272" w:rsidR="004865CE" w:rsidRPr="004865CE" w:rsidRDefault="004865CE" w:rsidP="00011BFE">
      <w:pPr>
        <w:spacing w:after="360"/>
      </w:pPr>
      <w:r>
        <w:t>Non</w:t>
      </w:r>
      <w:r w:rsidR="00C75CE4">
        <w:t xml:space="preserve">e </w:t>
      </w:r>
      <w:r>
        <w:t>specific to this report.</w:t>
      </w:r>
    </w:p>
    <w:p w14:paraId="0BC72C8C" w14:textId="6CFA1A42" w:rsidR="00C0492F" w:rsidRDefault="00C0492F" w:rsidP="00695E95">
      <w:pPr>
        <w:pStyle w:val="Heading1"/>
        <w:spacing w:after="120"/>
      </w:pPr>
      <w:r w:rsidRPr="002E1E94">
        <w:t>Workforce Engagement</w:t>
      </w:r>
    </w:p>
    <w:p w14:paraId="6A4AB985" w14:textId="4A3B5DA2" w:rsidR="00C01D1B" w:rsidRPr="004865CE" w:rsidRDefault="00C01D1B" w:rsidP="00695E95">
      <w:pPr>
        <w:spacing w:after="360"/>
      </w:pPr>
      <w:r>
        <w:t xml:space="preserve">The workforce are fully engaged with this activity, as </w:t>
      </w:r>
      <w:r w:rsidR="00C75CE4">
        <w:t xml:space="preserve">shown </w:t>
      </w:r>
      <w:r>
        <w:t xml:space="preserve">from the Operational Article there is facility for crews to raise any delays in </w:t>
      </w:r>
      <w:r w:rsidR="00C75CE4">
        <w:t xml:space="preserve">receiving </w:t>
      </w:r>
      <w:r>
        <w:t>Ambulance support in the Incident Recording System</w:t>
      </w:r>
      <w:r w:rsidR="00C75CE4">
        <w:t xml:space="preserve"> (IRS)</w:t>
      </w:r>
      <w:r>
        <w:t>.</w:t>
      </w:r>
    </w:p>
    <w:p w14:paraId="3A670D10" w14:textId="4E48AB25" w:rsidR="00C0492F" w:rsidRDefault="00A20145" w:rsidP="00695E95">
      <w:pPr>
        <w:pStyle w:val="Heading1"/>
        <w:spacing w:after="120"/>
      </w:pPr>
      <w:r>
        <w:t>Legal ImplicationS</w:t>
      </w:r>
    </w:p>
    <w:p w14:paraId="64FDDDEC" w14:textId="3C3B79FD" w:rsidR="00C01D1B" w:rsidRPr="00C01D1B" w:rsidRDefault="00C01D1B" w:rsidP="00695E95">
      <w:pPr>
        <w:spacing w:after="360"/>
      </w:pPr>
      <w:r>
        <w:t>None specific to this report.</w:t>
      </w:r>
    </w:p>
    <w:p w14:paraId="6A865E89" w14:textId="5E0B1C8A" w:rsidR="00C01D1B" w:rsidRDefault="00F64805" w:rsidP="00695E95">
      <w:pPr>
        <w:spacing w:after="120"/>
        <w:rPr>
          <w:b/>
        </w:rPr>
      </w:pPr>
      <w:r>
        <w:rPr>
          <w:b/>
        </w:rPr>
        <w:t>HEALTH AND SAFETY IMPLICATIONS</w:t>
      </w:r>
    </w:p>
    <w:p w14:paraId="74D6CA7D" w14:textId="6283EB7D" w:rsidR="00C01D1B" w:rsidRDefault="00C01D1B" w:rsidP="00695E95">
      <w:r w:rsidRPr="00C01D1B">
        <w:t xml:space="preserve">The Service has </w:t>
      </w:r>
      <w:r>
        <w:t xml:space="preserve">equipment </w:t>
      </w:r>
      <w:r w:rsidR="00C75CE4">
        <w:t xml:space="preserve">for forced entry </w:t>
      </w:r>
      <w:r>
        <w:t>available on all fire appliances.</w:t>
      </w:r>
    </w:p>
    <w:p w14:paraId="0B389A04" w14:textId="50A5D8DB" w:rsidR="003B0105" w:rsidRDefault="003B0105" w:rsidP="00695E95"/>
    <w:p w14:paraId="057D3157" w14:textId="14F734B4" w:rsidR="003B0105" w:rsidRDefault="003B0105" w:rsidP="00F64805"/>
    <w:p w14:paraId="6AAD93F0" w14:textId="46BF330A" w:rsidR="003B0105" w:rsidRDefault="003B0105" w:rsidP="00F64805"/>
    <w:p w14:paraId="1BF52602" w14:textId="77777777" w:rsidR="003B0105" w:rsidRDefault="003B0105" w:rsidP="00F64805">
      <w:pPr>
        <w:sectPr w:rsidR="003B0105" w:rsidSect="0053153D">
          <w:footerReference w:type="default" r:id="rId9"/>
          <w:footerReference w:type="first" r:id="rId10"/>
          <w:pgSz w:w="11906" w:h="16838" w:code="9"/>
          <w:pgMar w:top="1134" w:right="1276" w:bottom="1134" w:left="1276" w:header="709" w:footer="709" w:gutter="0"/>
          <w:cols w:space="708"/>
          <w:titlePg/>
          <w:docGrid w:linePitch="360"/>
        </w:sectPr>
      </w:pPr>
    </w:p>
    <w:tbl>
      <w:tblPr>
        <w:tblStyle w:val="TableGrid1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567"/>
        <w:gridCol w:w="2222"/>
        <w:gridCol w:w="12"/>
        <w:gridCol w:w="759"/>
        <w:gridCol w:w="3300"/>
        <w:gridCol w:w="799"/>
        <w:gridCol w:w="1980"/>
      </w:tblGrid>
      <w:tr w:rsidR="00E06077" w:rsidRPr="00E06077" w14:paraId="009F53F0" w14:textId="77777777" w:rsidTr="000901A1">
        <w:trPr>
          <w:trHeight w:val="560"/>
        </w:trPr>
        <w:tc>
          <w:tcPr>
            <w:tcW w:w="3510" w:type="dxa"/>
            <w:gridSpan w:val="4"/>
          </w:tcPr>
          <w:p w14:paraId="53773309" w14:textId="77777777" w:rsidR="00E06077" w:rsidRPr="00E06077" w:rsidRDefault="00E06077" w:rsidP="00E06077">
            <w:pPr>
              <w:rPr>
                <w:szCs w:val="22"/>
              </w:rPr>
            </w:pPr>
            <w:r w:rsidRPr="00E06077">
              <w:rPr>
                <w:szCs w:val="22"/>
              </w:rPr>
              <w:lastRenderedPageBreak/>
              <w:t>Fire &amp; Rescue Service</w:t>
            </w:r>
          </w:p>
          <w:p w14:paraId="1EEDCFEA" w14:textId="77777777" w:rsidR="00E06077" w:rsidRPr="00E06077" w:rsidRDefault="00E06077" w:rsidP="00E06077">
            <w:pPr>
              <w:rPr>
                <w:szCs w:val="22"/>
              </w:rPr>
            </w:pPr>
            <w:r w:rsidRPr="00E06077">
              <w:rPr>
                <w:szCs w:val="22"/>
              </w:rPr>
              <w:t>Operational Guidance</w:t>
            </w:r>
          </w:p>
        </w:tc>
        <w:tc>
          <w:tcPr>
            <w:tcW w:w="759" w:type="dxa"/>
            <w:vAlign w:val="center"/>
          </w:tcPr>
          <w:p w14:paraId="244E1036" w14:textId="77777777" w:rsidR="00E06077" w:rsidRPr="00E06077" w:rsidRDefault="00E06077" w:rsidP="00E06077">
            <w:pPr>
              <w:tabs>
                <w:tab w:val="left" w:pos="5670"/>
              </w:tabs>
              <w:jc w:val="center"/>
              <w:rPr>
                <w:rFonts w:cs="Times New Roman"/>
                <w:b/>
                <w:color w:val="000000"/>
                <w:sz w:val="18"/>
                <w:szCs w:val="52"/>
              </w:rPr>
            </w:pPr>
            <w:r w:rsidRPr="00E06077">
              <w:rPr>
                <w:i/>
                <w:noProof/>
                <w:color w:val="262626"/>
                <w:sz w:val="20"/>
                <w:szCs w:val="22"/>
                <w:lang w:eastAsia="en-GB"/>
              </w:rPr>
              <w:drawing>
                <wp:inline distT="0" distB="0" distL="0" distR="0" wp14:anchorId="20D0C014" wp14:editId="03658DB8">
                  <wp:extent cx="337457" cy="345492"/>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457" cy="345492"/>
                          </a:xfrm>
                          <a:prstGeom prst="rect">
                            <a:avLst/>
                          </a:prstGeom>
                        </pic:spPr>
                      </pic:pic>
                    </a:graphicData>
                  </a:graphic>
                </wp:inline>
              </w:drawing>
            </w:r>
          </w:p>
        </w:tc>
        <w:tc>
          <w:tcPr>
            <w:tcW w:w="4099" w:type="dxa"/>
            <w:gridSpan w:val="2"/>
            <w:vAlign w:val="center"/>
          </w:tcPr>
          <w:p w14:paraId="61D0B70A" w14:textId="77777777" w:rsidR="00E06077" w:rsidRPr="00E06077" w:rsidRDefault="00E06077" w:rsidP="00E06077">
            <w:pPr>
              <w:tabs>
                <w:tab w:val="left" w:pos="5670"/>
              </w:tabs>
              <w:rPr>
                <w:rFonts w:cs="Times New Roman"/>
                <w:b/>
                <w:color w:val="000000"/>
                <w:sz w:val="18"/>
                <w:szCs w:val="52"/>
              </w:rPr>
            </w:pPr>
            <w:r w:rsidRPr="00E06077">
              <w:rPr>
                <w:rFonts w:cs="Times New Roman"/>
                <w:color w:val="76923C"/>
                <w:sz w:val="20"/>
                <w:szCs w:val="22"/>
              </w:rPr>
              <w:t>NOT PROTECTIVELY MARKED</w:t>
            </w:r>
          </w:p>
        </w:tc>
        <w:tc>
          <w:tcPr>
            <w:tcW w:w="1980" w:type="dxa"/>
            <w:vMerge w:val="restart"/>
          </w:tcPr>
          <w:p w14:paraId="1F0AE928" w14:textId="77777777" w:rsidR="00E06077" w:rsidRPr="00E06077" w:rsidRDefault="00E06077" w:rsidP="00E06077">
            <w:pPr>
              <w:tabs>
                <w:tab w:val="left" w:pos="5670"/>
              </w:tabs>
              <w:contextualSpacing/>
              <w:jc w:val="right"/>
              <w:rPr>
                <w:rFonts w:cs="Times New Roman"/>
                <w:b/>
                <w:color w:val="000000"/>
                <w:sz w:val="18"/>
                <w:szCs w:val="52"/>
              </w:rPr>
            </w:pPr>
            <w:r w:rsidRPr="00E06077">
              <w:rPr>
                <w:rFonts w:cs="Times New Roman"/>
                <w:noProof/>
                <w:sz w:val="18"/>
                <w:szCs w:val="52"/>
                <w:lang w:eastAsia="en-GB"/>
              </w:rPr>
              <w:drawing>
                <wp:anchor distT="0" distB="0" distL="114300" distR="114300" simplePos="0" relativeHeight="251664896" behindDoc="0" locked="0" layoutInCell="1" allowOverlap="1" wp14:anchorId="69FA8623" wp14:editId="4AF8D2B1">
                  <wp:simplePos x="0" y="0"/>
                  <wp:positionH relativeFrom="margin">
                    <wp:posOffset>157480</wp:posOffset>
                  </wp:positionH>
                  <wp:positionV relativeFrom="margin">
                    <wp:posOffset>0</wp:posOffset>
                  </wp:positionV>
                  <wp:extent cx="1082040" cy="1080770"/>
                  <wp:effectExtent l="0" t="0" r="10160" b="11430"/>
                  <wp:wrapThrough wrapText="bothSides">
                    <wp:wrapPolygon edited="0">
                      <wp:start x="9127" y="0"/>
                      <wp:lineTo x="3042" y="2538"/>
                      <wp:lineTo x="1521" y="4061"/>
                      <wp:lineTo x="0" y="9645"/>
                      <wp:lineTo x="0" y="11676"/>
                      <wp:lineTo x="2028" y="16244"/>
                      <wp:lineTo x="2028" y="18275"/>
                      <wp:lineTo x="6085" y="21321"/>
                      <wp:lineTo x="9127" y="21321"/>
                      <wp:lineTo x="12169" y="21321"/>
                      <wp:lineTo x="14704" y="21321"/>
                      <wp:lineTo x="19775" y="17767"/>
                      <wp:lineTo x="19268" y="16244"/>
                      <wp:lineTo x="21296" y="11676"/>
                      <wp:lineTo x="21296" y="9645"/>
                      <wp:lineTo x="20282" y="4569"/>
                      <wp:lineTo x="18254" y="2031"/>
                      <wp:lineTo x="12169" y="0"/>
                      <wp:lineTo x="912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Fire Service Logo.png"/>
                          <pic:cNvPicPr/>
                        </pic:nvPicPr>
                        <pic:blipFill>
                          <a:blip r:embed="rId12" cstate="print">
                            <a:duotone>
                              <a:schemeClr val="bg2">
                                <a:shade val="45000"/>
                                <a:satMod val="135000"/>
                              </a:schemeClr>
                              <a:prstClr val="white"/>
                            </a:duotone>
                            <a:extLst>
                              <a:ext uri="{BEBA8EAE-BF5A-486C-A8C5-ECC9F3942E4B}">
                                <a14:imgProps xmlns:a14="http://schemas.microsoft.com/office/drawing/2010/main">
                                  <a14:imgLayer r:embed="rId13">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082040" cy="1080770"/>
                          </a:xfrm>
                          <a:prstGeom prst="rect">
                            <a:avLst/>
                          </a:prstGeom>
                        </pic:spPr>
                      </pic:pic>
                    </a:graphicData>
                  </a:graphic>
                  <wp14:sizeRelH relativeFrom="margin">
                    <wp14:pctWidth>0</wp14:pctWidth>
                  </wp14:sizeRelH>
                  <wp14:sizeRelV relativeFrom="margin">
                    <wp14:pctHeight>0</wp14:pctHeight>
                  </wp14:sizeRelV>
                </wp:anchor>
              </w:drawing>
            </w:r>
          </w:p>
        </w:tc>
      </w:tr>
      <w:tr w:rsidR="00E06077" w:rsidRPr="00E06077" w14:paraId="1CB0B1DE" w14:textId="77777777" w:rsidTr="000901A1">
        <w:trPr>
          <w:trHeight w:val="688"/>
        </w:trPr>
        <w:tc>
          <w:tcPr>
            <w:tcW w:w="8368" w:type="dxa"/>
            <w:gridSpan w:val="7"/>
          </w:tcPr>
          <w:p w14:paraId="7B63DEB3" w14:textId="77777777" w:rsidR="00E06077" w:rsidRPr="00E06077" w:rsidRDefault="00E06077" w:rsidP="00E06077">
            <w:pPr>
              <w:tabs>
                <w:tab w:val="left" w:pos="5670"/>
              </w:tabs>
              <w:spacing w:before="120"/>
              <w:rPr>
                <w:rFonts w:cs="Times New Roman"/>
                <w:color w:val="000000"/>
                <w:sz w:val="52"/>
                <w:szCs w:val="48"/>
              </w:rPr>
            </w:pPr>
            <w:r w:rsidRPr="00E06077">
              <w:rPr>
                <w:rFonts w:cs="Times New Roman"/>
                <w:b/>
                <w:color w:val="000000"/>
                <w:sz w:val="52"/>
                <w:szCs w:val="48"/>
              </w:rPr>
              <w:t xml:space="preserve">Operational Article </w:t>
            </w:r>
          </w:p>
        </w:tc>
        <w:tc>
          <w:tcPr>
            <w:tcW w:w="1980" w:type="dxa"/>
            <w:vMerge/>
          </w:tcPr>
          <w:p w14:paraId="416361EE" w14:textId="77777777" w:rsidR="00E06077" w:rsidRPr="00E06077" w:rsidRDefault="00E06077" w:rsidP="00E06077">
            <w:pPr>
              <w:tabs>
                <w:tab w:val="left" w:pos="5670"/>
              </w:tabs>
              <w:rPr>
                <w:rFonts w:cs="Times New Roman"/>
                <w:b/>
                <w:color w:val="000000"/>
                <w:sz w:val="18"/>
                <w:szCs w:val="52"/>
              </w:rPr>
            </w:pPr>
          </w:p>
        </w:tc>
      </w:tr>
      <w:tr w:rsidR="00E06077" w:rsidRPr="00E06077" w14:paraId="5D1ACB8C" w14:textId="77777777" w:rsidTr="00E06077">
        <w:trPr>
          <w:trHeight w:val="614"/>
        </w:trPr>
        <w:tc>
          <w:tcPr>
            <w:tcW w:w="8368" w:type="dxa"/>
            <w:gridSpan w:val="7"/>
            <w:tcBorders>
              <w:bottom w:val="single" w:sz="4" w:space="0" w:color="A6A6A6"/>
            </w:tcBorders>
          </w:tcPr>
          <w:p w14:paraId="41A45349" w14:textId="77777777" w:rsidR="00E06077" w:rsidRPr="00E06077" w:rsidRDefault="00E06077" w:rsidP="00E06077">
            <w:pPr>
              <w:rPr>
                <w:rFonts w:cs="Times New Roman"/>
                <w:color w:val="000000"/>
                <w:sz w:val="40"/>
                <w:szCs w:val="48"/>
              </w:rPr>
            </w:pPr>
            <w:r w:rsidRPr="00E06077">
              <w:rPr>
                <w:rFonts w:cs="Times New Roman"/>
                <w:color w:val="000000"/>
                <w:sz w:val="40"/>
                <w:szCs w:val="48"/>
              </w:rPr>
              <w:t>Enforced Entry requests to Essex Fire</w:t>
            </w:r>
          </w:p>
          <w:p w14:paraId="581BF5DA" w14:textId="77777777" w:rsidR="00E06077" w:rsidRPr="00E06077" w:rsidRDefault="00E06077" w:rsidP="00E06077">
            <w:pPr>
              <w:spacing w:before="60" w:after="120"/>
              <w:rPr>
                <w:rFonts w:cs="Times New Roman"/>
                <w:color w:val="000000"/>
                <w:sz w:val="40"/>
                <w:szCs w:val="48"/>
              </w:rPr>
            </w:pPr>
            <w:r w:rsidRPr="00E06077">
              <w:rPr>
                <w:rFonts w:cs="Times New Roman"/>
                <w:color w:val="000000"/>
                <w:sz w:val="40"/>
                <w:szCs w:val="48"/>
              </w:rPr>
              <w:t>and Rescue</w:t>
            </w:r>
          </w:p>
        </w:tc>
        <w:tc>
          <w:tcPr>
            <w:tcW w:w="1980" w:type="dxa"/>
            <w:vMerge/>
            <w:tcBorders>
              <w:bottom w:val="single" w:sz="4" w:space="0" w:color="A6A6A6"/>
            </w:tcBorders>
          </w:tcPr>
          <w:p w14:paraId="43B3A056" w14:textId="77777777" w:rsidR="00E06077" w:rsidRPr="00E06077" w:rsidRDefault="00E06077" w:rsidP="00E06077">
            <w:pPr>
              <w:tabs>
                <w:tab w:val="left" w:pos="5670"/>
              </w:tabs>
              <w:rPr>
                <w:rFonts w:cs="Times New Roman"/>
                <w:b/>
                <w:color w:val="000000"/>
                <w:sz w:val="18"/>
                <w:szCs w:val="52"/>
              </w:rPr>
            </w:pPr>
          </w:p>
        </w:tc>
      </w:tr>
      <w:tr w:rsidR="00E06077" w:rsidRPr="00E06077" w14:paraId="2E050B28" w14:textId="77777777" w:rsidTr="00E06077">
        <w:trPr>
          <w:trHeight w:val="232"/>
        </w:trPr>
        <w:tc>
          <w:tcPr>
            <w:tcW w:w="709" w:type="dxa"/>
            <w:tcBorders>
              <w:top w:val="single" w:sz="4" w:space="0" w:color="A6A6A6"/>
              <w:left w:val="single" w:sz="4" w:space="0" w:color="A6A6A6"/>
              <w:bottom w:val="single" w:sz="4" w:space="0" w:color="A6A6A6"/>
              <w:right w:val="single" w:sz="4" w:space="0" w:color="A6A6A6"/>
            </w:tcBorders>
          </w:tcPr>
          <w:p w14:paraId="67FF9E90" w14:textId="77777777" w:rsidR="00E06077" w:rsidRPr="00E06077" w:rsidRDefault="00E06077" w:rsidP="00E06077">
            <w:pPr>
              <w:spacing w:before="60" w:after="60"/>
              <w:ind w:right="-109"/>
              <w:rPr>
                <w:rFonts w:cs="Times New Roman"/>
                <w:color w:val="000000"/>
                <w:sz w:val="18"/>
                <w:szCs w:val="48"/>
              </w:rPr>
            </w:pPr>
            <w:r w:rsidRPr="00E06077">
              <w:rPr>
                <w:rFonts w:cs="Times New Roman"/>
                <w:color w:val="000000"/>
                <w:sz w:val="18"/>
                <w:szCs w:val="48"/>
              </w:rPr>
              <w:t xml:space="preserve"> Author</w:t>
            </w:r>
          </w:p>
        </w:tc>
        <w:tc>
          <w:tcPr>
            <w:tcW w:w="567" w:type="dxa"/>
            <w:tcBorders>
              <w:top w:val="single" w:sz="4" w:space="0" w:color="A6A6A6"/>
              <w:left w:val="single" w:sz="4" w:space="0" w:color="A6A6A6"/>
              <w:bottom w:val="single" w:sz="4" w:space="0" w:color="A6A6A6"/>
              <w:right w:val="single" w:sz="4" w:space="0" w:color="A6A6A6"/>
            </w:tcBorders>
          </w:tcPr>
          <w:p w14:paraId="5472D8F2" w14:textId="77777777" w:rsidR="00E06077" w:rsidRPr="00E06077" w:rsidRDefault="00E06077" w:rsidP="00E06077">
            <w:pPr>
              <w:tabs>
                <w:tab w:val="right" w:pos="9707"/>
              </w:tabs>
              <w:spacing w:before="60" w:after="60"/>
              <w:jc w:val="center"/>
              <w:rPr>
                <w:rFonts w:cs="Times New Roman"/>
                <w:color w:val="000000"/>
                <w:sz w:val="18"/>
                <w:szCs w:val="48"/>
              </w:rPr>
            </w:pPr>
            <w:r w:rsidRPr="00E06077">
              <w:rPr>
                <w:rFonts w:cs="Times New Roman"/>
                <w:color w:val="000000"/>
                <w:sz w:val="18"/>
                <w:szCs w:val="48"/>
              </w:rPr>
              <w:t xml:space="preserve">ADO  </w:t>
            </w:r>
          </w:p>
        </w:tc>
        <w:tc>
          <w:tcPr>
            <w:tcW w:w="2222" w:type="dxa"/>
            <w:tcBorders>
              <w:top w:val="single" w:sz="4" w:space="0" w:color="A6A6A6"/>
              <w:left w:val="single" w:sz="4" w:space="0" w:color="A6A6A6"/>
              <w:bottom w:val="single" w:sz="4" w:space="0" w:color="A6A6A6"/>
              <w:right w:val="single" w:sz="4" w:space="0" w:color="A6A6A6"/>
            </w:tcBorders>
          </w:tcPr>
          <w:p w14:paraId="54F9A590" w14:textId="77777777" w:rsidR="00E06077" w:rsidRPr="00E06077" w:rsidRDefault="00E06077" w:rsidP="00E06077">
            <w:pPr>
              <w:tabs>
                <w:tab w:val="right" w:pos="9707"/>
              </w:tabs>
              <w:spacing w:before="60" w:after="60"/>
              <w:rPr>
                <w:rFonts w:cs="Times New Roman"/>
                <w:color w:val="000000"/>
                <w:sz w:val="18"/>
                <w:szCs w:val="48"/>
              </w:rPr>
            </w:pPr>
            <w:r w:rsidRPr="00E06077">
              <w:rPr>
                <w:rFonts w:cs="Times New Roman"/>
                <w:color w:val="000000"/>
                <w:sz w:val="18"/>
                <w:szCs w:val="48"/>
              </w:rPr>
              <w:t xml:space="preserve"> Operations</w:t>
            </w:r>
          </w:p>
        </w:tc>
        <w:tc>
          <w:tcPr>
            <w:tcW w:w="4071" w:type="dxa"/>
            <w:gridSpan w:val="3"/>
            <w:tcBorders>
              <w:top w:val="single" w:sz="4" w:space="0" w:color="A6A6A6"/>
              <w:left w:val="single" w:sz="4" w:space="0" w:color="A6A6A6"/>
              <w:bottom w:val="single" w:sz="4" w:space="0" w:color="A6A6A6"/>
              <w:right w:val="single" w:sz="4" w:space="0" w:color="A6A6A6"/>
            </w:tcBorders>
          </w:tcPr>
          <w:p w14:paraId="08516380" w14:textId="77777777" w:rsidR="00E06077" w:rsidRPr="00E06077" w:rsidRDefault="00E06077" w:rsidP="00E06077">
            <w:pPr>
              <w:tabs>
                <w:tab w:val="right" w:pos="9707"/>
              </w:tabs>
              <w:spacing w:before="60" w:after="60"/>
              <w:jc w:val="center"/>
              <w:rPr>
                <w:rFonts w:cs="Times New Roman"/>
                <w:color w:val="000000"/>
                <w:sz w:val="18"/>
                <w:szCs w:val="48"/>
              </w:rPr>
            </w:pPr>
            <w:r w:rsidRPr="00E06077">
              <w:rPr>
                <w:rFonts w:cs="Times New Roman"/>
                <w:color w:val="000000"/>
                <w:sz w:val="18"/>
                <w:szCs w:val="48"/>
              </w:rPr>
              <w:t xml:space="preserve">FRS Ref No. </w:t>
            </w:r>
            <w:r w:rsidRPr="00E06077">
              <w:rPr>
                <w:rFonts w:cs="Times New Roman"/>
                <w:color w:val="000000"/>
                <w:sz w:val="18"/>
                <w:szCs w:val="48"/>
              </w:rPr>
              <w:fldChar w:fldCharType="begin">
                <w:ffData>
                  <w:name w:val=""/>
                  <w:enabled/>
                  <w:calcOnExit w:val="0"/>
                  <w:textInput>
                    <w:default w:val="[Click here] to add FRS Ref."/>
                  </w:textInput>
                </w:ffData>
              </w:fldChar>
            </w:r>
            <w:r w:rsidRPr="00E06077">
              <w:rPr>
                <w:rFonts w:cs="Times New Roman"/>
                <w:color w:val="000000"/>
                <w:sz w:val="18"/>
                <w:szCs w:val="48"/>
              </w:rPr>
              <w:instrText xml:space="preserve"> FORMTEXT </w:instrText>
            </w:r>
            <w:r w:rsidRPr="00E06077">
              <w:rPr>
                <w:rFonts w:cs="Times New Roman"/>
                <w:color w:val="000000"/>
                <w:sz w:val="18"/>
                <w:szCs w:val="48"/>
              </w:rPr>
            </w:r>
            <w:r w:rsidRPr="00E06077">
              <w:rPr>
                <w:rFonts w:cs="Times New Roman"/>
                <w:color w:val="000000"/>
                <w:sz w:val="18"/>
                <w:szCs w:val="48"/>
              </w:rPr>
              <w:fldChar w:fldCharType="separate"/>
            </w:r>
            <w:r w:rsidRPr="00E06077">
              <w:rPr>
                <w:rFonts w:cs="Times New Roman"/>
                <w:noProof/>
                <w:color w:val="000000"/>
                <w:sz w:val="18"/>
                <w:szCs w:val="48"/>
              </w:rPr>
              <w:t>[Click here] to add FRS Ref.</w:t>
            </w:r>
            <w:r w:rsidRPr="00E06077">
              <w:rPr>
                <w:rFonts w:cs="Times New Roman"/>
                <w:color w:val="000000"/>
                <w:sz w:val="18"/>
                <w:szCs w:val="48"/>
              </w:rPr>
              <w:fldChar w:fldCharType="end"/>
            </w:r>
          </w:p>
        </w:tc>
        <w:tc>
          <w:tcPr>
            <w:tcW w:w="2779" w:type="dxa"/>
            <w:gridSpan w:val="2"/>
            <w:tcBorders>
              <w:top w:val="single" w:sz="4" w:space="0" w:color="A6A6A6"/>
              <w:left w:val="single" w:sz="4" w:space="0" w:color="A6A6A6"/>
              <w:bottom w:val="single" w:sz="4" w:space="0" w:color="A6A6A6"/>
              <w:right w:val="single" w:sz="4" w:space="0" w:color="A6A6A6"/>
            </w:tcBorders>
          </w:tcPr>
          <w:p w14:paraId="3562E557" w14:textId="77777777" w:rsidR="00E06077" w:rsidRPr="00E06077" w:rsidRDefault="00E06077" w:rsidP="00E06077">
            <w:pPr>
              <w:tabs>
                <w:tab w:val="right" w:pos="9707"/>
              </w:tabs>
              <w:spacing w:before="60" w:after="60"/>
              <w:ind w:left="33" w:right="142"/>
              <w:jc w:val="right"/>
              <w:rPr>
                <w:rFonts w:cs="Times New Roman"/>
                <w:color w:val="000000"/>
                <w:sz w:val="18"/>
                <w:szCs w:val="48"/>
              </w:rPr>
            </w:pPr>
            <w:r w:rsidRPr="00E06077">
              <w:rPr>
                <w:rFonts w:cs="Times New Roman"/>
                <w:color w:val="000000"/>
                <w:sz w:val="18"/>
                <w:szCs w:val="48"/>
              </w:rPr>
              <w:t xml:space="preserve">Originating FRS - Essex </w:t>
            </w:r>
          </w:p>
        </w:tc>
      </w:tr>
    </w:tbl>
    <w:p w14:paraId="1289BB20" w14:textId="77777777" w:rsidR="00E06077" w:rsidRPr="00E06077" w:rsidRDefault="00E06077" w:rsidP="00E06077">
      <w:pPr>
        <w:spacing w:before="120" w:after="120"/>
        <w:ind w:left="142"/>
        <w:rPr>
          <w:rFonts w:eastAsia="MS Mincho" w:cs="Times New Roman"/>
          <w:b/>
          <w:color w:val="000000"/>
          <w:sz w:val="2"/>
          <w:szCs w:val="48"/>
        </w:rPr>
      </w:pPr>
    </w:p>
    <w:p w14:paraId="48DC79F0" w14:textId="77777777" w:rsidR="00E06077" w:rsidRPr="00E06077" w:rsidRDefault="00E06077" w:rsidP="00E06077">
      <w:pPr>
        <w:spacing w:before="120" w:after="120"/>
        <w:rPr>
          <w:rFonts w:eastAsia="MS Mincho" w:cs="Times New Roman"/>
          <w:b/>
          <w:color w:val="000000"/>
          <w:sz w:val="12"/>
          <w:szCs w:val="44"/>
        </w:rPr>
        <w:sectPr w:rsidR="00E06077" w:rsidRPr="00E06077" w:rsidSect="00E06077">
          <w:headerReference w:type="default" r:id="rId14"/>
          <w:footerReference w:type="default" r:id="rId15"/>
          <w:headerReference w:type="first" r:id="rId16"/>
          <w:footerReference w:type="first" r:id="rId17"/>
          <w:pgSz w:w="11900" w:h="16840"/>
          <w:pgMar w:top="720" w:right="720" w:bottom="720" w:left="720" w:header="708" w:footer="256" w:gutter="0"/>
          <w:cols w:space="708"/>
          <w:docGrid w:linePitch="360"/>
        </w:sectPr>
      </w:pPr>
    </w:p>
    <w:p w14:paraId="4D3ED8AF" w14:textId="77777777" w:rsidR="00E06077" w:rsidRPr="00E06077" w:rsidRDefault="00E06077" w:rsidP="00E06077">
      <w:pPr>
        <w:keepNext/>
        <w:keepLines/>
        <w:spacing w:after="120"/>
        <w:outlineLvl w:val="0"/>
        <w:rPr>
          <w:rFonts w:eastAsia="MS Gothic" w:cs="Times New Roman"/>
          <w:bCs/>
          <w:color w:val="FF0000"/>
          <w:sz w:val="22"/>
          <w:szCs w:val="32"/>
        </w:rPr>
      </w:pPr>
      <w:r w:rsidRPr="00E06077">
        <w:rPr>
          <w:rFonts w:eastAsia="MS Gothic" w:cs="Times New Roman"/>
          <w:bCs/>
          <w:color w:val="FF0000"/>
          <w:sz w:val="22"/>
          <w:szCs w:val="32"/>
        </w:rPr>
        <w:t>Introduction</w:t>
      </w:r>
    </w:p>
    <w:p w14:paraId="7F0B8C02" w14:textId="77777777" w:rsidR="00E06077" w:rsidRPr="00E06077" w:rsidRDefault="00E06077" w:rsidP="00E06077">
      <w:pPr>
        <w:autoSpaceDE w:val="0"/>
        <w:autoSpaceDN w:val="0"/>
        <w:adjustRightInd w:val="0"/>
        <w:rPr>
          <w:rFonts w:ascii="Calibri" w:eastAsia="MS Mincho" w:hAnsi="Calibri" w:cs="Calibri"/>
          <w:color w:val="000000"/>
          <w:sz w:val="22"/>
          <w:szCs w:val="22"/>
        </w:rPr>
      </w:pPr>
      <w:r w:rsidRPr="00E06077">
        <w:rPr>
          <w:rFonts w:ascii="Calibri" w:eastAsia="MS Mincho" w:hAnsi="Calibri" w:cs="Calibri"/>
          <w:color w:val="000000"/>
          <w:sz w:val="22"/>
          <w:szCs w:val="22"/>
        </w:rPr>
        <w:t xml:space="preserve">Essex Fire and Rescue Service have agreed to assist the East of England Ambulance Service Trust (EEAST) with enforced entry requests for patients who have collapsed behind closed doors. In light of this please see below instruction for ECFRS staff. </w:t>
      </w:r>
    </w:p>
    <w:p w14:paraId="79073224" w14:textId="77777777" w:rsidR="00E06077" w:rsidRPr="00E06077" w:rsidRDefault="00E06077" w:rsidP="00E06077">
      <w:pPr>
        <w:spacing w:before="120" w:after="120"/>
        <w:rPr>
          <w:rFonts w:eastAsia="MS Mincho" w:cs="Times New Roman"/>
          <w:color w:val="FF0000"/>
          <w:sz w:val="20"/>
          <w:szCs w:val="22"/>
        </w:rPr>
      </w:pPr>
      <w:r w:rsidRPr="00E06077">
        <w:rPr>
          <w:rFonts w:eastAsia="MS Mincho" w:cs="Times New Roman"/>
          <w:color w:val="FF0000"/>
          <w:sz w:val="20"/>
          <w:szCs w:val="22"/>
        </w:rPr>
        <w:t>Process</w:t>
      </w:r>
    </w:p>
    <w:p w14:paraId="241B9461" w14:textId="77777777" w:rsidR="00E06077" w:rsidRPr="00E06077" w:rsidRDefault="00E06077" w:rsidP="00E06077">
      <w:pPr>
        <w:spacing w:before="120" w:after="120"/>
        <w:rPr>
          <w:rFonts w:eastAsia="MS Mincho" w:cs="Times New Roman"/>
          <w:sz w:val="20"/>
          <w:szCs w:val="22"/>
        </w:rPr>
      </w:pPr>
      <w:r w:rsidRPr="00E06077">
        <w:rPr>
          <w:rFonts w:eastAsia="MS Mincho" w:cs="Times New Roman"/>
          <w:sz w:val="20"/>
          <w:szCs w:val="22"/>
        </w:rPr>
        <w:t xml:space="preserve">There will be two circumstances in which EEAST may request the assistance of Essex Fire and Rescue; </w:t>
      </w:r>
    </w:p>
    <w:p w14:paraId="5118061C" w14:textId="77777777" w:rsidR="00E06077" w:rsidRPr="00E06077" w:rsidRDefault="00E06077" w:rsidP="00E06077">
      <w:pPr>
        <w:spacing w:before="120" w:after="120"/>
        <w:rPr>
          <w:rFonts w:eastAsia="MS Mincho" w:cs="Times New Roman"/>
          <w:color w:val="FF0000"/>
          <w:sz w:val="20"/>
          <w:szCs w:val="22"/>
        </w:rPr>
      </w:pPr>
      <w:r w:rsidRPr="00E06077">
        <w:rPr>
          <w:rFonts w:eastAsia="MS Mincho" w:cs="Times New Roman"/>
          <w:noProof/>
          <w:sz w:val="22"/>
          <w:szCs w:val="22"/>
          <w:lang w:eastAsia="en-GB"/>
        </w:rPr>
        <mc:AlternateContent>
          <mc:Choice Requires="wps">
            <w:drawing>
              <wp:anchor distT="0" distB="0" distL="114300" distR="114300" simplePos="0" relativeHeight="251666944" behindDoc="0" locked="0" layoutInCell="1" allowOverlap="1" wp14:anchorId="46B7B24F" wp14:editId="10404AA8">
                <wp:simplePos x="0" y="0"/>
                <wp:positionH relativeFrom="column">
                  <wp:posOffset>1981200</wp:posOffset>
                </wp:positionH>
                <wp:positionV relativeFrom="paragraph">
                  <wp:posOffset>118745</wp:posOffset>
                </wp:positionV>
                <wp:extent cx="1743710" cy="1403985"/>
                <wp:effectExtent l="0" t="0" r="2794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ysClr val="window" lastClr="FFFFFF"/>
                        </a:solidFill>
                        <a:ln w="25400" cap="flat" cmpd="sng" algn="ctr">
                          <a:solidFill>
                            <a:srgbClr val="4BACC6"/>
                          </a:solidFill>
                          <a:prstDash val="solid"/>
                          <a:headEnd/>
                          <a:tailEnd/>
                        </a:ln>
                        <a:effectLst/>
                      </wps:spPr>
                      <wps:txbx>
                        <w:txbxContent>
                          <w:p w14:paraId="6C7ED86F" w14:textId="77777777" w:rsidR="00E06077" w:rsidRDefault="00E06077" w:rsidP="00E06077">
                            <w:pPr>
                              <w:jc w:val="center"/>
                            </w:pPr>
                            <w:r>
                              <w:t>Secondly a 999 caller has declared that there is a confirmed threat to life and the incident has been coded a Red 1 or Red 2 and there is no access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7B24F" id="Text Box 2" o:spid="_x0000_s1027" type="#_x0000_t202" style="position:absolute;margin-left:156pt;margin-top:9.35pt;width:137.3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" fillcolor="window" strokecolor="#4bacc6" strokeweight="2pt">
                <v:textbox style="mso-fit-shape-to-text:t">
                  <w:txbxContent>
                    <w:p w14:paraId="6C7ED86F" w14:textId="77777777" w:rsidR="00E06077" w:rsidRDefault="00E06077" w:rsidP="00E06077">
                      <w:pPr>
                        <w:jc w:val="center"/>
                      </w:pPr>
                      <w:r>
                        <w:t>Secondly a 999 caller has declared that there is a confirmed threat to life and the incident has been coded a Red 1 or Red 2 and there is no access</w:t>
                      </w:r>
                    </w:p>
                  </w:txbxContent>
                </v:textbox>
              </v:shape>
            </w:pict>
          </mc:Fallback>
        </mc:AlternateContent>
      </w:r>
      <w:r w:rsidRPr="00E06077">
        <w:rPr>
          <w:rFonts w:eastAsia="MS Mincho" w:cs="Times New Roman"/>
          <w:noProof/>
          <w:sz w:val="22"/>
          <w:szCs w:val="22"/>
          <w:lang w:eastAsia="en-GB"/>
        </w:rPr>
        <mc:AlternateContent>
          <mc:Choice Requires="wps">
            <w:drawing>
              <wp:anchor distT="0" distB="0" distL="114300" distR="114300" simplePos="0" relativeHeight="251665920" behindDoc="0" locked="0" layoutInCell="1" allowOverlap="1" wp14:anchorId="0D7CCD3A" wp14:editId="07D9D469">
                <wp:simplePos x="0" y="0"/>
                <wp:positionH relativeFrom="column">
                  <wp:posOffset>-65405</wp:posOffset>
                </wp:positionH>
                <wp:positionV relativeFrom="paragraph">
                  <wp:posOffset>116840</wp:posOffset>
                </wp:positionV>
                <wp:extent cx="1743710" cy="115062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150620"/>
                        </a:xfrm>
                        <a:prstGeom prst="rect">
                          <a:avLst/>
                        </a:prstGeom>
                        <a:solidFill>
                          <a:sysClr val="window" lastClr="FFFFFF"/>
                        </a:solidFill>
                        <a:ln w="25400" cap="flat" cmpd="sng" algn="ctr">
                          <a:solidFill>
                            <a:srgbClr val="4BACC6"/>
                          </a:solidFill>
                          <a:prstDash val="solid"/>
                          <a:headEnd/>
                          <a:tailEnd/>
                        </a:ln>
                        <a:effectLst/>
                      </wps:spPr>
                      <wps:txbx>
                        <w:txbxContent>
                          <w:p w14:paraId="5941FC41" w14:textId="77777777" w:rsidR="00E06077" w:rsidRDefault="00E06077" w:rsidP="00E06077">
                            <w:pPr>
                              <w:jc w:val="center"/>
                            </w:pPr>
                            <w:r>
                              <w:t>Firstly when an EEAST resource is on scene and has requested assistance in gaining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CCD3A" id="_x0000_s1028" type="#_x0000_t202" style="position:absolute;margin-left:-5.15pt;margin-top:9.2pt;width:137.3pt;height:9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" fillcolor="window" strokecolor="#4bacc6" strokeweight="2pt">
                <v:textbox>
                  <w:txbxContent>
                    <w:p w14:paraId="5941FC41" w14:textId="77777777" w:rsidR="00E06077" w:rsidRDefault="00E06077" w:rsidP="00E06077">
                      <w:pPr>
                        <w:jc w:val="center"/>
                      </w:pPr>
                      <w:r>
                        <w:t>Firstly when an EEAST resource is on scene and has requested assistance in gaining access</w:t>
                      </w:r>
                    </w:p>
                  </w:txbxContent>
                </v:textbox>
              </v:shape>
            </w:pict>
          </mc:Fallback>
        </mc:AlternateContent>
      </w:r>
    </w:p>
    <w:p w14:paraId="21AF34D8" w14:textId="77777777" w:rsidR="00E06077" w:rsidRPr="00E06077" w:rsidRDefault="00E06077" w:rsidP="00E06077">
      <w:pPr>
        <w:spacing w:before="120" w:after="120"/>
        <w:rPr>
          <w:rFonts w:eastAsia="MS Mincho" w:cs="Times New Roman"/>
          <w:color w:val="FF0000"/>
          <w:sz w:val="20"/>
          <w:szCs w:val="22"/>
        </w:rPr>
      </w:pPr>
    </w:p>
    <w:p w14:paraId="598AFFAF" w14:textId="77777777" w:rsidR="00E06077" w:rsidRPr="00E06077" w:rsidRDefault="00E06077" w:rsidP="00E06077">
      <w:pPr>
        <w:spacing w:before="120" w:after="120"/>
        <w:rPr>
          <w:rFonts w:eastAsia="MS Mincho" w:cs="Times New Roman"/>
          <w:color w:val="FF0000"/>
          <w:sz w:val="20"/>
          <w:szCs w:val="22"/>
        </w:rPr>
      </w:pPr>
    </w:p>
    <w:p w14:paraId="447FC5C6" w14:textId="77777777" w:rsidR="00E06077" w:rsidRPr="00E06077" w:rsidRDefault="00E06077" w:rsidP="00E06077">
      <w:pPr>
        <w:spacing w:before="120" w:after="120"/>
        <w:rPr>
          <w:rFonts w:eastAsia="MS Mincho" w:cs="Times New Roman"/>
          <w:color w:val="FF0000"/>
          <w:sz w:val="20"/>
          <w:szCs w:val="22"/>
        </w:rPr>
      </w:pPr>
    </w:p>
    <w:p w14:paraId="74D317AA" w14:textId="77777777" w:rsidR="00E06077" w:rsidRPr="00E06077" w:rsidRDefault="00E06077" w:rsidP="00E06077">
      <w:pPr>
        <w:spacing w:before="120" w:after="120"/>
        <w:rPr>
          <w:rFonts w:eastAsia="MS Mincho" w:cs="Times New Roman"/>
          <w:sz w:val="22"/>
          <w:szCs w:val="22"/>
        </w:rPr>
      </w:pPr>
    </w:p>
    <w:p w14:paraId="613FD3AF" w14:textId="77777777" w:rsidR="00E06077" w:rsidRPr="00E06077" w:rsidRDefault="00E06077" w:rsidP="00E06077">
      <w:pPr>
        <w:spacing w:before="120" w:after="120"/>
        <w:rPr>
          <w:rFonts w:eastAsia="MS Mincho" w:cs="Times New Roman"/>
          <w:sz w:val="22"/>
          <w:szCs w:val="22"/>
        </w:rPr>
      </w:pPr>
    </w:p>
    <w:p w14:paraId="68A8D563" w14:textId="77777777" w:rsidR="00E06077" w:rsidRPr="00E06077" w:rsidRDefault="00E06077" w:rsidP="00E06077">
      <w:pPr>
        <w:spacing w:before="120" w:after="120"/>
        <w:rPr>
          <w:rFonts w:eastAsia="MS Mincho" w:cs="Times New Roman"/>
          <w:sz w:val="22"/>
          <w:szCs w:val="22"/>
        </w:rPr>
      </w:pPr>
    </w:p>
    <w:p w14:paraId="300F17A0" w14:textId="77777777" w:rsidR="00E06077" w:rsidRPr="00E06077" w:rsidRDefault="00E06077" w:rsidP="00E06077">
      <w:pPr>
        <w:spacing w:before="120" w:after="120"/>
        <w:rPr>
          <w:rFonts w:eastAsia="MS Mincho" w:cs="Times New Roman"/>
          <w:sz w:val="20"/>
          <w:szCs w:val="22"/>
        </w:rPr>
      </w:pPr>
    </w:p>
    <w:p w14:paraId="4E0A14BD" w14:textId="77777777" w:rsidR="00E06077" w:rsidRPr="00E06077" w:rsidRDefault="00E06077" w:rsidP="00E06077">
      <w:pPr>
        <w:widowControl w:val="0"/>
        <w:autoSpaceDE w:val="0"/>
        <w:autoSpaceDN w:val="0"/>
        <w:adjustRightInd w:val="0"/>
        <w:spacing w:before="60" w:after="60"/>
        <w:contextualSpacing/>
        <w:rPr>
          <w:rFonts w:eastAsia="MS Mincho" w:cs="Times New Roman"/>
          <w:i/>
          <w:sz w:val="20"/>
          <w:szCs w:val="22"/>
        </w:rPr>
      </w:pPr>
    </w:p>
    <w:p w14:paraId="73CA78AA" w14:textId="77777777" w:rsidR="00E06077" w:rsidRPr="00E06077" w:rsidRDefault="00E06077" w:rsidP="00E06077">
      <w:pPr>
        <w:widowControl w:val="0"/>
        <w:autoSpaceDE w:val="0"/>
        <w:autoSpaceDN w:val="0"/>
        <w:adjustRightInd w:val="0"/>
        <w:spacing w:before="60" w:after="60"/>
        <w:ind w:left="357"/>
        <w:contextualSpacing/>
        <w:rPr>
          <w:rFonts w:eastAsia="MS Mincho" w:cs="Times New Roman"/>
          <w:sz w:val="20"/>
          <w:szCs w:val="22"/>
        </w:rPr>
      </w:pPr>
    </w:p>
    <w:p w14:paraId="39840213" w14:textId="77777777" w:rsidR="00E06077" w:rsidRPr="00E06077" w:rsidRDefault="00E06077" w:rsidP="00E06077">
      <w:pPr>
        <w:keepNext/>
        <w:keepLines/>
        <w:spacing w:after="120"/>
        <w:outlineLvl w:val="0"/>
        <w:rPr>
          <w:rFonts w:eastAsia="MS Gothic" w:cs="Times New Roman"/>
          <w:bCs/>
          <w:color w:val="FF0000"/>
          <w:sz w:val="22"/>
          <w:szCs w:val="32"/>
        </w:rPr>
        <w:sectPr w:rsidR="00E06077" w:rsidRPr="00E06077" w:rsidSect="001E209B">
          <w:type w:val="continuous"/>
          <w:pgSz w:w="11900" w:h="16840"/>
          <w:pgMar w:top="1440" w:right="843" w:bottom="1440" w:left="851" w:header="708" w:footer="256" w:gutter="0"/>
          <w:cols w:num="2" w:space="568"/>
          <w:titlePg/>
          <w:docGrid w:linePitch="360"/>
        </w:sectPr>
      </w:pPr>
    </w:p>
    <w:p w14:paraId="18507789" w14:textId="77777777" w:rsidR="00E06077" w:rsidRPr="00E06077" w:rsidRDefault="00E06077" w:rsidP="00E06077">
      <w:pPr>
        <w:spacing w:before="120" w:after="120"/>
        <w:rPr>
          <w:rFonts w:eastAsia="MS Mincho" w:cs="Times New Roman"/>
          <w:sz w:val="20"/>
          <w:szCs w:val="22"/>
        </w:rPr>
        <w:sectPr w:rsidR="00E06077" w:rsidRPr="00E06077" w:rsidSect="001E209B">
          <w:type w:val="continuous"/>
          <w:pgSz w:w="11900" w:h="16840"/>
          <w:pgMar w:top="1440" w:right="843" w:bottom="1440" w:left="851" w:header="708" w:footer="256" w:gutter="0"/>
          <w:cols w:space="568"/>
          <w:titlePg/>
          <w:docGrid w:linePitch="360"/>
        </w:sectPr>
      </w:pPr>
    </w:p>
    <w:p w14:paraId="62067412" w14:textId="77777777" w:rsidR="00E06077" w:rsidRPr="00E06077" w:rsidRDefault="00E06077" w:rsidP="00E06077">
      <w:pPr>
        <w:spacing w:before="120" w:after="120"/>
        <w:rPr>
          <w:rFonts w:eastAsia="MS Mincho" w:cs="Times New Roman"/>
          <w:b/>
          <w:color w:val="000000"/>
          <w:sz w:val="12"/>
          <w:szCs w:val="44"/>
        </w:rPr>
      </w:pPr>
    </w:p>
    <w:p w14:paraId="2C9FC44F" w14:textId="77777777" w:rsidR="00E06077" w:rsidRPr="00E06077" w:rsidRDefault="00E06077" w:rsidP="00E06077">
      <w:pPr>
        <w:spacing w:before="120" w:after="120"/>
        <w:rPr>
          <w:rFonts w:eastAsia="MS Mincho" w:cs="Times New Roman"/>
          <w:b/>
          <w:color w:val="000000"/>
          <w:sz w:val="12"/>
          <w:szCs w:val="44"/>
        </w:rPr>
      </w:pPr>
    </w:p>
    <w:p w14:paraId="083AE883" w14:textId="77777777" w:rsidR="00E06077" w:rsidRPr="00E06077" w:rsidRDefault="00E06077" w:rsidP="00E06077">
      <w:pPr>
        <w:spacing w:before="120" w:after="120"/>
        <w:rPr>
          <w:rFonts w:eastAsia="MS Mincho" w:cs="Times New Roman"/>
          <w:b/>
          <w:color w:val="000000"/>
          <w:sz w:val="12"/>
          <w:szCs w:val="44"/>
        </w:rPr>
      </w:pPr>
    </w:p>
    <w:p w14:paraId="56F6ACF3" w14:textId="77777777" w:rsidR="00E06077" w:rsidRPr="00E06077" w:rsidRDefault="00E06077" w:rsidP="00E06077">
      <w:pPr>
        <w:spacing w:before="120" w:after="120"/>
        <w:rPr>
          <w:rFonts w:eastAsia="MS Mincho" w:cs="Times New Roman"/>
          <w:sz w:val="20"/>
          <w:szCs w:val="22"/>
        </w:rPr>
      </w:pPr>
    </w:p>
    <w:p w14:paraId="5055CB6E" w14:textId="77777777" w:rsidR="00E06077" w:rsidRPr="00E06077" w:rsidRDefault="00E06077" w:rsidP="00E06077">
      <w:pPr>
        <w:spacing w:before="120" w:after="120"/>
        <w:rPr>
          <w:rFonts w:eastAsia="MS Mincho" w:cs="Times New Roman"/>
          <w:sz w:val="20"/>
          <w:szCs w:val="22"/>
        </w:rPr>
      </w:pPr>
    </w:p>
    <w:p w14:paraId="0975398C" w14:textId="77777777" w:rsidR="00E06077" w:rsidRDefault="00E06077" w:rsidP="00E06077">
      <w:pPr>
        <w:spacing w:before="120" w:after="120"/>
        <w:rPr>
          <w:rFonts w:eastAsia="MS Mincho" w:cs="Times New Roman"/>
          <w:color w:val="FF0000"/>
          <w:sz w:val="20"/>
          <w:szCs w:val="22"/>
        </w:rPr>
      </w:pPr>
    </w:p>
    <w:p w14:paraId="066A1D0C" w14:textId="403D4462" w:rsidR="00E06077" w:rsidRPr="00E06077" w:rsidRDefault="00E06077" w:rsidP="00E06077">
      <w:pPr>
        <w:spacing w:before="120" w:after="120"/>
        <w:rPr>
          <w:rFonts w:eastAsia="MS Mincho" w:cs="Times New Roman"/>
          <w:color w:val="FF0000"/>
          <w:sz w:val="20"/>
          <w:szCs w:val="22"/>
        </w:rPr>
      </w:pPr>
      <w:r w:rsidRPr="00E06077">
        <w:rPr>
          <w:rFonts w:eastAsia="MS Mincho" w:cs="Times New Roman"/>
          <w:color w:val="FF0000"/>
          <w:sz w:val="20"/>
          <w:szCs w:val="22"/>
        </w:rPr>
        <w:t>EEAST actions</w:t>
      </w:r>
    </w:p>
    <w:p w14:paraId="2FE8FFEC" w14:textId="77777777" w:rsidR="00E06077" w:rsidRPr="00E06077" w:rsidRDefault="00E06077" w:rsidP="00E06077">
      <w:pPr>
        <w:spacing w:before="120" w:after="120"/>
        <w:rPr>
          <w:rFonts w:eastAsia="MS Mincho" w:cs="Times New Roman"/>
          <w:sz w:val="20"/>
          <w:szCs w:val="22"/>
        </w:rPr>
      </w:pPr>
      <w:r w:rsidRPr="00E06077">
        <w:rPr>
          <w:rFonts w:eastAsia="MS Mincho" w:cs="Times New Roman"/>
          <w:sz w:val="20"/>
          <w:szCs w:val="22"/>
        </w:rPr>
        <w:t>Before requesting assistance from ECFRS the EEAST DTL (Dispatch Team Leader) should confirm the following actions have been carried out by the attending ambulance resource:</w:t>
      </w:r>
    </w:p>
    <w:p w14:paraId="18AEBACE" w14:textId="77777777" w:rsidR="00E06077" w:rsidRPr="00E06077" w:rsidRDefault="00E06077" w:rsidP="00E06077">
      <w:pPr>
        <w:widowControl w:val="0"/>
        <w:numPr>
          <w:ilvl w:val="0"/>
          <w:numId w:val="25"/>
        </w:numPr>
        <w:autoSpaceDE w:val="0"/>
        <w:autoSpaceDN w:val="0"/>
        <w:adjustRightInd w:val="0"/>
        <w:spacing w:before="60" w:after="60"/>
        <w:contextualSpacing/>
        <w:rPr>
          <w:rFonts w:eastAsia="MS Mincho"/>
          <w:sz w:val="20"/>
          <w:szCs w:val="20"/>
        </w:rPr>
      </w:pPr>
      <w:r w:rsidRPr="00E06077">
        <w:rPr>
          <w:rFonts w:eastAsia="MS Mincho"/>
          <w:sz w:val="20"/>
          <w:szCs w:val="20"/>
        </w:rPr>
        <w:t>Check for access points i.e. back / front door open or unlocked</w:t>
      </w:r>
    </w:p>
    <w:p w14:paraId="024141EA" w14:textId="77777777" w:rsidR="00E06077" w:rsidRPr="00E06077" w:rsidRDefault="00E06077" w:rsidP="00E06077">
      <w:pPr>
        <w:widowControl w:val="0"/>
        <w:numPr>
          <w:ilvl w:val="0"/>
          <w:numId w:val="25"/>
        </w:numPr>
        <w:autoSpaceDE w:val="0"/>
        <w:autoSpaceDN w:val="0"/>
        <w:adjustRightInd w:val="0"/>
        <w:spacing w:before="60" w:after="60"/>
        <w:contextualSpacing/>
        <w:rPr>
          <w:rFonts w:eastAsia="MS Mincho"/>
          <w:sz w:val="20"/>
          <w:szCs w:val="20"/>
        </w:rPr>
      </w:pPr>
      <w:r w:rsidRPr="00E06077">
        <w:rPr>
          <w:rFonts w:eastAsia="MS Mincho"/>
          <w:sz w:val="20"/>
          <w:szCs w:val="20"/>
        </w:rPr>
        <w:t>Check under door mats and inside key presses for keys</w:t>
      </w:r>
    </w:p>
    <w:p w14:paraId="1C8A4FA7" w14:textId="77777777" w:rsidR="00E06077" w:rsidRPr="00E06077" w:rsidRDefault="00E06077" w:rsidP="00E06077">
      <w:pPr>
        <w:widowControl w:val="0"/>
        <w:numPr>
          <w:ilvl w:val="0"/>
          <w:numId w:val="25"/>
        </w:numPr>
        <w:autoSpaceDE w:val="0"/>
        <w:autoSpaceDN w:val="0"/>
        <w:adjustRightInd w:val="0"/>
        <w:spacing w:before="60" w:after="60"/>
        <w:contextualSpacing/>
        <w:rPr>
          <w:rFonts w:eastAsia="MS Mincho"/>
          <w:sz w:val="20"/>
          <w:szCs w:val="20"/>
        </w:rPr>
      </w:pPr>
      <w:r w:rsidRPr="00E06077">
        <w:rPr>
          <w:rFonts w:eastAsia="MS Mincho"/>
          <w:sz w:val="20"/>
          <w:szCs w:val="20"/>
        </w:rPr>
        <w:t>Ask neighbours if they have key or contact details of a relative</w:t>
      </w:r>
    </w:p>
    <w:p w14:paraId="011E8281" w14:textId="77777777" w:rsidR="00E06077" w:rsidRPr="00E06077" w:rsidRDefault="00E06077" w:rsidP="00E06077">
      <w:pPr>
        <w:spacing w:before="120" w:after="120"/>
        <w:rPr>
          <w:rFonts w:eastAsia="MS Mincho"/>
          <w:sz w:val="20"/>
          <w:szCs w:val="20"/>
        </w:rPr>
      </w:pPr>
      <w:r w:rsidRPr="00E06077">
        <w:rPr>
          <w:rFonts w:eastAsia="MS Mincho"/>
          <w:sz w:val="20"/>
          <w:szCs w:val="20"/>
        </w:rPr>
        <w:t>If assistance is required the DTL will:</w:t>
      </w:r>
    </w:p>
    <w:p w14:paraId="0A814843" w14:textId="77777777" w:rsidR="00E06077" w:rsidRPr="00E06077" w:rsidRDefault="00E06077" w:rsidP="00E06077">
      <w:pPr>
        <w:numPr>
          <w:ilvl w:val="0"/>
          <w:numId w:val="25"/>
        </w:numPr>
        <w:autoSpaceDE w:val="0"/>
        <w:autoSpaceDN w:val="0"/>
        <w:adjustRightInd w:val="0"/>
        <w:spacing w:before="120" w:after="18"/>
        <w:rPr>
          <w:rFonts w:eastAsia="MS Mincho"/>
          <w:color w:val="000000"/>
          <w:sz w:val="20"/>
          <w:szCs w:val="20"/>
        </w:rPr>
      </w:pPr>
      <w:r w:rsidRPr="00E06077">
        <w:rPr>
          <w:rFonts w:eastAsia="MS Mincho"/>
          <w:color w:val="000000"/>
          <w:sz w:val="20"/>
          <w:szCs w:val="20"/>
        </w:rPr>
        <w:t xml:space="preserve">Confirm the address and ensure all relevant information has been given and acknowledged </w:t>
      </w:r>
    </w:p>
    <w:p w14:paraId="1CBDEB10" w14:textId="77777777" w:rsidR="00E06077" w:rsidRPr="00E06077" w:rsidRDefault="00E06077" w:rsidP="00E06077">
      <w:pPr>
        <w:numPr>
          <w:ilvl w:val="0"/>
          <w:numId w:val="25"/>
        </w:numPr>
        <w:autoSpaceDE w:val="0"/>
        <w:autoSpaceDN w:val="0"/>
        <w:adjustRightInd w:val="0"/>
        <w:spacing w:before="120" w:after="18"/>
        <w:rPr>
          <w:rFonts w:eastAsia="MS Mincho"/>
          <w:color w:val="000000"/>
          <w:sz w:val="20"/>
          <w:szCs w:val="20"/>
        </w:rPr>
      </w:pPr>
      <w:r w:rsidRPr="00E06077">
        <w:rPr>
          <w:rFonts w:eastAsia="MS Mincho"/>
          <w:color w:val="000000"/>
          <w:sz w:val="20"/>
          <w:szCs w:val="20"/>
        </w:rPr>
        <w:t xml:space="preserve">Contact informant/ patient to confirm address </w:t>
      </w:r>
    </w:p>
    <w:p w14:paraId="38261E86" w14:textId="77777777" w:rsidR="00646AAC" w:rsidRDefault="00E06077" w:rsidP="00646AAC">
      <w:pPr>
        <w:numPr>
          <w:ilvl w:val="0"/>
          <w:numId w:val="25"/>
        </w:numPr>
        <w:autoSpaceDE w:val="0"/>
        <w:autoSpaceDN w:val="0"/>
        <w:adjustRightInd w:val="0"/>
        <w:spacing w:before="120" w:after="120"/>
        <w:rPr>
          <w:rFonts w:eastAsia="MS Mincho"/>
          <w:color w:val="000000"/>
          <w:sz w:val="20"/>
          <w:szCs w:val="20"/>
        </w:rPr>
      </w:pPr>
      <w:r w:rsidRPr="00E06077">
        <w:rPr>
          <w:rFonts w:eastAsia="MS Mincho"/>
          <w:color w:val="000000"/>
          <w:sz w:val="20"/>
          <w:szCs w:val="20"/>
        </w:rPr>
        <w:t>Review tape recording of inci</w:t>
      </w:r>
      <w:r w:rsidR="00646AAC">
        <w:rPr>
          <w:rFonts w:eastAsia="MS Mincho"/>
          <w:color w:val="000000"/>
          <w:sz w:val="20"/>
          <w:szCs w:val="20"/>
        </w:rPr>
        <w:t>dent to confirm correct address</w:t>
      </w:r>
    </w:p>
    <w:p w14:paraId="7EC76D20" w14:textId="60946651" w:rsidR="00E06077" w:rsidRPr="00646AAC" w:rsidRDefault="00E06077" w:rsidP="00646AAC">
      <w:pPr>
        <w:numPr>
          <w:ilvl w:val="0"/>
          <w:numId w:val="25"/>
        </w:numPr>
        <w:autoSpaceDE w:val="0"/>
        <w:autoSpaceDN w:val="0"/>
        <w:adjustRightInd w:val="0"/>
        <w:spacing w:before="120" w:after="120"/>
        <w:rPr>
          <w:rFonts w:eastAsia="MS Mincho"/>
          <w:color w:val="000000"/>
          <w:sz w:val="20"/>
          <w:szCs w:val="20"/>
        </w:rPr>
      </w:pPr>
      <w:r w:rsidRPr="00646AAC">
        <w:rPr>
          <w:rFonts w:eastAsia="MS Mincho"/>
          <w:color w:val="000000"/>
          <w:sz w:val="20"/>
          <w:szCs w:val="20"/>
        </w:rPr>
        <w:t>Request assistance from the ECFRS</w:t>
      </w:r>
    </w:p>
    <w:p w14:paraId="43B27037" w14:textId="77777777" w:rsidR="00E06077" w:rsidRPr="00E06077" w:rsidRDefault="00E06077" w:rsidP="00E06077">
      <w:pPr>
        <w:spacing w:before="120" w:after="120"/>
        <w:rPr>
          <w:rFonts w:eastAsia="MS Mincho" w:cs="Times New Roman"/>
          <w:sz w:val="20"/>
          <w:szCs w:val="22"/>
        </w:rPr>
      </w:pPr>
      <w:r w:rsidRPr="00E06077">
        <w:rPr>
          <w:rFonts w:eastAsia="MS Mincho" w:cs="Times New Roman"/>
          <w:sz w:val="20"/>
          <w:szCs w:val="22"/>
        </w:rPr>
        <w:t>Once entry is gained (through whatever means) the responding EEAST resource will need to confirm to EOC if the property is now rendered unsecure.</w:t>
      </w:r>
    </w:p>
    <w:p w14:paraId="2F87D71B" w14:textId="77777777" w:rsidR="00E06077" w:rsidRPr="00E06077" w:rsidRDefault="00E06077" w:rsidP="00E06077">
      <w:pPr>
        <w:widowControl w:val="0"/>
        <w:numPr>
          <w:ilvl w:val="0"/>
          <w:numId w:val="27"/>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If the property is unsecure, regardless if the patient remains inside or not EOC will need to inform the police of the unsecured property (this example does not involve a FRS response).</w:t>
      </w:r>
    </w:p>
    <w:p w14:paraId="0953FA95" w14:textId="5D6D6843" w:rsidR="00E06077" w:rsidRDefault="00E06077" w:rsidP="00E06077">
      <w:pPr>
        <w:widowControl w:val="0"/>
        <w:numPr>
          <w:ilvl w:val="0"/>
          <w:numId w:val="26"/>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In the event of a patient requiring immediate transport to hospital and the responding resource leaves the property to treat the patient urgently then EEAST will inform their boarding up service of the unoccupied property and pass this information to Fire Control so crews know the incident has been reported and is pending arrival of boarding up company.</w:t>
      </w:r>
    </w:p>
    <w:p w14:paraId="4945AE20" w14:textId="50AD5717" w:rsidR="00011BFE" w:rsidRDefault="00011BFE" w:rsidP="00011BFE">
      <w:pPr>
        <w:widowControl w:val="0"/>
        <w:autoSpaceDE w:val="0"/>
        <w:autoSpaceDN w:val="0"/>
        <w:adjustRightInd w:val="0"/>
        <w:spacing w:before="60" w:after="60"/>
        <w:contextualSpacing/>
        <w:rPr>
          <w:rFonts w:eastAsia="MS Mincho" w:cs="Times New Roman"/>
          <w:sz w:val="20"/>
          <w:szCs w:val="22"/>
        </w:rPr>
      </w:pPr>
    </w:p>
    <w:p w14:paraId="24F2EE8A" w14:textId="0E77BCED" w:rsidR="005243B2" w:rsidRDefault="005243B2" w:rsidP="00011BFE">
      <w:pPr>
        <w:widowControl w:val="0"/>
        <w:autoSpaceDE w:val="0"/>
        <w:autoSpaceDN w:val="0"/>
        <w:adjustRightInd w:val="0"/>
        <w:spacing w:before="60" w:after="60"/>
        <w:contextualSpacing/>
        <w:rPr>
          <w:rFonts w:eastAsia="MS Mincho" w:cs="Times New Roman"/>
          <w:sz w:val="20"/>
          <w:szCs w:val="22"/>
        </w:rPr>
      </w:pPr>
    </w:p>
    <w:p w14:paraId="4D4C3D19" w14:textId="77777777" w:rsidR="005243B2" w:rsidRPr="005243B2" w:rsidRDefault="005243B2" w:rsidP="005243B2">
      <w:pPr>
        <w:rPr>
          <w:rFonts w:eastAsia="MS Mincho" w:cs="Times New Roman"/>
          <w:sz w:val="20"/>
          <w:szCs w:val="22"/>
        </w:rPr>
      </w:pPr>
    </w:p>
    <w:p w14:paraId="229776B0" w14:textId="27B10652" w:rsidR="00011BFE" w:rsidRPr="005243B2" w:rsidRDefault="00011BFE" w:rsidP="005243B2">
      <w:pPr>
        <w:rPr>
          <w:rFonts w:eastAsia="MS Mincho" w:cs="Times New Roman"/>
          <w:sz w:val="20"/>
          <w:szCs w:val="22"/>
        </w:rPr>
      </w:pPr>
    </w:p>
    <w:p w14:paraId="75C0DC73"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lastRenderedPageBreak/>
        <w:t>The Fire service will endeavour to remain on scene awaiting the arrival of boarding up company if necessary. If a temporary security measure has been implemented by the Fire Service the details will be communicated to EEAST control room for logging.</w:t>
      </w:r>
    </w:p>
    <w:p w14:paraId="6AFF8E6A" w14:textId="77777777" w:rsidR="00E06077" w:rsidRPr="00E06077" w:rsidRDefault="00E06077" w:rsidP="00E06077">
      <w:pPr>
        <w:spacing w:before="120" w:after="120"/>
        <w:rPr>
          <w:rFonts w:eastAsia="MS Mincho" w:cs="Times New Roman"/>
          <w:sz w:val="20"/>
          <w:szCs w:val="22"/>
        </w:rPr>
      </w:pPr>
    </w:p>
    <w:p w14:paraId="69077B55" w14:textId="77777777" w:rsidR="00E06077" w:rsidRPr="00E06077" w:rsidRDefault="00E06077" w:rsidP="00E06077">
      <w:pPr>
        <w:spacing w:before="120" w:after="120"/>
        <w:rPr>
          <w:rFonts w:eastAsia="MS Mincho" w:cs="Times New Roman"/>
          <w:b/>
          <w:color w:val="FF0000"/>
          <w:sz w:val="20"/>
          <w:szCs w:val="22"/>
        </w:rPr>
      </w:pPr>
      <w:r w:rsidRPr="00E06077">
        <w:rPr>
          <w:rFonts w:eastAsia="MS Mincho" w:cs="Times New Roman"/>
          <w:b/>
          <w:color w:val="FF0000"/>
          <w:sz w:val="20"/>
          <w:szCs w:val="22"/>
        </w:rPr>
        <w:t>Fire Service Actions</w:t>
      </w:r>
    </w:p>
    <w:p w14:paraId="5F136257"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Receive call from EEAST</w:t>
      </w:r>
    </w:p>
    <w:p w14:paraId="05B0841E"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Respond to call and assist with entry</w:t>
      </w:r>
    </w:p>
    <w:p w14:paraId="5FC92493"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Consider leaving the property in hands of Ambulance staff if appropriate i.e. not transferring patient following treatment</w:t>
      </w:r>
    </w:p>
    <w:p w14:paraId="428D05A7"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 xml:space="preserve">Consider completing an incident handover form if leaving property in the hands of a responsible person </w:t>
      </w:r>
    </w:p>
    <w:p w14:paraId="371EA0E0"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color w:val="FF0000"/>
          <w:sz w:val="20"/>
          <w:szCs w:val="22"/>
        </w:rPr>
      </w:pPr>
      <w:r w:rsidRPr="00E06077">
        <w:rPr>
          <w:rFonts w:eastAsia="MS Mincho" w:cs="Times New Roman"/>
          <w:sz w:val="20"/>
          <w:szCs w:val="22"/>
        </w:rPr>
        <w:t xml:space="preserve">Where possible, secure the property without the need for boarding and leave notice of incident in prominent position </w:t>
      </w:r>
      <w:r w:rsidRPr="00E06077">
        <w:rPr>
          <w:rFonts w:eastAsia="MS Mincho" w:cs="Times New Roman"/>
          <w:color w:val="FF0000"/>
          <w:sz w:val="20"/>
          <w:szCs w:val="22"/>
        </w:rPr>
        <w:t>(need forms and weather proof wallets)</w:t>
      </w:r>
    </w:p>
    <w:p w14:paraId="2D0E769C"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For incidents that require boarding, provide the relevant information to Fire Control who will pass details onto EEAST control</w:t>
      </w:r>
    </w:p>
    <w:p w14:paraId="1EE91238"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Await arrival of boarding company to secure property again using incident handover form to pass on relevant information.</w:t>
      </w:r>
    </w:p>
    <w:p w14:paraId="6E6CB61F"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As these working practices are in their infancy crews are encouraged to raise any issues via the Operations Department mailbox</w:t>
      </w:r>
    </w:p>
    <w:p w14:paraId="5B93C3EA" w14:textId="77777777" w:rsidR="00E06077" w:rsidRPr="00E06077" w:rsidRDefault="00E06077" w:rsidP="00E06077">
      <w:pPr>
        <w:widowControl w:val="0"/>
        <w:numPr>
          <w:ilvl w:val="0"/>
          <w:numId w:val="24"/>
        </w:numPr>
        <w:autoSpaceDE w:val="0"/>
        <w:autoSpaceDN w:val="0"/>
        <w:adjustRightInd w:val="0"/>
        <w:spacing w:before="60" w:after="60"/>
        <w:contextualSpacing/>
        <w:rPr>
          <w:rFonts w:eastAsia="MS Mincho" w:cs="Times New Roman"/>
          <w:sz w:val="20"/>
          <w:szCs w:val="22"/>
        </w:rPr>
      </w:pPr>
      <w:r w:rsidRPr="00E06077">
        <w:rPr>
          <w:rFonts w:eastAsia="MS Mincho" w:cs="Times New Roman"/>
          <w:sz w:val="20"/>
          <w:szCs w:val="22"/>
        </w:rPr>
        <w:t xml:space="preserve">Should crews experience significant delays in receiving ambulance assistance IC’s must complete the IRS section 10.4 the prefix </w:t>
      </w:r>
      <w:r w:rsidRPr="00E06077">
        <w:rPr>
          <w:rFonts w:eastAsia="MS Mincho" w:cs="Times New Roman"/>
          <w:b/>
          <w:bCs/>
          <w:sz w:val="20"/>
          <w:szCs w:val="22"/>
        </w:rPr>
        <w:t xml:space="preserve">#AD# </w:t>
      </w:r>
      <w:r w:rsidRPr="00E06077">
        <w:rPr>
          <w:rFonts w:eastAsia="MS Mincho" w:cs="Times New Roman"/>
          <w:bCs/>
          <w:sz w:val="20"/>
          <w:szCs w:val="22"/>
        </w:rPr>
        <w:t>where an ambulance delay is experienced as this will allow efficient data collection to be achieved.</w:t>
      </w:r>
    </w:p>
    <w:p w14:paraId="4ECFBD33" w14:textId="77777777" w:rsidR="00E06077" w:rsidRPr="00E06077" w:rsidRDefault="00E06077" w:rsidP="00E06077">
      <w:pPr>
        <w:spacing w:before="120" w:after="120"/>
        <w:rPr>
          <w:rFonts w:eastAsia="MS Mincho" w:cs="Times New Roman"/>
          <w:sz w:val="20"/>
          <w:szCs w:val="22"/>
        </w:rPr>
      </w:pPr>
    </w:p>
    <w:p w14:paraId="129A3B86" w14:textId="77777777" w:rsidR="00E06077" w:rsidRPr="00E06077" w:rsidRDefault="00E06077" w:rsidP="00E06077">
      <w:pPr>
        <w:keepNext/>
        <w:keepLines/>
        <w:spacing w:after="120"/>
        <w:outlineLvl w:val="0"/>
        <w:rPr>
          <w:rFonts w:eastAsia="MS Gothic" w:cs="Times New Roman"/>
          <w:bCs/>
          <w:color w:val="FF0000"/>
          <w:sz w:val="22"/>
          <w:szCs w:val="32"/>
        </w:rPr>
      </w:pPr>
      <w:r w:rsidRPr="00E06077">
        <w:rPr>
          <w:rFonts w:eastAsia="MS Gothic" w:cs="Times New Roman"/>
          <w:bCs/>
          <w:color w:val="FF0000"/>
          <w:sz w:val="22"/>
          <w:szCs w:val="32"/>
        </w:rPr>
        <w:t>Further Information</w:t>
      </w:r>
    </w:p>
    <w:tbl>
      <w:tblPr>
        <w:tblStyle w:val="TableGrid12"/>
        <w:tblW w:w="48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75"/>
        <w:gridCol w:w="4202"/>
      </w:tblGrid>
      <w:tr w:rsidR="00E06077" w:rsidRPr="00E06077" w14:paraId="37C792B3" w14:textId="77777777" w:rsidTr="00E06077">
        <w:trPr>
          <w:trHeight w:val="529"/>
        </w:trPr>
        <w:tc>
          <w:tcPr>
            <w:tcW w:w="675" w:type="dxa"/>
          </w:tcPr>
          <w:p w14:paraId="41EA5008" w14:textId="77777777" w:rsidR="00E06077" w:rsidRPr="00E06077" w:rsidRDefault="00E06077" w:rsidP="00E06077">
            <w:pPr>
              <w:spacing w:before="120" w:after="120"/>
              <w:rPr>
                <w:rFonts w:cs="Times New Roman"/>
                <w:sz w:val="20"/>
                <w:szCs w:val="22"/>
              </w:rPr>
            </w:pPr>
            <w:r w:rsidRPr="00E06077">
              <w:rPr>
                <w:b/>
                <w:i/>
                <w:noProof/>
                <w:color w:val="262626"/>
                <w:sz w:val="20"/>
                <w:szCs w:val="22"/>
                <w:lang w:eastAsia="en-GB"/>
              </w:rPr>
              <w:drawing>
                <wp:inline distT="0" distB="0" distL="0" distR="0" wp14:anchorId="4AB6654F" wp14:editId="52596522">
                  <wp:extent cx="355984" cy="3305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ther Reading Symbo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6606" cy="331169"/>
                          </a:xfrm>
                          <a:prstGeom prst="rect">
                            <a:avLst/>
                          </a:prstGeom>
                        </pic:spPr>
                      </pic:pic>
                    </a:graphicData>
                  </a:graphic>
                </wp:inline>
              </w:drawing>
            </w:r>
          </w:p>
        </w:tc>
        <w:tc>
          <w:tcPr>
            <w:tcW w:w="4202" w:type="dxa"/>
          </w:tcPr>
          <w:p w14:paraId="550D2044" w14:textId="77777777" w:rsidR="00E06077" w:rsidRPr="00E06077" w:rsidRDefault="00E06077" w:rsidP="00E06077">
            <w:pPr>
              <w:spacing w:before="120" w:after="120"/>
              <w:rPr>
                <w:rFonts w:cs="Times New Roman"/>
                <w:sz w:val="20"/>
                <w:szCs w:val="22"/>
              </w:rPr>
            </w:pPr>
            <w:r w:rsidRPr="00E06077">
              <w:rPr>
                <w:rFonts w:cs="Times New Roman"/>
                <w:sz w:val="20"/>
                <w:szCs w:val="22"/>
              </w:rPr>
              <w:t xml:space="preserve">Operational Bulletin 91: Requests for assistance from East of England Ambulance Service </w:t>
            </w:r>
          </w:p>
          <w:p w14:paraId="739BB6FA" w14:textId="77777777" w:rsidR="00E06077" w:rsidRPr="00E06077" w:rsidRDefault="00E06077" w:rsidP="00E06077">
            <w:pPr>
              <w:spacing w:before="120" w:after="120"/>
              <w:rPr>
                <w:rFonts w:cs="Times New Roman"/>
                <w:sz w:val="20"/>
                <w:szCs w:val="22"/>
              </w:rPr>
            </w:pPr>
          </w:p>
        </w:tc>
      </w:tr>
    </w:tbl>
    <w:p w14:paraId="7E53BCDB" w14:textId="77777777" w:rsidR="00E06077" w:rsidRPr="00E06077" w:rsidRDefault="00E06077" w:rsidP="00E06077">
      <w:pPr>
        <w:tabs>
          <w:tab w:val="center" w:pos="4320"/>
          <w:tab w:val="right" w:pos="8640"/>
        </w:tabs>
        <w:spacing w:before="120" w:after="120"/>
        <w:rPr>
          <w:rFonts w:eastAsia="MS Mincho" w:cs="Times New Roman"/>
          <w:sz w:val="20"/>
          <w:szCs w:val="22"/>
        </w:rPr>
      </w:pPr>
    </w:p>
    <w:p w14:paraId="6D8129F9" w14:textId="77777777" w:rsidR="00E06077" w:rsidRPr="00E06077" w:rsidRDefault="00E06077" w:rsidP="00E06077">
      <w:pPr>
        <w:spacing w:before="120" w:after="120"/>
        <w:rPr>
          <w:rFonts w:eastAsia="MS Mincho" w:cs="Times New Roman"/>
          <w:sz w:val="20"/>
          <w:szCs w:val="22"/>
        </w:rPr>
        <w:sectPr w:rsidR="00E06077" w:rsidRPr="00E06077" w:rsidSect="001E209B">
          <w:headerReference w:type="default" r:id="rId19"/>
          <w:footerReference w:type="default" r:id="rId20"/>
          <w:footerReference w:type="first" r:id="rId21"/>
          <w:type w:val="continuous"/>
          <w:pgSz w:w="11900" w:h="16840"/>
          <w:pgMar w:top="720" w:right="720" w:bottom="1702" w:left="720" w:header="708" w:footer="256" w:gutter="0"/>
          <w:cols w:space="708"/>
          <w:titlePg/>
          <w:docGrid w:linePitch="360"/>
        </w:sectPr>
      </w:pPr>
    </w:p>
    <w:p w14:paraId="762767F7" w14:textId="6BF660E4" w:rsidR="002F3BA0" w:rsidRDefault="003B0105" w:rsidP="00F64805">
      <w:r>
        <w:lastRenderedPageBreak/>
        <w:t>Appendix 2</w:t>
      </w:r>
      <w:r w:rsidR="002F3BA0">
        <w:t xml:space="preserve"> – breakdown by year/month</w:t>
      </w:r>
    </w:p>
    <w:p w14:paraId="20A748F1" w14:textId="0B382A7D" w:rsidR="002F3BA0" w:rsidRDefault="002F3BA0" w:rsidP="00F64805"/>
    <w:p w14:paraId="0525F659" w14:textId="2044CD39" w:rsidR="002F3BA0" w:rsidRPr="002F3BA0" w:rsidRDefault="002F3BA0" w:rsidP="002F3BA0"/>
    <w:p w14:paraId="1C6871C7" w14:textId="1A71FC40" w:rsidR="002F3BA0" w:rsidRPr="002F3BA0" w:rsidRDefault="002F3BA0" w:rsidP="002F3BA0">
      <w:r w:rsidRPr="002F3BA0">
        <w:rPr>
          <w:noProof/>
          <w:lang w:eastAsia="en-GB"/>
        </w:rPr>
        <w:drawing>
          <wp:anchor distT="0" distB="0" distL="114300" distR="114300" simplePos="0" relativeHeight="251660800" behindDoc="0" locked="0" layoutInCell="1" allowOverlap="1" wp14:anchorId="248DB6E6" wp14:editId="7FB30626">
            <wp:simplePos x="0" y="0"/>
            <wp:positionH relativeFrom="column">
              <wp:posOffset>3237865</wp:posOffset>
            </wp:positionH>
            <wp:positionV relativeFrom="paragraph">
              <wp:posOffset>173355</wp:posOffset>
            </wp:positionV>
            <wp:extent cx="2971800" cy="31534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315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190AB" w14:textId="74812B95" w:rsidR="002F3BA0" w:rsidRPr="002F3BA0" w:rsidRDefault="002F3BA0" w:rsidP="002F3BA0">
      <w:r w:rsidRPr="002F3BA0">
        <w:rPr>
          <w:noProof/>
          <w:lang w:eastAsia="en-GB"/>
        </w:rPr>
        <w:drawing>
          <wp:inline distT="0" distB="0" distL="0" distR="0" wp14:anchorId="41D0D366" wp14:editId="3064DDE4">
            <wp:extent cx="2971800" cy="315391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5903" cy="3158271"/>
                    </a:xfrm>
                    <a:prstGeom prst="rect">
                      <a:avLst/>
                    </a:prstGeom>
                    <a:noFill/>
                    <a:ln>
                      <a:noFill/>
                    </a:ln>
                  </pic:spPr>
                </pic:pic>
              </a:graphicData>
            </a:graphic>
          </wp:inline>
        </w:drawing>
      </w:r>
    </w:p>
    <w:p w14:paraId="0177E4DD" w14:textId="643B7A4F" w:rsidR="002F3BA0" w:rsidRPr="002F3BA0" w:rsidRDefault="002F3BA0" w:rsidP="002F3BA0"/>
    <w:p w14:paraId="6F93A5C2" w14:textId="4564A717" w:rsidR="002F3BA0" w:rsidRPr="002F3BA0" w:rsidRDefault="002F3BA0" w:rsidP="002F3BA0"/>
    <w:p w14:paraId="0E4AFB84" w14:textId="77777777" w:rsidR="002F3BA0" w:rsidRPr="002F3BA0" w:rsidRDefault="002F3BA0" w:rsidP="002F3BA0"/>
    <w:p w14:paraId="6D9FB584" w14:textId="3085D3B0" w:rsidR="002F3BA0" w:rsidRPr="002F3BA0" w:rsidRDefault="002F3BA0" w:rsidP="002F3BA0">
      <w:r w:rsidRPr="002F3BA0">
        <w:rPr>
          <w:noProof/>
          <w:lang w:eastAsia="en-GB"/>
        </w:rPr>
        <w:drawing>
          <wp:inline distT="0" distB="0" distL="0" distR="0" wp14:anchorId="1916C8E1" wp14:editId="1A250D39">
            <wp:extent cx="2979700" cy="316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4051" cy="3166918"/>
                    </a:xfrm>
                    <a:prstGeom prst="rect">
                      <a:avLst/>
                    </a:prstGeom>
                    <a:noFill/>
                    <a:ln>
                      <a:noFill/>
                    </a:ln>
                  </pic:spPr>
                </pic:pic>
              </a:graphicData>
            </a:graphic>
          </wp:inline>
        </w:drawing>
      </w:r>
    </w:p>
    <w:p w14:paraId="23037C7F" w14:textId="77777777" w:rsidR="002F3BA0" w:rsidRPr="002F3BA0" w:rsidRDefault="002F3BA0" w:rsidP="002F3BA0"/>
    <w:p w14:paraId="57CBCB35" w14:textId="15345911" w:rsidR="002F3BA0" w:rsidRDefault="002F3BA0" w:rsidP="002F3BA0"/>
    <w:p w14:paraId="1449AC08" w14:textId="56A1A87A" w:rsidR="002F3BA0" w:rsidRDefault="002F3BA0" w:rsidP="002F3BA0"/>
    <w:p w14:paraId="12C9467C" w14:textId="11483639" w:rsidR="002F3BA0" w:rsidRDefault="002F3BA0" w:rsidP="002F3BA0"/>
    <w:p w14:paraId="1A54D97D" w14:textId="06BC3F68" w:rsidR="002F3BA0" w:rsidRDefault="002F3BA0" w:rsidP="002F3BA0"/>
    <w:p w14:paraId="7ED933D2" w14:textId="34225478" w:rsidR="002F3BA0" w:rsidRDefault="002F3BA0" w:rsidP="002F3BA0"/>
    <w:p w14:paraId="240F4F3F" w14:textId="1DCDA2BD" w:rsidR="002F3BA0" w:rsidRDefault="002F3BA0" w:rsidP="002F3BA0"/>
    <w:p w14:paraId="74E8EAEC" w14:textId="7B444BA8" w:rsidR="002F3BA0" w:rsidRDefault="002F3BA0" w:rsidP="002F3BA0"/>
    <w:p w14:paraId="38889045" w14:textId="77777777" w:rsidR="003B0105" w:rsidRDefault="003B0105" w:rsidP="002F3BA0"/>
    <w:p w14:paraId="5D4E2CC8" w14:textId="54D633A8" w:rsidR="002F3BA0" w:rsidRDefault="003B0105" w:rsidP="002F3BA0">
      <w:r>
        <w:lastRenderedPageBreak/>
        <w:t>Appendix 3</w:t>
      </w:r>
      <w:r w:rsidR="002F3BA0">
        <w:t xml:space="preserve"> – breakdown by description</w:t>
      </w:r>
    </w:p>
    <w:p w14:paraId="2EE4F700" w14:textId="0CA57C94" w:rsidR="002F3BA0" w:rsidRDefault="002F3BA0" w:rsidP="002F3BA0"/>
    <w:p w14:paraId="43A8E7B2" w14:textId="4B32C2F5" w:rsidR="002F3BA0" w:rsidRDefault="002F3BA0" w:rsidP="002F3BA0"/>
    <w:p w14:paraId="756E1F38" w14:textId="77777777" w:rsidR="00011BFE" w:rsidRPr="002F3BA0" w:rsidRDefault="00011BFE" w:rsidP="002F3BA0"/>
    <w:p w14:paraId="403F9D80" w14:textId="77777777" w:rsidR="002F3BA0" w:rsidRPr="002F3BA0" w:rsidRDefault="002F3BA0" w:rsidP="002F3BA0">
      <w:r w:rsidRPr="002F3BA0">
        <w:rPr>
          <w:noProof/>
          <w:lang w:eastAsia="en-GB"/>
        </w:rPr>
        <w:drawing>
          <wp:inline distT="0" distB="0" distL="0" distR="0" wp14:anchorId="414A57BD" wp14:editId="5C14CF84">
            <wp:extent cx="5939790" cy="7271613"/>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7271613"/>
                    </a:xfrm>
                    <a:prstGeom prst="rect">
                      <a:avLst/>
                    </a:prstGeom>
                    <a:noFill/>
                    <a:ln>
                      <a:noFill/>
                    </a:ln>
                  </pic:spPr>
                </pic:pic>
              </a:graphicData>
            </a:graphic>
          </wp:inline>
        </w:drawing>
      </w:r>
    </w:p>
    <w:p w14:paraId="638A0AE5" w14:textId="77777777" w:rsidR="002F3BA0" w:rsidRPr="002F3BA0" w:rsidRDefault="002F3BA0" w:rsidP="002F3BA0">
      <w:pPr>
        <w:rPr>
          <w:b/>
        </w:rPr>
      </w:pPr>
    </w:p>
    <w:p w14:paraId="27DFB6D4" w14:textId="61E4A8DC" w:rsidR="002F3BA0" w:rsidRDefault="002F3BA0" w:rsidP="00F64805"/>
    <w:p w14:paraId="1C2EEBF9" w14:textId="73500747" w:rsidR="002F3BA0" w:rsidRDefault="002F3BA0" w:rsidP="00F64805"/>
    <w:p w14:paraId="00C80DA0" w14:textId="77777777" w:rsidR="002F3BA0" w:rsidRDefault="002F3BA0" w:rsidP="00F64805">
      <w:pPr>
        <w:sectPr w:rsidR="002F3BA0" w:rsidSect="0053153D">
          <w:headerReference w:type="default" r:id="rId26"/>
          <w:footerReference w:type="default" r:id="rId27"/>
          <w:pgSz w:w="11906" w:h="16838" w:code="9"/>
          <w:pgMar w:top="1134" w:right="1276" w:bottom="1134" w:left="1276" w:header="709" w:footer="709" w:gutter="0"/>
          <w:cols w:space="708"/>
          <w:titlePg/>
          <w:docGrid w:linePitch="360"/>
        </w:sectPr>
      </w:pPr>
    </w:p>
    <w:p w14:paraId="023CE919" w14:textId="21535B42" w:rsidR="002F3BA0" w:rsidRDefault="003B0105" w:rsidP="00F64805">
      <w:r>
        <w:tab/>
        <w:t>Appendix 4</w:t>
      </w:r>
    </w:p>
    <w:p w14:paraId="41B85A39" w14:textId="1501C5A1" w:rsidR="002F3BA0" w:rsidRDefault="002F3BA0" w:rsidP="00F64805"/>
    <w:p w14:paraId="00077F31" w14:textId="4EDC0EBD" w:rsidR="002F3BA0" w:rsidRDefault="002F3BA0" w:rsidP="00F64805"/>
    <w:p w14:paraId="6B2E4259" w14:textId="39CEADDE" w:rsidR="002F3BA0" w:rsidRDefault="002F3BA0" w:rsidP="00F64805"/>
    <w:p w14:paraId="48F0ED5F" w14:textId="3208B7EE" w:rsidR="002F3BA0" w:rsidRDefault="002F3BA0" w:rsidP="00F64805"/>
    <w:p w14:paraId="40F971D2" w14:textId="1384F137" w:rsidR="002F3BA0" w:rsidRDefault="003B0105" w:rsidP="00F64805">
      <w:r>
        <w:rPr>
          <w:noProof/>
          <w:lang w:eastAsia="en-GB"/>
        </w:rPr>
        <w:drawing>
          <wp:anchor distT="0" distB="0" distL="114300" distR="114300" simplePos="0" relativeHeight="251661824" behindDoc="0" locked="0" layoutInCell="1" allowOverlap="1" wp14:anchorId="37F8719A" wp14:editId="150B3AB0">
            <wp:simplePos x="0" y="0"/>
            <wp:positionH relativeFrom="column">
              <wp:posOffset>260985</wp:posOffset>
            </wp:positionH>
            <wp:positionV relativeFrom="paragraph">
              <wp:posOffset>113665</wp:posOffset>
            </wp:positionV>
            <wp:extent cx="9251950" cy="3632835"/>
            <wp:effectExtent l="0" t="0" r="6350" b="571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5ED416F1" w14:textId="2DC70F48" w:rsidR="002F3BA0" w:rsidRDefault="002F3BA0" w:rsidP="00F64805"/>
    <w:p w14:paraId="444E647D" w14:textId="33CDD659" w:rsidR="002F3BA0" w:rsidRDefault="002F3BA0" w:rsidP="00F64805"/>
    <w:p w14:paraId="2875E19B" w14:textId="2017FB83" w:rsidR="002F3BA0" w:rsidRDefault="002F3BA0" w:rsidP="00F64805"/>
    <w:p w14:paraId="1FD0A436" w14:textId="5C750F28" w:rsidR="002F3BA0" w:rsidRDefault="002F3BA0" w:rsidP="00F64805"/>
    <w:p w14:paraId="33268149" w14:textId="2BF46AC1" w:rsidR="002F3BA0" w:rsidRDefault="002F3BA0" w:rsidP="00F64805"/>
    <w:p w14:paraId="5AB0288E" w14:textId="2682FC2D" w:rsidR="002F3BA0" w:rsidRDefault="002F3BA0" w:rsidP="00F64805"/>
    <w:p w14:paraId="0A1116A1" w14:textId="6387F7CE" w:rsidR="002F3BA0" w:rsidRDefault="002F3BA0" w:rsidP="00F64805"/>
    <w:p w14:paraId="723A88BA" w14:textId="06161994" w:rsidR="002F3BA0" w:rsidRDefault="002F3BA0" w:rsidP="00F64805"/>
    <w:p w14:paraId="18DFF917" w14:textId="2188BDEA" w:rsidR="002F3BA0" w:rsidRDefault="002F3BA0" w:rsidP="00F64805"/>
    <w:p w14:paraId="15EA7282" w14:textId="710EF0DB" w:rsidR="002F3BA0" w:rsidRDefault="002F3BA0" w:rsidP="00F64805"/>
    <w:p w14:paraId="653B044E" w14:textId="480943F7" w:rsidR="002F3BA0" w:rsidRDefault="002F3BA0" w:rsidP="00F64805"/>
    <w:p w14:paraId="26812BCF" w14:textId="4A947A08" w:rsidR="002F3BA0" w:rsidRDefault="002F3BA0" w:rsidP="00F64805"/>
    <w:p w14:paraId="3D1A66D7" w14:textId="6ED9D4B1" w:rsidR="002F3BA0" w:rsidRDefault="002F3BA0" w:rsidP="00F64805"/>
    <w:p w14:paraId="35C16F9B" w14:textId="315E87CD" w:rsidR="002F3BA0" w:rsidRDefault="002F3BA0" w:rsidP="00F64805"/>
    <w:p w14:paraId="128C96DD" w14:textId="1FAE8372" w:rsidR="002F3BA0" w:rsidRDefault="002F3BA0" w:rsidP="00F64805"/>
    <w:p w14:paraId="04F57D6A" w14:textId="2C9E7C5B" w:rsidR="002F3BA0" w:rsidRDefault="002F3BA0" w:rsidP="00F64805"/>
    <w:p w14:paraId="57158CF1" w14:textId="5A84552D" w:rsidR="002F3BA0" w:rsidRDefault="002F3BA0" w:rsidP="00F64805"/>
    <w:p w14:paraId="21C48600" w14:textId="197BE31E" w:rsidR="002F3BA0" w:rsidRDefault="002F3BA0" w:rsidP="00F64805"/>
    <w:p w14:paraId="40C4C5B3" w14:textId="314C9429" w:rsidR="002F3BA0" w:rsidRDefault="002F3BA0" w:rsidP="00F64805"/>
    <w:p w14:paraId="61DCAD4D" w14:textId="17E87C91" w:rsidR="002F3BA0" w:rsidRDefault="002F3BA0" w:rsidP="00F64805"/>
    <w:p w14:paraId="4CFF8E15" w14:textId="40B4962F" w:rsidR="002F3BA0" w:rsidRDefault="002F3BA0" w:rsidP="00F64805"/>
    <w:p w14:paraId="6AF2636F" w14:textId="7F06FCD7" w:rsidR="002F3BA0" w:rsidRDefault="002F3BA0" w:rsidP="00F64805"/>
    <w:p w14:paraId="4A1ED1DF" w14:textId="3C013087" w:rsidR="002F3BA0" w:rsidRDefault="002F3BA0" w:rsidP="00F64805"/>
    <w:p w14:paraId="14AF924C" w14:textId="4BB22671" w:rsidR="002F3BA0" w:rsidRDefault="002F3BA0" w:rsidP="00F64805"/>
    <w:p w14:paraId="0C79A6EE" w14:textId="0C647591" w:rsidR="002F3BA0" w:rsidRDefault="002F3BA0" w:rsidP="00F64805"/>
    <w:p w14:paraId="04FEE677" w14:textId="46DB1F84" w:rsidR="002F3BA0" w:rsidRDefault="002F3BA0" w:rsidP="00F64805"/>
    <w:p w14:paraId="5F54DB46" w14:textId="556D01D7" w:rsidR="003B0105" w:rsidRDefault="003B0105" w:rsidP="00F64805"/>
    <w:p w14:paraId="51EC8725" w14:textId="7859236B" w:rsidR="003B0105" w:rsidRDefault="003B0105" w:rsidP="00F64805"/>
    <w:p w14:paraId="0EB0AB52" w14:textId="6C693092" w:rsidR="003B0105" w:rsidRDefault="003B0105" w:rsidP="00F64805"/>
    <w:p w14:paraId="1A794C39" w14:textId="5DDBB7CB" w:rsidR="003B0105" w:rsidRDefault="003B0105" w:rsidP="00F64805"/>
    <w:p w14:paraId="5126C7B4" w14:textId="235D6F68" w:rsidR="003B0105" w:rsidRDefault="003B0105" w:rsidP="00F64805"/>
    <w:p w14:paraId="5287B98E" w14:textId="5E281EC9" w:rsidR="003B0105" w:rsidRDefault="003B0105" w:rsidP="00F64805"/>
    <w:p w14:paraId="4431F94F" w14:textId="49BB18A6" w:rsidR="003B0105" w:rsidRDefault="003B0105" w:rsidP="00F64805"/>
    <w:p w14:paraId="29AD8254" w14:textId="006DAB2F" w:rsidR="003B0105" w:rsidRDefault="003B0105" w:rsidP="00F64805"/>
    <w:p w14:paraId="0A4CD550" w14:textId="40A00A1F" w:rsidR="003B0105" w:rsidRDefault="003B0105" w:rsidP="00F64805"/>
    <w:p w14:paraId="56B1251C" w14:textId="64E97D3C" w:rsidR="003B0105" w:rsidRDefault="003B0105" w:rsidP="00F64805"/>
    <w:p w14:paraId="6C764D5F" w14:textId="118328E8" w:rsidR="003B0105" w:rsidRDefault="003B0105" w:rsidP="00F64805"/>
    <w:p w14:paraId="6FC4F544" w14:textId="72021940" w:rsidR="003B0105" w:rsidRDefault="003B0105" w:rsidP="00F64805"/>
    <w:p w14:paraId="558FADA6" w14:textId="0405ADD2" w:rsidR="003B0105" w:rsidRDefault="003B0105" w:rsidP="00F64805"/>
    <w:p w14:paraId="68EA1612" w14:textId="775DA6FF" w:rsidR="003B0105" w:rsidRDefault="003B0105" w:rsidP="00F64805"/>
    <w:p w14:paraId="5EDC8B82" w14:textId="4DE0D244" w:rsidR="003B0105" w:rsidRDefault="003B0105" w:rsidP="00F64805"/>
    <w:p w14:paraId="44EF64F4" w14:textId="2F00ADD9" w:rsidR="003B0105" w:rsidRDefault="003B0105" w:rsidP="00F64805"/>
    <w:p w14:paraId="481A2311" w14:textId="2DC016B9" w:rsidR="003B0105" w:rsidRDefault="003B0105" w:rsidP="00F64805"/>
    <w:p w14:paraId="3D347EFD" w14:textId="21F88A33" w:rsidR="003B0105" w:rsidRDefault="003B0105" w:rsidP="00F64805"/>
    <w:p w14:paraId="56DA9BA5" w14:textId="1B91EFF8" w:rsidR="003B0105" w:rsidRDefault="003B0105" w:rsidP="00F64805"/>
    <w:p w14:paraId="48AFCD91" w14:textId="1B6E10AA" w:rsidR="003B0105" w:rsidRDefault="003B0105" w:rsidP="00F64805"/>
    <w:p w14:paraId="68820D31" w14:textId="6040FCEC" w:rsidR="003B0105" w:rsidRDefault="003B0105" w:rsidP="00F64805"/>
    <w:p w14:paraId="3833C7B2" w14:textId="3580C8F6" w:rsidR="003B0105" w:rsidRDefault="003B0105" w:rsidP="00F64805"/>
    <w:p w14:paraId="28AA6248" w14:textId="2B8920A0" w:rsidR="003B0105" w:rsidRDefault="003B0105" w:rsidP="00F64805"/>
    <w:p w14:paraId="46B56401" w14:textId="37CA57F3" w:rsidR="003B0105" w:rsidRDefault="003B0105" w:rsidP="00F64805"/>
    <w:p w14:paraId="689CDA18" w14:textId="6467BC3C" w:rsidR="003B0105" w:rsidRDefault="003B0105" w:rsidP="00F64805"/>
    <w:p w14:paraId="7AAD2AC0" w14:textId="604E0999" w:rsidR="003B0105" w:rsidRDefault="003B0105" w:rsidP="00F64805"/>
    <w:p w14:paraId="2CD32A8B" w14:textId="3C13E8EB" w:rsidR="003B0105" w:rsidRDefault="003B0105" w:rsidP="00F64805"/>
    <w:p w14:paraId="62DB51B7" w14:textId="12DACB3A" w:rsidR="003B0105" w:rsidRDefault="003B0105" w:rsidP="00F64805"/>
    <w:p w14:paraId="6EB31934" w14:textId="67DAD560" w:rsidR="003B0105" w:rsidRDefault="003B0105" w:rsidP="00F64805"/>
    <w:p w14:paraId="5138BCE2" w14:textId="08B3115B" w:rsidR="003B0105" w:rsidRDefault="003B0105" w:rsidP="00F64805"/>
    <w:p w14:paraId="58AD8F12" w14:textId="15569C87" w:rsidR="003B0105" w:rsidRDefault="003B0105" w:rsidP="00F64805"/>
    <w:p w14:paraId="36BFAB9A" w14:textId="72271480" w:rsidR="003B0105" w:rsidRDefault="003B0105" w:rsidP="00F64805"/>
    <w:p w14:paraId="604A5F5F" w14:textId="20399681" w:rsidR="003B0105" w:rsidRDefault="003B0105" w:rsidP="00F64805"/>
    <w:p w14:paraId="5C4FA848" w14:textId="76F7AEB1" w:rsidR="003B0105" w:rsidRDefault="003B0105" w:rsidP="00F64805"/>
    <w:p w14:paraId="16F5A2A8" w14:textId="686DBF4D" w:rsidR="003B0105" w:rsidRDefault="003B0105" w:rsidP="00F64805"/>
    <w:p w14:paraId="5550D69F" w14:textId="19466FF3" w:rsidR="003B0105" w:rsidRDefault="003B0105" w:rsidP="00F64805"/>
    <w:p w14:paraId="3E417D1E" w14:textId="7169B872" w:rsidR="003B0105" w:rsidRDefault="003B0105" w:rsidP="00F64805"/>
    <w:p w14:paraId="7FD5D15D" w14:textId="48CDE8FA" w:rsidR="003B0105" w:rsidRDefault="003B0105" w:rsidP="00F64805"/>
    <w:p w14:paraId="1E6F92F8" w14:textId="3965E6E5" w:rsidR="003B0105" w:rsidRDefault="003B0105" w:rsidP="00F64805"/>
    <w:p w14:paraId="692F9803" w14:textId="7406AC89" w:rsidR="002F3BA0" w:rsidRDefault="002F3BA0" w:rsidP="00F64805"/>
    <w:p w14:paraId="3E85206E" w14:textId="7BE1E89D" w:rsidR="002F3BA0" w:rsidRDefault="003B0105" w:rsidP="00F64805">
      <w:r>
        <w:tab/>
        <w:t>Appendix 5</w:t>
      </w:r>
    </w:p>
    <w:p w14:paraId="1036F65F" w14:textId="10862406" w:rsidR="00B363C3" w:rsidRDefault="00B363C3" w:rsidP="00F64805">
      <w:pPr>
        <w:rPr>
          <w:noProof/>
          <w:lang w:eastAsia="en-GB"/>
        </w:rPr>
      </w:pPr>
    </w:p>
    <w:p w14:paraId="00C887D2" w14:textId="2419B0C9" w:rsidR="00B363C3" w:rsidRDefault="00B363C3" w:rsidP="00F64805">
      <w:pPr>
        <w:rPr>
          <w:noProof/>
          <w:lang w:eastAsia="en-GB"/>
        </w:rPr>
      </w:pPr>
    </w:p>
    <w:p w14:paraId="066AF0EF" w14:textId="68592C2B" w:rsidR="00B363C3" w:rsidRDefault="00B363C3" w:rsidP="00F64805">
      <w:pPr>
        <w:rPr>
          <w:noProof/>
          <w:lang w:eastAsia="en-GB"/>
        </w:rPr>
      </w:pPr>
    </w:p>
    <w:p w14:paraId="62870433" w14:textId="42F45E63" w:rsidR="00B363C3" w:rsidRDefault="00B363C3" w:rsidP="00F64805">
      <w:pPr>
        <w:rPr>
          <w:noProof/>
          <w:lang w:eastAsia="en-GB"/>
        </w:rPr>
      </w:pPr>
    </w:p>
    <w:p w14:paraId="25FFFAE0" w14:textId="089FD65B" w:rsidR="00B363C3" w:rsidRDefault="003B0105" w:rsidP="00F64805">
      <w:pPr>
        <w:rPr>
          <w:noProof/>
          <w:lang w:eastAsia="en-GB"/>
        </w:rPr>
      </w:pPr>
      <w:r>
        <w:rPr>
          <w:noProof/>
          <w:lang w:eastAsia="en-GB"/>
        </w:rPr>
        <w:drawing>
          <wp:anchor distT="0" distB="0" distL="114300" distR="114300" simplePos="0" relativeHeight="251662848" behindDoc="0" locked="0" layoutInCell="1" allowOverlap="1" wp14:anchorId="7D58A9CF" wp14:editId="7601F14C">
            <wp:simplePos x="0" y="0"/>
            <wp:positionH relativeFrom="column">
              <wp:posOffset>289560</wp:posOffset>
            </wp:positionH>
            <wp:positionV relativeFrom="paragraph">
              <wp:posOffset>20320</wp:posOffset>
            </wp:positionV>
            <wp:extent cx="9254490" cy="402399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4490" cy="4023995"/>
                    </a:xfrm>
                    <a:prstGeom prst="rect">
                      <a:avLst/>
                    </a:prstGeom>
                    <a:noFill/>
                  </pic:spPr>
                </pic:pic>
              </a:graphicData>
            </a:graphic>
            <wp14:sizeRelH relativeFrom="page">
              <wp14:pctWidth>0</wp14:pctWidth>
            </wp14:sizeRelH>
            <wp14:sizeRelV relativeFrom="page">
              <wp14:pctHeight>0</wp14:pctHeight>
            </wp14:sizeRelV>
          </wp:anchor>
        </w:drawing>
      </w:r>
    </w:p>
    <w:p w14:paraId="0C011851" w14:textId="2964622C" w:rsidR="002F3BA0" w:rsidRDefault="002F3BA0" w:rsidP="00F64805"/>
    <w:p w14:paraId="599DEA54" w14:textId="7D202417" w:rsidR="00B363C3" w:rsidRDefault="00B363C3" w:rsidP="00F64805"/>
    <w:p w14:paraId="551570E7" w14:textId="45A6E771" w:rsidR="00B363C3" w:rsidRDefault="00B363C3" w:rsidP="00F64805"/>
    <w:p w14:paraId="2F09C1C1" w14:textId="0631440E" w:rsidR="00B363C3" w:rsidRDefault="00B363C3" w:rsidP="00F64805"/>
    <w:p w14:paraId="2B0C73E7" w14:textId="0CB68F48" w:rsidR="00B363C3" w:rsidRDefault="00B363C3" w:rsidP="00F64805"/>
    <w:p w14:paraId="52A37BF2" w14:textId="49CFA9DB" w:rsidR="00B363C3" w:rsidRDefault="00B363C3" w:rsidP="00F64805"/>
    <w:p w14:paraId="3EB41664" w14:textId="5162F3F3" w:rsidR="00B363C3" w:rsidRDefault="00B363C3" w:rsidP="00F64805"/>
    <w:p w14:paraId="5C358E90" w14:textId="3BE18D37" w:rsidR="00B363C3" w:rsidRDefault="00B363C3" w:rsidP="00F64805"/>
    <w:p w14:paraId="56F3590F" w14:textId="68A4BF33" w:rsidR="00B363C3" w:rsidRDefault="00B363C3" w:rsidP="00F64805"/>
    <w:p w14:paraId="1347FD9E" w14:textId="2AE808A1" w:rsidR="00B363C3" w:rsidRDefault="00B363C3" w:rsidP="00F64805"/>
    <w:p w14:paraId="229FCE8C" w14:textId="55392D78" w:rsidR="00B363C3" w:rsidRDefault="00B363C3" w:rsidP="00F64805"/>
    <w:p w14:paraId="0D924524" w14:textId="3745A66B" w:rsidR="00B363C3" w:rsidRDefault="00B363C3" w:rsidP="00F64805"/>
    <w:p w14:paraId="060E2FE4" w14:textId="1993D587" w:rsidR="00B363C3" w:rsidRDefault="00B363C3" w:rsidP="00F64805"/>
    <w:p w14:paraId="57736852" w14:textId="48A66268" w:rsidR="00B363C3" w:rsidRDefault="00B363C3" w:rsidP="00F64805"/>
    <w:p w14:paraId="24B588F0" w14:textId="23B71F30" w:rsidR="00B363C3" w:rsidRDefault="00B363C3" w:rsidP="00F64805"/>
    <w:p w14:paraId="43344A4E" w14:textId="79A3B54D" w:rsidR="003B0105" w:rsidRDefault="003B0105" w:rsidP="00F64805"/>
    <w:p w14:paraId="186F53DF" w14:textId="01F14019" w:rsidR="003B0105" w:rsidRDefault="003B0105" w:rsidP="00F64805"/>
    <w:p w14:paraId="1F34A765" w14:textId="42069CE5" w:rsidR="003B0105" w:rsidRDefault="003B0105" w:rsidP="00F64805"/>
    <w:p w14:paraId="12BDC773" w14:textId="15993A7B" w:rsidR="003B0105" w:rsidRDefault="003B0105" w:rsidP="00F64805"/>
    <w:p w14:paraId="326540E6" w14:textId="71778494" w:rsidR="003B0105" w:rsidRDefault="003B0105" w:rsidP="00F64805"/>
    <w:p w14:paraId="1126177B" w14:textId="7D5F8AF1" w:rsidR="003B0105" w:rsidRDefault="003B0105" w:rsidP="00F64805"/>
    <w:p w14:paraId="556247C5" w14:textId="36683319" w:rsidR="003B0105" w:rsidRDefault="003B0105" w:rsidP="00F64805"/>
    <w:p w14:paraId="567D1A73" w14:textId="186C9BDA" w:rsidR="003B0105" w:rsidRDefault="003B0105" w:rsidP="00F64805"/>
    <w:p w14:paraId="5CEAFDD8" w14:textId="15E24674" w:rsidR="00B363C3" w:rsidRPr="00784EB6" w:rsidRDefault="00B363C3" w:rsidP="003B0105"/>
    <w:sectPr w:rsidR="00B363C3" w:rsidRPr="00784EB6" w:rsidSect="003B0105">
      <w:headerReference w:type="default" r:id="rId30"/>
      <w:footerReference w:type="default" r:id="rId31"/>
      <w:pgSz w:w="16840" w:h="11900" w:orient="landscape"/>
      <w:pgMar w:top="851" w:right="720" w:bottom="851" w:left="720" w:header="708" w:footer="5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B363C3" w:rsidRDefault="00B363C3">
      <w:r>
        <w:separator/>
      </w:r>
    </w:p>
  </w:endnote>
  <w:endnote w:type="continuationSeparator" w:id="0">
    <w:p w14:paraId="5C84A301" w14:textId="77777777" w:rsidR="00B363C3" w:rsidRDefault="00B3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B363C3" w:rsidRDefault="00B363C3" w:rsidP="00AA60E6">
    <w:pPr>
      <w:pStyle w:val="Footer"/>
      <w:jc w:val="center"/>
      <w:rPr>
        <w:sz w:val="22"/>
        <w:szCs w:val="22"/>
      </w:rPr>
    </w:pPr>
  </w:p>
  <w:p w14:paraId="16CF88D3" w14:textId="3B46302E" w:rsidR="00B363C3" w:rsidRPr="00AA60E6" w:rsidRDefault="00B363C3"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F43BF">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F43BF">
      <w:rPr>
        <w:noProof/>
        <w:sz w:val="22"/>
        <w:szCs w:val="22"/>
      </w:rPr>
      <w:t>8</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3C959032" w:rsidR="00B363C3" w:rsidRPr="00AA60E6" w:rsidRDefault="00B363C3"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5F43BF">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5F43BF">
      <w:rPr>
        <w:noProof/>
        <w:sz w:val="22"/>
        <w:szCs w:val="22"/>
      </w:rPr>
      <w:t>8</w:t>
    </w:r>
    <w:r w:rsidRPr="00AA60E6">
      <w:rPr>
        <w:sz w:val="22"/>
        <w:szCs w:val="22"/>
      </w:rPr>
      <w:fldChar w:fldCharType="end"/>
    </w:r>
  </w:p>
  <w:p w14:paraId="5E5270A6" w14:textId="77777777" w:rsidR="00B363C3" w:rsidRDefault="00B363C3" w:rsidP="00D133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2"/>
      <w:tblW w:w="104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E06077" w14:paraId="1507F7C0" w14:textId="77777777" w:rsidTr="007626E4">
      <w:trPr>
        <w:trHeight w:val="286"/>
      </w:trPr>
      <w:tc>
        <w:tcPr>
          <w:tcW w:w="3686" w:type="dxa"/>
        </w:tcPr>
        <w:p w14:paraId="080004AE" w14:textId="77777777" w:rsidR="00E06077" w:rsidRDefault="00E06077" w:rsidP="00956623">
          <w:pPr>
            <w:pStyle w:val="Footer"/>
            <w:tabs>
              <w:tab w:val="left" w:pos="142"/>
              <w:tab w:val="right" w:pos="3686"/>
            </w:tabs>
          </w:pPr>
          <w:r>
            <w:t>Version 0.1 – Month Year</w:t>
          </w:r>
        </w:p>
      </w:tc>
      <w:tc>
        <w:tcPr>
          <w:tcW w:w="567" w:type="dxa"/>
          <w:vMerge w:val="restart"/>
          <w:vAlign w:val="center"/>
        </w:tcPr>
        <w:p w14:paraId="03C02B68" w14:textId="77777777" w:rsidR="00E06077" w:rsidRDefault="00E06077" w:rsidP="007626E4">
          <w:pPr>
            <w:pStyle w:val="Footer"/>
            <w:tabs>
              <w:tab w:val="left" w:pos="9072"/>
            </w:tabs>
            <w:jc w:val="center"/>
          </w:pPr>
          <w:r>
            <w:rPr>
              <w:i/>
              <w:noProof/>
              <w:color w:val="262626"/>
              <w:lang w:eastAsia="en-GB"/>
            </w:rPr>
            <w:drawing>
              <wp:inline distT="0" distB="0" distL="0" distR="0" wp14:anchorId="0ECF389C" wp14:editId="3EBB7BBC">
                <wp:extent cx="248480" cy="25439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1">
                          <a:extLst>
                            <a:ext uri="{28A0092B-C50C-407E-A947-70E740481C1C}">
                              <a14:useLocalDpi xmlns:a14="http://schemas.microsoft.com/office/drawing/2010/main" val="0"/>
                            </a:ext>
                          </a:extLst>
                        </a:blip>
                        <a:stretch>
                          <a:fillRect/>
                        </a:stretch>
                      </pic:blipFill>
                      <pic:spPr>
                        <a:xfrm>
                          <a:off x="0" y="0"/>
                          <a:ext cx="248680" cy="254602"/>
                        </a:xfrm>
                        <a:prstGeom prst="rect">
                          <a:avLst/>
                        </a:prstGeom>
                      </pic:spPr>
                    </pic:pic>
                  </a:graphicData>
                </a:graphic>
              </wp:inline>
            </w:drawing>
          </w:r>
        </w:p>
      </w:tc>
      <w:tc>
        <w:tcPr>
          <w:tcW w:w="3788" w:type="dxa"/>
          <w:vMerge w:val="restart"/>
          <w:vAlign w:val="center"/>
        </w:tcPr>
        <w:p w14:paraId="7E4DDDFD" w14:textId="77777777" w:rsidR="00E06077" w:rsidRPr="001D3D9F" w:rsidRDefault="00E06077" w:rsidP="007626E4">
          <w:pPr>
            <w:pStyle w:val="Footer"/>
            <w:tabs>
              <w:tab w:val="left" w:pos="9072"/>
            </w:tabs>
            <w:rPr>
              <w:color w:val="FF0000"/>
            </w:rPr>
          </w:pPr>
          <w:r w:rsidRPr="00E06077">
            <w:rPr>
              <w:color w:val="76923C"/>
            </w:rPr>
            <w:t>NOT PROTECTIVELY MARKED</w:t>
          </w:r>
        </w:p>
      </w:tc>
      <w:tc>
        <w:tcPr>
          <w:tcW w:w="2410" w:type="dxa"/>
          <w:vMerge w:val="restart"/>
        </w:tcPr>
        <w:p w14:paraId="0C4A2F5F" w14:textId="56E3722E" w:rsidR="00E06077" w:rsidRDefault="00E06077" w:rsidP="007626E4">
          <w:pPr>
            <w:pStyle w:val="Footer"/>
            <w:tabs>
              <w:tab w:val="left" w:pos="9072"/>
            </w:tabs>
            <w:ind w:left="1026"/>
          </w:pPr>
          <w:r>
            <w:t xml:space="preserve">Page </w:t>
          </w:r>
          <w:sdt>
            <w:sdtPr>
              <w:id w:val="-574437341"/>
              <w:docPartObj>
                <w:docPartGallery w:val="Page Numbers (Bottom of Page)"/>
                <w:docPartUnique/>
              </w:docPartObj>
            </w:sdtPr>
            <w:sdtEndPr/>
            <w:sdtContent>
              <w:r>
                <w:fldChar w:fldCharType="begin"/>
              </w:r>
              <w:r>
                <w:instrText xml:space="preserve"> PAGE   \* MERGEFORMAT </w:instrText>
              </w:r>
              <w:r>
                <w:fldChar w:fldCharType="separate"/>
              </w:r>
              <w:r w:rsidR="005F43BF">
                <w:rPr>
                  <w:noProof/>
                </w:rPr>
                <w:t>3</w:t>
              </w:r>
              <w:r>
                <w:rPr>
                  <w:noProof/>
                </w:rPr>
                <w:fldChar w:fldCharType="end"/>
              </w:r>
              <w:r>
                <w:rPr>
                  <w:noProof/>
                </w:rPr>
                <w:t xml:space="preserve"> of </w:t>
              </w:r>
              <w:r w:rsidR="00011BFE">
                <w:rPr>
                  <w:noProof/>
                </w:rPr>
                <w:t>8</w:t>
              </w:r>
            </w:sdtContent>
          </w:sdt>
        </w:p>
      </w:tc>
    </w:tr>
    <w:tr w:rsidR="00E06077" w14:paraId="7F49BB26" w14:textId="77777777" w:rsidTr="007626E4">
      <w:trPr>
        <w:trHeight w:val="162"/>
      </w:trPr>
      <w:tc>
        <w:tcPr>
          <w:tcW w:w="3686" w:type="dxa"/>
        </w:tcPr>
        <w:p w14:paraId="6DB848FA" w14:textId="77777777" w:rsidR="00E06077" w:rsidRPr="00D35450" w:rsidRDefault="00E06077" w:rsidP="007626E4">
          <w:pPr>
            <w:pStyle w:val="Footer"/>
            <w:tabs>
              <w:tab w:val="left" w:pos="142"/>
              <w:tab w:val="right" w:pos="3686"/>
            </w:tabs>
          </w:pPr>
          <w:r w:rsidRPr="00D35450">
            <w:t xml:space="preserve">Protective Review – </w:t>
          </w:r>
          <w:r>
            <w:t>None</w:t>
          </w:r>
        </w:p>
      </w:tc>
      <w:tc>
        <w:tcPr>
          <w:tcW w:w="567" w:type="dxa"/>
          <w:vMerge/>
        </w:tcPr>
        <w:p w14:paraId="51D4A2EB" w14:textId="77777777" w:rsidR="00E06077" w:rsidRPr="00FC7EB3" w:rsidRDefault="00E06077" w:rsidP="007626E4">
          <w:pPr>
            <w:pStyle w:val="Footer"/>
            <w:tabs>
              <w:tab w:val="left" w:pos="9072"/>
            </w:tabs>
            <w:rPr>
              <w:noProof/>
            </w:rPr>
          </w:pPr>
        </w:p>
      </w:tc>
      <w:tc>
        <w:tcPr>
          <w:tcW w:w="3788" w:type="dxa"/>
          <w:vMerge/>
          <w:vAlign w:val="center"/>
        </w:tcPr>
        <w:p w14:paraId="657AF433" w14:textId="77777777" w:rsidR="00E06077" w:rsidRPr="001D3D9F" w:rsidRDefault="00E06077" w:rsidP="007626E4">
          <w:pPr>
            <w:pStyle w:val="Footer"/>
            <w:tabs>
              <w:tab w:val="left" w:pos="461"/>
            </w:tabs>
            <w:rPr>
              <w:color w:val="FF0000"/>
            </w:rPr>
          </w:pPr>
        </w:p>
      </w:tc>
      <w:tc>
        <w:tcPr>
          <w:tcW w:w="2410" w:type="dxa"/>
          <w:vMerge/>
        </w:tcPr>
        <w:p w14:paraId="38F738C5" w14:textId="77777777" w:rsidR="00E06077" w:rsidRDefault="00E06077" w:rsidP="007626E4">
          <w:pPr>
            <w:pStyle w:val="Footer"/>
            <w:tabs>
              <w:tab w:val="left" w:pos="9072"/>
            </w:tabs>
            <w:ind w:left="1026"/>
          </w:pPr>
        </w:p>
      </w:tc>
    </w:tr>
  </w:tbl>
  <w:p w14:paraId="4A9D9BFD" w14:textId="77777777" w:rsidR="00E06077" w:rsidRDefault="00E06077" w:rsidP="007626E4">
    <w:pPr>
      <w:pStyle w:val="Footer"/>
      <w:tabs>
        <w:tab w:val="center" w:pos="4536"/>
        <w:tab w:val="left" w:pos="8789"/>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319D" w14:textId="77777777" w:rsidR="00E06077" w:rsidRPr="0099353E" w:rsidRDefault="00E06077" w:rsidP="005A10D4">
    <w:pPr>
      <w:pStyle w:val="Footer"/>
      <w:tabs>
        <w:tab w:val="left" w:pos="9072"/>
      </w:tabs>
      <w:ind w:left="142"/>
    </w:pPr>
    <w:r>
      <w:t>OA-XXX Version 1.0 – Month Year</w:t>
    </w:r>
    <w:r>
      <w:tab/>
    </w:r>
    <w:r>
      <w:tab/>
      <w:t xml:space="preserve">Page </w:t>
    </w:r>
    <w:sdt>
      <w:sdtPr>
        <w:id w:val="1197818825"/>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2"/>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E06077" w14:paraId="49A646A8" w14:textId="77777777" w:rsidTr="00A07E35">
      <w:trPr>
        <w:trHeight w:val="286"/>
      </w:trPr>
      <w:tc>
        <w:tcPr>
          <w:tcW w:w="3686" w:type="dxa"/>
        </w:tcPr>
        <w:p w14:paraId="3268923B" w14:textId="77777777" w:rsidR="00E06077" w:rsidRDefault="00E06077" w:rsidP="00956623">
          <w:pPr>
            <w:pStyle w:val="Footer"/>
            <w:tabs>
              <w:tab w:val="left" w:pos="142"/>
              <w:tab w:val="right" w:pos="3686"/>
            </w:tabs>
            <w:ind w:left="1134" w:hanging="1134"/>
          </w:pPr>
          <w:r>
            <w:t>Version 0.1 – Month Year</w:t>
          </w:r>
        </w:p>
      </w:tc>
      <w:tc>
        <w:tcPr>
          <w:tcW w:w="567" w:type="dxa"/>
          <w:vMerge w:val="restart"/>
          <w:vAlign w:val="center"/>
        </w:tcPr>
        <w:p w14:paraId="70BE9ECC" w14:textId="77777777" w:rsidR="00E06077" w:rsidRDefault="00E06077" w:rsidP="008017CC">
          <w:pPr>
            <w:pStyle w:val="Footer"/>
            <w:tabs>
              <w:tab w:val="left" w:pos="9072"/>
            </w:tabs>
            <w:jc w:val="center"/>
          </w:pPr>
          <w:r>
            <w:rPr>
              <w:i/>
              <w:noProof/>
              <w:color w:val="262626"/>
              <w:lang w:eastAsia="en-GB"/>
            </w:rPr>
            <w:drawing>
              <wp:inline distT="0" distB="0" distL="0" distR="0" wp14:anchorId="3986A494" wp14:editId="7D648DF7">
                <wp:extent cx="248480" cy="254397"/>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1">
                          <a:extLst>
                            <a:ext uri="{28A0092B-C50C-407E-A947-70E740481C1C}">
                              <a14:useLocalDpi xmlns:a14="http://schemas.microsoft.com/office/drawing/2010/main" val="0"/>
                            </a:ext>
                          </a:extLst>
                        </a:blip>
                        <a:stretch>
                          <a:fillRect/>
                        </a:stretch>
                      </pic:blipFill>
                      <pic:spPr>
                        <a:xfrm>
                          <a:off x="0" y="0"/>
                          <a:ext cx="248680" cy="254602"/>
                        </a:xfrm>
                        <a:prstGeom prst="rect">
                          <a:avLst/>
                        </a:prstGeom>
                      </pic:spPr>
                    </pic:pic>
                  </a:graphicData>
                </a:graphic>
              </wp:inline>
            </w:drawing>
          </w:r>
        </w:p>
      </w:tc>
      <w:tc>
        <w:tcPr>
          <w:tcW w:w="3788" w:type="dxa"/>
          <w:vMerge w:val="restart"/>
          <w:vAlign w:val="center"/>
        </w:tcPr>
        <w:p w14:paraId="5BDEEF3E" w14:textId="77777777" w:rsidR="00E06077" w:rsidRPr="001D3D9F" w:rsidRDefault="00E06077" w:rsidP="008017CC">
          <w:pPr>
            <w:pStyle w:val="Footer"/>
            <w:tabs>
              <w:tab w:val="left" w:pos="9072"/>
            </w:tabs>
            <w:rPr>
              <w:color w:val="FF0000"/>
            </w:rPr>
          </w:pPr>
          <w:r w:rsidRPr="00E06077">
            <w:rPr>
              <w:color w:val="76923C"/>
            </w:rPr>
            <w:t>NOT PROTECTIVELY MARKED</w:t>
          </w:r>
        </w:p>
      </w:tc>
      <w:tc>
        <w:tcPr>
          <w:tcW w:w="2410" w:type="dxa"/>
          <w:vMerge w:val="restart"/>
        </w:tcPr>
        <w:p w14:paraId="128D1689" w14:textId="22A94E35" w:rsidR="00E06077" w:rsidRDefault="00E06077" w:rsidP="008017CC">
          <w:pPr>
            <w:pStyle w:val="Footer"/>
            <w:tabs>
              <w:tab w:val="left" w:pos="9072"/>
            </w:tabs>
            <w:ind w:left="1026"/>
          </w:pPr>
          <w:r>
            <w:t xml:space="preserve">Page </w:t>
          </w:r>
          <w:sdt>
            <w:sdtPr>
              <w:id w:val="766739644"/>
              <w:docPartObj>
                <w:docPartGallery w:val="Page Numbers (Bottom of Page)"/>
                <w:docPartUnique/>
              </w:docPartObj>
            </w:sdtPr>
            <w:sdtEndPr/>
            <w:sdtContent>
              <w:r>
                <w:fldChar w:fldCharType="begin"/>
              </w:r>
              <w:r>
                <w:instrText xml:space="preserve"> PAGE   \* MERGEFORMAT </w:instrText>
              </w:r>
              <w:r>
                <w:fldChar w:fldCharType="separate"/>
              </w:r>
              <w:r w:rsidR="005F43BF">
                <w:rPr>
                  <w:noProof/>
                </w:rPr>
                <w:t>4</w:t>
              </w:r>
              <w:r>
                <w:rPr>
                  <w:noProof/>
                </w:rPr>
                <w:fldChar w:fldCharType="end"/>
              </w:r>
              <w:r>
                <w:rPr>
                  <w:noProof/>
                </w:rPr>
                <w:t xml:space="preserve"> of </w:t>
              </w:r>
              <w:r w:rsidR="00011BFE">
                <w:rPr>
                  <w:noProof/>
                </w:rPr>
                <w:t>8</w:t>
              </w:r>
            </w:sdtContent>
          </w:sdt>
        </w:p>
      </w:tc>
    </w:tr>
    <w:tr w:rsidR="00E06077" w14:paraId="259EE074" w14:textId="77777777" w:rsidTr="00A07E35">
      <w:trPr>
        <w:trHeight w:val="162"/>
      </w:trPr>
      <w:tc>
        <w:tcPr>
          <w:tcW w:w="3686" w:type="dxa"/>
        </w:tcPr>
        <w:p w14:paraId="0AF1806A" w14:textId="77777777" w:rsidR="00E06077" w:rsidRPr="00D35450" w:rsidRDefault="00E06077" w:rsidP="00D35450">
          <w:pPr>
            <w:pStyle w:val="Footer"/>
            <w:tabs>
              <w:tab w:val="left" w:pos="142"/>
              <w:tab w:val="right" w:pos="3686"/>
            </w:tabs>
          </w:pPr>
          <w:r w:rsidRPr="00D35450">
            <w:t xml:space="preserve">Protective Review – </w:t>
          </w:r>
          <w:r>
            <w:t>None</w:t>
          </w:r>
        </w:p>
      </w:tc>
      <w:tc>
        <w:tcPr>
          <w:tcW w:w="567" w:type="dxa"/>
          <w:vMerge/>
        </w:tcPr>
        <w:p w14:paraId="6DD80CC4" w14:textId="77777777" w:rsidR="00E06077" w:rsidRPr="00FC7EB3" w:rsidRDefault="00E06077" w:rsidP="008017CC">
          <w:pPr>
            <w:pStyle w:val="Footer"/>
            <w:tabs>
              <w:tab w:val="left" w:pos="9072"/>
            </w:tabs>
            <w:rPr>
              <w:noProof/>
            </w:rPr>
          </w:pPr>
        </w:p>
      </w:tc>
      <w:tc>
        <w:tcPr>
          <w:tcW w:w="3788" w:type="dxa"/>
          <w:vMerge/>
          <w:vAlign w:val="center"/>
        </w:tcPr>
        <w:p w14:paraId="146EA621" w14:textId="77777777" w:rsidR="00E06077" w:rsidRPr="001D3D9F" w:rsidRDefault="00E06077" w:rsidP="008017CC">
          <w:pPr>
            <w:pStyle w:val="Footer"/>
            <w:tabs>
              <w:tab w:val="left" w:pos="461"/>
            </w:tabs>
            <w:rPr>
              <w:color w:val="FF0000"/>
            </w:rPr>
          </w:pPr>
        </w:p>
      </w:tc>
      <w:tc>
        <w:tcPr>
          <w:tcW w:w="2410" w:type="dxa"/>
          <w:vMerge/>
        </w:tcPr>
        <w:p w14:paraId="73E7FB41" w14:textId="77777777" w:rsidR="00E06077" w:rsidRDefault="00E06077" w:rsidP="008017CC">
          <w:pPr>
            <w:pStyle w:val="Footer"/>
            <w:tabs>
              <w:tab w:val="left" w:pos="9072"/>
            </w:tabs>
            <w:ind w:left="1026"/>
          </w:pPr>
        </w:p>
      </w:tc>
    </w:tr>
  </w:tbl>
  <w:p w14:paraId="5B159516" w14:textId="77777777" w:rsidR="00E06077" w:rsidRDefault="00E06077" w:rsidP="005A10D4">
    <w:pPr>
      <w:pStyle w:val="Footer"/>
      <w:tabs>
        <w:tab w:val="left" w:pos="9072"/>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01112"/>
      <w:docPartObj>
        <w:docPartGallery w:val="Page Numbers (Bottom of Page)"/>
        <w:docPartUnique/>
      </w:docPartObj>
    </w:sdtPr>
    <w:sdtEndPr>
      <w:rPr>
        <w:noProof/>
      </w:rPr>
    </w:sdtEndPr>
    <w:sdtContent>
      <w:p w14:paraId="5F605B42" w14:textId="5BEFB28C" w:rsidR="00011BFE" w:rsidRDefault="00011BFE">
        <w:pPr>
          <w:pStyle w:val="Footer"/>
          <w:jc w:val="right"/>
        </w:pPr>
        <w:r>
          <w:fldChar w:fldCharType="begin"/>
        </w:r>
        <w:r>
          <w:instrText xml:space="preserve"> PAGE   \* MERGEFORMAT </w:instrText>
        </w:r>
        <w:r>
          <w:fldChar w:fldCharType="separate"/>
        </w:r>
        <w:r w:rsidR="005F43BF">
          <w:rPr>
            <w:noProof/>
          </w:rPr>
          <w:t>5</w:t>
        </w:r>
        <w:r>
          <w:rPr>
            <w:noProof/>
          </w:rPr>
          <w:fldChar w:fldCharType="end"/>
        </w:r>
        <w:r>
          <w:rPr>
            <w:noProof/>
          </w:rPr>
          <w:t xml:space="preserve"> of 8</w:t>
        </w:r>
      </w:p>
    </w:sdtContent>
  </w:sdt>
  <w:p w14:paraId="11EDB283" w14:textId="77777777" w:rsidR="00E06077" w:rsidRPr="0099353E" w:rsidRDefault="00E06077" w:rsidP="005A10D4">
    <w:pPr>
      <w:pStyle w:val="Footer"/>
      <w:tabs>
        <w:tab w:val="left" w:pos="9072"/>
      </w:tabs>
      <w:ind w:left="142"/>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267589"/>
      <w:docPartObj>
        <w:docPartGallery w:val="Page Numbers (Bottom of Page)"/>
        <w:docPartUnique/>
      </w:docPartObj>
    </w:sdtPr>
    <w:sdtEndPr>
      <w:rPr>
        <w:noProof/>
      </w:rPr>
    </w:sdtEndPr>
    <w:sdtContent>
      <w:p w14:paraId="114B0A53" w14:textId="2AB93AA1" w:rsidR="00011BFE" w:rsidRDefault="00011BFE">
        <w:pPr>
          <w:pStyle w:val="Footer"/>
          <w:jc w:val="right"/>
        </w:pPr>
        <w:r>
          <w:fldChar w:fldCharType="begin"/>
        </w:r>
        <w:r>
          <w:instrText xml:space="preserve"> PAGE   \* MERGEFORMAT </w:instrText>
        </w:r>
        <w:r>
          <w:fldChar w:fldCharType="separate"/>
        </w:r>
        <w:r w:rsidR="005F43BF">
          <w:rPr>
            <w:noProof/>
          </w:rPr>
          <w:t>6</w:t>
        </w:r>
        <w:r>
          <w:rPr>
            <w:noProof/>
          </w:rPr>
          <w:fldChar w:fldCharType="end"/>
        </w:r>
        <w:r>
          <w:rPr>
            <w:noProof/>
          </w:rPr>
          <w:t xml:space="preserve"> of 8</w:t>
        </w:r>
      </w:p>
    </w:sdtContent>
  </w:sdt>
  <w:p w14:paraId="6A4B6F2C" w14:textId="77777777" w:rsidR="003B0105" w:rsidRPr="003B0105" w:rsidRDefault="003B0105" w:rsidP="003B010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6345"/>
      <w:docPartObj>
        <w:docPartGallery w:val="Page Numbers (Bottom of Page)"/>
        <w:docPartUnique/>
      </w:docPartObj>
    </w:sdtPr>
    <w:sdtEndPr>
      <w:rPr>
        <w:noProof/>
      </w:rPr>
    </w:sdtEndPr>
    <w:sdtContent>
      <w:p w14:paraId="344D1BB1" w14:textId="796776D2" w:rsidR="00011BFE" w:rsidRDefault="00011BFE">
        <w:pPr>
          <w:pStyle w:val="Footer"/>
          <w:jc w:val="right"/>
        </w:pPr>
        <w:r>
          <w:fldChar w:fldCharType="begin"/>
        </w:r>
        <w:r>
          <w:instrText xml:space="preserve"> PAGE   \* MERGEFORMAT </w:instrText>
        </w:r>
        <w:r>
          <w:fldChar w:fldCharType="separate"/>
        </w:r>
        <w:r w:rsidR="005F43BF">
          <w:rPr>
            <w:noProof/>
          </w:rPr>
          <w:t>8</w:t>
        </w:r>
        <w:r>
          <w:rPr>
            <w:noProof/>
          </w:rPr>
          <w:fldChar w:fldCharType="end"/>
        </w:r>
        <w:r>
          <w:rPr>
            <w:noProof/>
          </w:rPr>
          <w:t xml:space="preserve"> of 8</w:t>
        </w:r>
      </w:p>
    </w:sdtContent>
  </w:sdt>
  <w:p w14:paraId="53578D59" w14:textId="77777777" w:rsidR="00B363C3" w:rsidRPr="003B0105" w:rsidRDefault="00B363C3" w:rsidP="003B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B363C3" w:rsidRDefault="00B363C3">
      <w:r>
        <w:separator/>
      </w:r>
    </w:p>
  </w:footnote>
  <w:footnote w:type="continuationSeparator" w:id="0">
    <w:p w14:paraId="5AEF2ABD" w14:textId="77777777" w:rsidR="00B363C3" w:rsidRDefault="00B3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8844" w14:textId="5CD81483" w:rsidR="00E06077" w:rsidRPr="00ED2317" w:rsidRDefault="00E06077" w:rsidP="00E06077">
    <w:pPr>
      <w:ind w:right="-30"/>
    </w:pPr>
    <w:r>
      <w:rPr>
        <w:sz w:val="28"/>
      </w:rPr>
      <w:t>Appendix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BAC6" w14:textId="49A2B643" w:rsidR="00E06077" w:rsidRDefault="00E06077" w:rsidP="007626E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1718" w14:textId="77777777" w:rsidR="00E06077" w:rsidRPr="00227ED1" w:rsidRDefault="00E06077" w:rsidP="00DF3D41">
    <w:pPr>
      <w:tabs>
        <w:tab w:val="left" w:pos="9498"/>
      </w:tabs>
      <w:ind w:right="78"/>
      <w:jc w:val="right"/>
      <w:rPr>
        <w:i/>
      </w:rPr>
    </w:pPr>
    <w:r>
      <w:t>Operational Article – add title</w:t>
    </w:r>
  </w:p>
  <w:p w14:paraId="70E5058D" w14:textId="77777777" w:rsidR="00E06077" w:rsidRDefault="00E0607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7FF8" w14:textId="14C3E773" w:rsidR="003B0105" w:rsidRPr="00227ED1" w:rsidRDefault="003B0105" w:rsidP="00B363C3">
    <w:pPr>
      <w:tabs>
        <w:tab w:val="left" w:pos="9498"/>
      </w:tabs>
      <w:ind w:right="78"/>
      <w:jc w:val="right"/>
      <w:rPr>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FC338" w14:textId="2EAE262A" w:rsidR="00B363C3" w:rsidRPr="00227ED1" w:rsidRDefault="00B363C3" w:rsidP="00B363C3">
    <w:pPr>
      <w:tabs>
        <w:tab w:val="left" w:pos="9498"/>
      </w:tabs>
      <w:ind w:right="78"/>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4013F"/>
    <w:multiLevelType w:val="hybridMultilevel"/>
    <w:tmpl w:val="D9AE9076"/>
    <w:lvl w:ilvl="0" w:tplc="915A91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91EAD"/>
    <w:multiLevelType w:val="hybridMultilevel"/>
    <w:tmpl w:val="2A8C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F1E37"/>
    <w:multiLevelType w:val="hybridMultilevel"/>
    <w:tmpl w:val="BBAE87C6"/>
    <w:lvl w:ilvl="0" w:tplc="0B0C1BC2">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AE335A7"/>
    <w:multiLevelType w:val="hybridMultilevel"/>
    <w:tmpl w:val="A0C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042C1C"/>
    <w:multiLevelType w:val="hybridMultilevel"/>
    <w:tmpl w:val="EB34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3B1164"/>
    <w:multiLevelType w:val="hybridMultilevel"/>
    <w:tmpl w:val="BA94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E3956"/>
    <w:multiLevelType w:val="hybridMultilevel"/>
    <w:tmpl w:val="BF2A59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0"/>
  </w:num>
  <w:num w:numId="5">
    <w:abstractNumId w:val="21"/>
  </w:num>
  <w:num w:numId="6">
    <w:abstractNumId w:val="8"/>
  </w:num>
  <w:num w:numId="7">
    <w:abstractNumId w:val="5"/>
  </w:num>
  <w:num w:numId="8">
    <w:abstractNumId w:val="1"/>
  </w:num>
  <w:num w:numId="9">
    <w:abstractNumId w:val="13"/>
  </w:num>
  <w:num w:numId="10">
    <w:abstractNumId w:val="13"/>
  </w:num>
  <w:num w:numId="11">
    <w:abstractNumId w:val="14"/>
  </w:num>
  <w:num w:numId="12">
    <w:abstractNumId w:val="19"/>
  </w:num>
  <w:num w:numId="13">
    <w:abstractNumId w:val="17"/>
  </w:num>
  <w:num w:numId="14">
    <w:abstractNumId w:val="20"/>
  </w:num>
  <w:num w:numId="15">
    <w:abstractNumId w:val="2"/>
  </w:num>
  <w:num w:numId="16">
    <w:abstractNumId w:val="12"/>
  </w:num>
  <w:num w:numId="17">
    <w:abstractNumId w:val="27"/>
  </w:num>
  <w:num w:numId="18">
    <w:abstractNumId w:val="22"/>
  </w:num>
  <w:num w:numId="19">
    <w:abstractNumId w:val="11"/>
  </w:num>
  <w:num w:numId="20">
    <w:abstractNumId w:val="16"/>
  </w:num>
  <w:num w:numId="21">
    <w:abstractNumId w:val="7"/>
  </w:num>
  <w:num w:numId="22">
    <w:abstractNumId w:val="24"/>
  </w:num>
  <w:num w:numId="23">
    <w:abstractNumId w:val="23"/>
  </w:num>
  <w:num w:numId="24">
    <w:abstractNumId w:val="3"/>
  </w:num>
  <w:num w:numId="25">
    <w:abstractNumId w:val="15"/>
  </w:num>
  <w:num w:numId="26">
    <w:abstractNumId w:val="18"/>
  </w:num>
  <w:num w:numId="27">
    <w:abstractNumId w:val="25"/>
  </w:num>
  <w:num w:numId="28">
    <w:abstractNumId w:val="10"/>
  </w:num>
  <w:num w:numId="29">
    <w:abstractNumId w:val="26"/>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0C9F"/>
    <w:rsid w:val="00011BFE"/>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0F7F"/>
    <w:rsid w:val="000440A4"/>
    <w:rsid w:val="00047123"/>
    <w:rsid w:val="00047209"/>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A70"/>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3BA0"/>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105"/>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1CF0"/>
    <w:rsid w:val="0044279D"/>
    <w:rsid w:val="004432C6"/>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5CE"/>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43B2"/>
    <w:rsid w:val="0052597D"/>
    <w:rsid w:val="00526681"/>
    <w:rsid w:val="0053153D"/>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43BF"/>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6AAC"/>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95E95"/>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4D1C"/>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764"/>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9F6F1E"/>
    <w:rsid w:val="00A03CB9"/>
    <w:rsid w:val="00A040EF"/>
    <w:rsid w:val="00A0447F"/>
    <w:rsid w:val="00A04680"/>
    <w:rsid w:val="00A06FC7"/>
    <w:rsid w:val="00A1212A"/>
    <w:rsid w:val="00A12468"/>
    <w:rsid w:val="00A12928"/>
    <w:rsid w:val="00A155D9"/>
    <w:rsid w:val="00A15D23"/>
    <w:rsid w:val="00A1720F"/>
    <w:rsid w:val="00A20145"/>
    <w:rsid w:val="00A20B5D"/>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63C3"/>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1DD7"/>
    <w:rsid w:val="00B7248E"/>
    <w:rsid w:val="00B73776"/>
    <w:rsid w:val="00B7380E"/>
    <w:rsid w:val="00B73972"/>
    <w:rsid w:val="00B754BA"/>
    <w:rsid w:val="00B75A53"/>
    <w:rsid w:val="00B773F4"/>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1D1B"/>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5CE4"/>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5F49"/>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19F6"/>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68F"/>
    <w:rsid w:val="00DF0C58"/>
    <w:rsid w:val="00DF0ED5"/>
    <w:rsid w:val="00DF1552"/>
    <w:rsid w:val="00DF2853"/>
    <w:rsid w:val="00DF45C4"/>
    <w:rsid w:val="00DF5756"/>
    <w:rsid w:val="00DF5A59"/>
    <w:rsid w:val="00DF61B6"/>
    <w:rsid w:val="00E015B6"/>
    <w:rsid w:val="00E02CE5"/>
    <w:rsid w:val="00E04668"/>
    <w:rsid w:val="00E06077"/>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E60F4"/>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4805"/>
    <w:rsid w:val="00F6693C"/>
    <w:rsid w:val="00F6754F"/>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table" w:customStyle="1" w:styleId="TableGrid11">
    <w:name w:val="Table Grid11"/>
    <w:basedOn w:val="TableNormal"/>
    <w:next w:val="TableGrid"/>
    <w:uiPriority w:val="59"/>
    <w:rsid w:val="00B363C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40F7F"/>
    <w:rPr>
      <w:rFonts w:ascii="Times New Roman" w:hAnsi="Times New Roman" w:cs="Times New Roman"/>
    </w:rPr>
  </w:style>
  <w:style w:type="character" w:customStyle="1" w:styleId="FooterChar">
    <w:name w:val="Footer Char"/>
    <w:basedOn w:val="DefaultParagraphFont"/>
    <w:link w:val="Footer"/>
    <w:uiPriority w:val="99"/>
    <w:rsid w:val="003B0105"/>
    <w:rPr>
      <w:rFonts w:ascii="Arial" w:hAnsi="Arial" w:cs="Arial"/>
      <w:sz w:val="24"/>
      <w:szCs w:val="24"/>
      <w:lang w:eastAsia="en-US"/>
    </w:rPr>
  </w:style>
  <w:style w:type="table" w:customStyle="1" w:styleId="TableGrid12">
    <w:name w:val="Table Grid12"/>
    <w:basedOn w:val="TableNormal"/>
    <w:next w:val="TableGrid"/>
    <w:uiPriority w:val="59"/>
    <w:rsid w:val="00E06077"/>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36355">
      <w:bodyDiv w:val="1"/>
      <w:marLeft w:val="0"/>
      <w:marRight w:val="0"/>
      <w:marTop w:val="0"/>
      <w:marBottom w:val="0"/>
      <w:divBdr>
        <w:top w:val="none" w:sz="0" w:space="0" w:color="auto"/>
        <w:left w:val="none" w:sz="0" w:space="0" w:color="auto"/>
        <w:bottom w:val="none" w:sz="0" w:space="0" w:color="auto"/>
        <w:right w:val="none" w:sz="0" w:space="0" w:color="auto"/>
      </w:divBdr>
    </w:div>
    <w:div w:id="791435642">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20176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emf"/><Relationship Id="rId28"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footer" Target="footer7.xml"/><Relationship Id="rId30"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ebecca.twin\AppData\Local\Microsoft\Windows\Temporary%20Internet%20Files\Content.Outlook\SDBWUC1A\DaveB-CollapsedClosedDoo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[DaveB-CollapsedClosedDoors.xlsx]Sheet1 (2)!PivotTable10</c:name>
    <c:fmtId val="22"/>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Special</a:t>
            </a:r>
            <a:r>
              <a:rPr lang="en-US" baseline="0"/>
              <a:t> Service Calls attended at Private Dwellings where </a:t>
            </a:r>
            <a:br>
              <a:rPr lang="en-US" baseline="0"/>
            </a:br>
            <a:r>
              <a:rPr lang="en-US" baseline="0"/>
              <a:t>the call was initiated by the Ambulance Service</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s>
    <c:plotArea>
      <c:layout/>
      <c:barChart>
        <c:barDir val="col"/>
        <c:grouping val="clustered"/>
        <c:varyColors val="0"/>
        <c:ser>
          <c:idx val="0"/>
          <c:order val="0"/>
          <c:tx>
            <c:strRef>
              <c:f>'Sheet1 (2)'!$B$5</c:f>
              <c:strCache>
                <c:ptCount val="1"/>
                <c:pt idx="0">
                  <c:v>Total</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multiLvlStrRef>
              <c:f>'Sheet1 (2)'!$A$6:$A$19</c:f>
              <c:multiLvlStrCache>
                <c:ptCount val="12"/>
                <c:lvl>
                  <c:pt idx="0">
                    <c:v>Jan</c:v>
                  </c:pt>
                  <c:pt idx="1">
                    <c:v>Feb</c:v>
                  </c:pt>
                  <c:pt idx="2">
                    <c:v>Mar</c:v>
                  </c:pt>
                  <c:pt idx="3">
                    <c:v>Apr</c:v>
                  </c:pt>
                  <c:pt idx="4">
                    <c:v>May</c:v>
                  </c:pt>
                  <c:pt idx="5">
                    <c:v>Jun</c:v>
                  </c:pt>
                  <c:pt idx="6">
                    <c:v>Jul</c:v>
                  </c:pt>
                  <c:pt idx="7">
                    <c:v>Aug</c:v>
                  </c:pt>
                  <c:pt idx="8">
                    <c:v>Sep</c:v>
                  </c:pt>
                  <c:pt idx="9">
                    <c:v>Oct</c:v>
                  </c:pt>
                  <c:pt idx="10">
                    <c:v>Nov</c:v>
                  </c:pt>
                  <c:pt idx="11">
                    <c:v>Dec</c:v>
                  </c:pt>
                </c:lvl>
                <c:lvl>
                  <c:pt idx="0">
                    <c:v>2018</c:v>
                  </c:pt>
                </c:lvl>
              </c:multiLvlStrCache>
            </c:multiLvlStrRef>
          </c:cat>
          <c:val>
            <c:numRef>
              <c:f>'Sheet1 (2)'!$B$6:$B$19</c:f>
              <c:numCache>
                <c:formatCode>General</c:formatCode>
                <c:ptCount val="12"/>
                <c:pt idx="0">
                  <c:v>45</c:v>
                </c:pt>
                <c:pt idx="1">
                  <c:v>33</c:v>
                </c:pt>
                <c:pt idx="2">
                  <c:v>43</c:v>
                </c:pt>
                <c:pt idx="3">
                  <c:v>43</c:v>
                </c:pt>
                <c:pt idx="4">
                  <c:v>36</c:v>
                </c:pt>
                <c:pt idx="5">
                  <c:v>34</c:v>
                </c:pt>
                <c:pt idx="6">
                  <c:v>23</c:v>
                </c:pt>
                <c:pt idx="7">
                  <c:v>26</c:v>
                </c:pt>
                <c:pt idx="8">
                  <c:v>29</c:v>
                </c:pt>
                <c:pt idx="9">
                  <c:v>37</c:v>
                </c:pt>
                <c:pt idx="10">
                  <c:v>54</c:v>
                </c:pt>
                <c:pt idx="11">
                  <c:v>41</c:v>
                </c:pt>
              </c:numCache>
            </c:numRef>
          </c:val>
          <c:extLst>
            <c:ext xmlns:c16="http://schemas.microsoft.com/office/drawing/2014/chart" uri="{C3380CC4-5D6E-409C-BE32-E72D297353CC}">
              <c16:uniqueId val="{00000000-7C95-47C1-85E9-98CE3D822221}"/>
            </c:ext>
          </c:extLst>
        </c:ser>
        <c:dLbls>
          <c:showLegendKey val="0"/>
          <c:showVal val="0"/>
          <c:showCatName val="0"/>
          <c:showSerName val="0"/>
          <c:showPercent val="0"/>
          <c:showBubbleSize val="0"/>
        </c:dLbls>
        <c:gapWidth val="219"/>
        <c:overlap val="-27"/>
        <c:axId val="884334328"/>
        <c:axId val="884333016"/>
      </c:barChart>
      <c:catAx>
        <c:axId val="88433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333016"/>
        <c:crosses val="autoZero"/>
        <c:auto val="1"/>
        <c:lblAlgn val="ctr"/>
        <c:lblOffset val="100"/>
        <c:noMultiLvlLbl val="0"/>
      </c:catAx>
      <c:valAx>
        <c:axId val="884333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334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B7A1-E5CC-4820-A271-AE845B2A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864</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Anthony Maude 42078422</cp:lastModifiedBy>
  <cp:revision>2</cp:revision>
  <cp:lastPrinted>2017-04-27T08:33:00Z</cp:lastPrinted>
  <dcterms:created xsi:type="dcterms:W3CDTF">2019-03-15T11:32:00Z</dcterms:created>
  <dcterms:modified xsi:type="dcterms:W3CDTF">2019-03-15T11:32:00Z</dcterms:modified>
</cp:coreProperties>
</file>