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26FB2" w14:textId="77777777"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78F96CA7" wp14:editId="13CA4B91">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E3E2F" w14:textId="77777777"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77777777"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96CA7"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14:paraId="43CE3E2F" w14:textId="77777777"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77777777"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52C1A7C2" wp14:editId="6A4D8C26">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14:paraId="4BE07E83" w14:textId="77777777" w:rsidTr="00B15F8B">
        <w:trPr>
          <w:trHeight w:val="557"/>
        </w:trPr>
        <w:tc>
          <w:tcPr>
            <w:tcW w:w="2518" w:type="dxa"/>
          </w:tcPr>
          <w:p w14:paraId="1363CB6B"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14:paraId="767F93D8" w14:textId="584077AE" w:rsidR="00B15F8B" w:rsidRPr="00B15F8B" w:rsidRDefault="0030721B" w:rsidP="009E572F">
            <w:pPr>
              <w:spacing w:before="120" w:after="120"/>
              <w:rPr>
                <w:rFonts w:cs="Times New Roman"/>
                <w:b/>
                <w:szCs w:val="20"/>
              </w:rPr>
            </w:pPr>
            <w:r>
              <w:rPr>
                <w:rFonts w:cs="Times New Roman"/>
                <w:b/>
                <w:szCs w:val="20"/>
              </w:rPr>
              <w:t>Strategic Board</w:t>
            </w:r>
          </w:p>
        </w:tc>
        <w:tc>
          <w:tcPr>
            <w:tcW w:w="2056" w:type="dxa"/>
          </w:tcPr>
          <w:p w14:paraId="1757CCB8" w14:textId="77777777"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14:paraId="1E555D14" w14:textId="3E13CC1F" w:rsidR="00B15F8B" w:rsidRPr="00B15F8B" w:rsidRDefault="00A316AF" w:rsidP="009E572F">
            <w:pPr>
              <w:spacing w:before="120" w:after="120"/>
              <w:rPr>
                <w:rFonts w:cs="Times New Roman"/>
                <w:sz w:val="32"/>
                <w:szCs w:val="32"/>
              </w:rPr>
            </w:pPr>
            <w:r>
              <w:rPr>
                <w:rFonts w:cs="Times New Roman"/>
                <w:sz w:val="32"/>
                <w:szCs w:val="32"/>
              </w:rPr>
              <w:t xml:space="preserve">    </w:t>
            </w:r>
            <w:bookmarkStart w:id="0" w:name="_GoBack"/>
            <w:bookmarkEnd w:id="0"/>
            <w:r>
              <w:rPr>
                <w:rFonts w:cs="Times New Roman"/>
                <w:sz w:val="32"/>
                <w:szCs w:val="32"/>
              </w:rPr>
              <w:t>8</w:t>
            </w:r>
          </w:p>
        </w:tc>
      </w:tr>
      <w:tr w:rsidR="00B15F8B" w:rsidRPr="009E572F" w14:paraId="23868B3A" w14:textId="77777777" w:rsidTr="00B15F8B">
        <w:tc>
          <w:tcPr>
            <w:tcW w:w="2518" w:type="dxa"/>
          </w:tcPr>
          <w:p w14:paraId="7E6254E8"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14:paraId="1D604903" w14:textId="0E4CF80F" w:rsidR="00B15F8B" w:rsidRPr="009E572F" w:rsidRDefault="00B325DE" w:rsidP="00B325DE">
            <w:pPr>
              <w:spacing w:before="120" w:after="120"/>
              <w:rPr>
                <w:rFonts w:cs="Times New Roman"/>
                <w:szCs w:val="20"/>
              </w:rPr>
            </w:pPr>
            <w:r>
              <w:rPr>
                <w:rFonts w:cs="Times New Roman"/>
                <w:szCs w:val="20"/>
              </w:rPr>
              <w:t>4</w:t>
            </w:r>
            <w:r w:rsidR="0030721B" w:rsidRPr="0030721B">
              <w:rPr>
                <w:rFonts w:cs="Times New Roman"/>
                <w:szCs w:val="20"/>
                <w:vertAlign w:val="superscript"/>
              </w:rPr>
              <w:t>th</w:t>
            </w:r>
            <w:r w:rsidR="0030721B">
              <w:rPr>
                <w:rFonts w:cs="Times New Roman"/>
                <w:szCs w:val="20"/>
              </w:rPr>
              <w:t xml:space="preserve"> </w:t>
            </w:r>
            <w:r>
              <w:rPr>
                <w:rFonts w:cs="Times New Roman"/>
                <w:szCs w:val="20"/>
              </w:rPr>
              <w:t>January</w:t>
            </w:r>
            <w:r w:rsidR="0030721B">
              <w:rPr>
                <w:rFonts w:cs="Times New Roman"/>
                <w:szCs w:val="20"/>
              </w:rPr>
              <w:t xml:space="preserve"> 201</w:t>
            </w:r>
            <w:r>
              <w:rPr>
                <w:rFonts w:cs="Times New Roman"/>
                <w:szCs w:val="20"/>
              </w:rPr>
              <w:t>9</w:t>
            </w:r>
          </w:p>
        </w:tc>
        <w:tc>
          <w:tcPr>
            <w:tcW w:w="2056" w:type="dxa"/>
          </w:tcPr>
          <w:p w14:paraId="11DDADF7" w14:textId="77777777"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14:paraId="0067A737" w14:textId="38B5B072" w:rsidR="00B15F8B" w:rsidRPr="00B15F8B" w:rsidRDefault="00B15F8B" w:rsidP="009E572F">
            <w:pPr>
              <w:spacing w:before="120" w:after="120"/>
              <w:rPr>
                <w:rFonts w:cs="Times New Roman"/>
                <w:b/>
                <w:szCs w:val="20"/>
              </w:rPr>
            </w:pPr>
          </w:p>
        </w:tc>
      </w:tr>
      <w:tr w:rsidR="009E572F" w:rsidRPr="009E572F" w14:paraId="2E108A7F" w14:textId="77777777" w:rsidTr="00B15F8B">
        <w:tc>
          <w:tcPr>
            <w:tcW w:w="2518" w:type="dxa"/>
          </w:tcPr>
          <w:p w14:paraId="7B97E3EB" w14:textId="77777777"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14:paraId="0D0FB146" w14:textId="77777777" w:rsidR="009E572F" w:rsidRPr="00B15F8B" w:rsidRDefault="00A20145" w:rsidP="009E572F">
            <w:pPr>
              <w:spacing w:before="120" w:after="120"/>
              <w:rPr>
                <w:rFonts w:cs="Times New Roman"/>
                <w:szCs w:val="20"/>
              </w:rPr>
            </w:pPr>
            <w:r>
              <w:rPr>
                <w:rFonts w:cs="Times New Roman"/>
                <w:szCs w:val="20"/>
              </w:rPr>
              <w:t>Ben Pilkington</w:t>
            </w:r>
            <w:r w:rsidR="00784EB6">
              <w:rPr>
                <w:rFonts w:cs="Times New Roman"/>
                <w:szCs w:val="20"/>
              </w:rPr>
              <w:t>, Assistant Director (Programme 2020)</w:t>
            </w:r>
          </w:p>
        </w:tc>
      </w:tr>
      <w:tr w:rsidR="009E572F" w:rsidRPr="009E572F" w14:paraId="6F299332" w14:textId="77777777" w:rsidTr="00B15F8B">
        <w:tc>
          <w:tcPr>
            <w:tcW w:w="2518" w:type="dxa"/>
            <w:tcBorders>
              <w:top w:val="single" w:sz="6" w:space="0" w:color="auto"/>
              <w:left w:val="single" w:sz="6" w:space="0" w:color="auto"/>
              <w:bottom w:val="single" w:sz="6" w:space="0" w:color="auto"/>
              <w:right w:val="single" w:sz="6" w:space="0" w:color="auto"/>
            </w:tcBorders>
          </w:tcPr>
          <w:p w14:paraId="4B9DE93A" w14:textId="77777777" w:rsidR="009E572F"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14:paraId="04092DAA" w14:textId="58F083AD" w:rsidR="009E572F" w:rsidRPr="009E572F" w:rsidRDefault="00B86343" w:rsidP="009E572F">
            <w:pPr>
              <w:spacing w:before="120" w:after="120"/>
              <w:rPr>
                <w:rFonts w:cs="Times New Roman"/>
                <w:szCs w:val="20"/>
              </w:rPr>
            </w:pPr>
            <w:r>
              <w:rPr>
                <w:rFonts w:cs="Times New Roman"/>
                <w:szCs w:val="20"/>
              </w:rPr>
              <w:t>Ben Pilkington, Assistant Director (Programme 2020)</w:t>
            </w:r>
          </w:p>
        </w:tc>
      </w:tr>
      <w:tr w:rsidR="009E572F" w:rsidRPr="009E572F" w14:paraId="20E4CDB9" w14:textId="77777777" w:rsidTr="00B15F8B">
        <w:tc>
          <w:tcPr>
            <w:tcW w:w="2518" w:type="dxa"/>
          </w:tcPr>
          <w:p w14:paraId="2900C719" w14:textId="77777777" w:rsidR="009E572F" w:rsidRPr="009E572F" w:rsidRDefault="003A46D1" w:rsidP="009E572F">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14:paraId="1DE2CD25" w14:textId="03C324CC" w:rsidR="009E572F" w:rsidRPr="003A46D1" w:rsidRDefault="00140960" w:rsidP="00B86343">
            <w:pPr>
              <w:spacing w:before="120" w:after="120"/>
              <w:rPr>
                <w:rFonts w:cs="Times New Roman"/>
                <w:b/>
                <w:szCs w:val="20"/>
              </w:rPr>
            </w:pPr>
            <w:r>
              <w:rPr>
                <w:rFonts w:cs="Times New Roman"/>
                <w:b/>
                <w:szCs w:val="20"/>
              </w:rPr>
              <w:t>Programme 2020 Update</w:t>
            </w:r>
          </w:p>
        </w:tc>
      </w:tr>
      <w:tr w:rsidR="009E572F" w:rsidRPr="009E572F" w14:paraId="04C49633" w14:textId="77777777" w:rsidTr="00B15F8B">
        <w:tc>
          <w:tcPr>
            <w:tcW w:w="2518" w:type="dxa"/>
          </w:tcPr>
          <w:p w14:paraId="04B4FE6A" w14:textId="77777777"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14:paraId="2E90D192" w14:textId="3BB664FD" w:rsidR="009E572F" w:rsidRPr="009E572F" w:rsidRDefault="00CE47E8" w:rsidP="00A20145">
            <w:pPr>
              <w:tabs>
                <w:tab w:val="num" w:pos="567"/>
              </w:tabs>
              <w:spacing w:before="120" w:after="120"/>
              <w:rPr>
                <w:rFonts w:cs="Times New Roman"/>
                <w:szCs w:val="20"/>
              </w:rPr>
            </w:pPr>
            <w:r>
              <w:rPr>
                <w:rFonts w:cs="Times New Roman"/>
                <w:szCs w:val="20"/>
              </w:rPr>
              <w:t>Information</w:t>
            </w:r>
          </w:p>
        </w:tc>
      </w:tr>
    </w:tbl>
    <w:p w14:paraId="04C2D2EF" w14:textId="77777777"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14:paraId="4122DB56" w14:textId="77777777" w:rsidR="009E572F" w:rsidRDefault="009E572F" w:rsidP="009E572F">
      <w:pPr>
        <w:tabs>
          <w:tab w:val="num" w:pos="567"/>
        </w:tabs>
        <w:spacing w:after="120"/>
        <w:rPr>
          <w:rFonts w:cs="Times New Roman"/>
          <w:szCs w:val="20"/>
        </w:rPr>
      </w:pPr>
    </w:p>
    <w:p w14:paraId="71455B24" w14:textId="77777777" w:rsidR="00A20145" w:rsidRPr="007D6C3F" w:rsidRDefault="00C0492F" w:rsidP="00A20145">
      <w:pPr>
        <w:pStyle w:val="Heading1"/>
      </w:pPr>
      <w:r w:rsidRPr="007D6C3F">
        <w:t>Recommendations</w:t>
      </w:r>
    </w:p>
    <w:p w14:paraId="47FBC3C7" w14:textId="17F499C7" w:rsidR="009205E3" w:rsidRDefault="00A20145" w:rsidP="00A20145">
      <w:pPr>
        <w:pStyle w:val="ListParagraph"/>
        <w:numPr>
          <w:ilvl w:val="0"/>
          <w:numId w:val="19"/>
        </w:numPr>
      </w:pPr>
      <w:r w:rsidRPr="007D6C3F">
        <w:t>Me</w:t>
      </w:r>
      <w:r w:rsidR="00ED61DF" w:rsidRPr="007D6C3F">
        <w:t>mbers of the Board are asked to</w:t>
      </w:r>
      <w:r w:rsidR="000E0229" w:rsidRPr="007D6C3F">
        <w:t xml:space="preserve"> note the content of the report.</w:t>
      </w:r>
    </w:p>
    <w:p w14:paraId="1DBC2B68" w14:textId="77777777" w:rsidR="0030721B" w:rsidRPr="007D6C3F" w:rsidRDefault="0030721B" w:rsidP="0030721B">
      <w:pPr>
        <w:pStyle w:val="ListParagraph"/>
        <w:ind w:left="360"/>
      </w:pPr>
    </w:p>
    <w:p w14:paraId="52F881F8" w14:textId="77777777" w:rsidR="000E0229" w:rsidRPr="007D6C3F" w:rsidRDefault="000E0229" w:rsidP="00EC438B">
      <w:pPr>
        <w:pStyle w:val="ListParagraph"/>
        <w:numPr>
          <w:ilvl w:val="0"/>
          <w:numId w:val="19"/>
        </w:numPr>
        <w:sectPr w:rsidR="000E0229" w:rsidRPr="007D6C3F" w:rsidSect="002F45F7">
          <w:headerReference w:type="default" r:id="rId10"/>
          <w:footerReference w:type="default" r:id="rId11"/>
          <w:footerReference w:type="first" r:id="rId12"/>
          <w:type w:val="continuous"/>
          <w:pgSz w:w="11906" w:h="16838" w:code="9"/>
          <w:pgMar w:top="2977" w:right="1134" w:bottom="244" w:left="1276" w:header="709" w:footer="709" w:gutter="0"/>
          <w:cols w:space="708"/>
          <w:titlePg/>
          <w:docGrid w:linePitch="360"/>
        </w:sectPr>
      </w:pPr>
    </w:p>
    <w:p w14:paraId="053FA8EC" w14:textId="27079614" w:rsidR="00C0492F" w:rsidRPr="007D6C3F" w:rsidRDefault="00C0492F" w:rsidP="00C0492F">
      <w:pPr>
        <w:pStyle w:val="Heading1"/>
      </w:pPr>
      <w:r w:rsidRPr="007D6C3F">
        <w:t>BACKGROUND</w:t>
      </w:r>
    </w:p>
    <w:p w14:paraId="76401C94" w14:textId="063D2AF4" w:rsidR="00A20145" w:rsidRPr="007D6C3F" w:rsidRDefault="000E0229" w:rsidP="00BC7141">
      <w:pPr>
        <w:pStyle w:val="ListParagraph"/>
        <w:numPr>
          <w:ilvl w:val="0"/>
          <w:numId w:val="19"/>
        </w:numPr>
        <w:jc w:val="both"/>
      </w:pPr>
      <w:r w:rsidRPr="007D6C3F">
        <w:t xml:space="preserve">Through Programme 2020 the Service developed and consulted upon a number of options for change, one of which was selected by the Fire Authority in June 2016. This report updates members of the Board on the progress of those planned changes. </w:t>
      </w:r>
    </w:p>
    <w:p w14:paraId="66DE8770" w14:textId="77777777" w:rsidR="000E0229" w:rsidRPr="007D6C3F" w:rsidRDefault="000E0229" w:rsidP="000E0229">
      <w:pPr>
        <w:pStyle w:val="ListParagraph"/>
        <w:ind w:left="360"/>
      </w:pPr>
    </w:p>
    <w:p w14:paraId="406FD36D" w14:textId="4CE46CE1" w:rsidR="008056BE" w:rsidRPr="007D6C3F" w:rsidRDefault="000F1C23" w:rsidP="000E0229">
      <w:pPr>
        <w:pStyle w:val="Heading1"/>
      </w:pPr>
      <w:r w:rsidRPr="007D6C3F">
        <w:lastRenderedPageBreak/>
        <w:t>PROGRESS UPDATE</w:t>
      </w:r>
    </w:p>
    <w:p w14:paraId="5B3D6F23" w14:textId="7044E35E" w:rsidR="004715EC" w:rsidRPr="007D6C3F" w:rsidRDefault="000E0229" w:rsidP="004715EC">
      <w:pPr>
        <w:pStyle w:val="ListParagraph"/>
        <w:numPr>
          <w:ilvl w:val="0"/>
          <w:numId w:val="19"/>
        </w:numPr>
        <w:rPr>
          <w:b/>
        </w:rPr>
      </w:pPr>
      <w:r w:rsidRPr="007D6C3F">
        <w:rPr>
          <w:b/>
        </w:rPr>
        <w:t>Appliance removal and employee relocation project</w:t>
      </w:r>
      <w:r w:rsidR="000F1C23" w:rsidRPr="007D6C3F">
        <w:rPr>
          <w:b/>
        </w:rPr>
        <w:t xml:space="preserve"> </w:t>
      </w:r>
      <w:r w:rsidR="004715EC" w:rsidRPr="007D6C3F">
        <w:rPr>
          <w:b/>
        </w:rPr>
        <w:t>–</w:t>
      </w:r>
      <w:r w:rsidR="000F1C23" w:rsidRPr="007D6C3F">
        <w:rPr>
          <w:b/>
        </w:rPr>
        <w:t xml:space="preserve"> COMPLETE</w:t>
      </w:r>
    </w:p>
    <w:p w14:paraId="66D9777C" w14:textId="1D583030" w:rsidR="004715EC" w:rsidRPr="007D6C3F" w:rsidRDefault="004715EC" w:rsidP="004715EC">
      <w:pPr>
        <w:pStyle w:val="ListParagraph"/>
        <w:ind w:left="360"/>
        <w:rPr>
          <w:b/>
          <w:i/>
        </w:rPr>
      </w:pPr>
      <w:r w:rsidRPr="007D6C3F">
        <w:rPr>
          <w:i/>
        </w:rPr>
        <w:t xml:space="preserve">The project planned and delivered the removal of appliances from Corringham, Orsett, Rayleigh Weir and Loughton and the associated employee relocations. </w:t>
      </w:r>
    </w:p>
    <w:p w14:paraId="0D5EB912" w14:textId="77777777" w:rsidR="004715EC" w:rsidRPr="007D6C3F" w:rsidRDefault="004715EC" w:rsidP="000F1C23">
      <w:pPr>
        <w:pStyle w:val="ListParagraph"/>
        <w:ind w:left="360"/>
      </w:pPr>
    </w:p>
    <w:p w14:paraId="28825AB7" w14:textId="0EB6942A" w:rsidR="000F1C23" w:rsidRDefault="000F1C23" w:rsidP="000F1C23">
      <w:pPr>
        <w:pStyle w:val="ListParagraph"/>
        <w:ind w:left="360"/>
      </w:pPr>
      <w:r w:rsidRPr="007D6C3F">
        <w:t>All planned removals have now taken place.</w:t>
      </w:r>
      <w:r>
        <w:t xml:space="preserve"> </w:t>
      </w:r>
    </w:p>
    <w:p w14:paraId="7F815453" w14:textId="77777777" w:rsidR="000F1C23" w:rsidRPr="000F1C23" w:rsidRDefault="000F1C23" w:rsidP="000F1C23">
      <w:pPr>
        <w:pStyle w:val="ListParagraph"/>
        <w:ind w:left="360"/>
      </w:pPr>
    </w:p>
    <w:p w14:paraId="33161B08" w14:textId="499D5EE7" w:rsidR="000E0229" w:rsidRPr="00A26995" w:rsidRDefault="000E0229" w:rsidP="00287195">
      <w:pPr>
        <w:pStyle w:val="ListParagraph"/>
        <w:numPr>
          <w:ilvl w:val="0"/>
          <w:numId w:val="19"/>
        </w:numPr>
        <w:rPr>
          <w:b/>
        </w:rPr>
      </w:pPr>
      <w:r w:rsidRPr="00A26995">
        <w:rPr>
          <w:b/>
        </w:rPr>
        <w:t>On-call conversion project</w:t>
      </w:r>
      <w:r w:rsidR="000F1C23" w:rsidRPr="00A26995">
        <w:rPr>
          <w:b/>
        </w:rPr>
        <w:t xml:space="preserve"> – IN PROGRESS</w:t>
      </w:r>
    </w:p>
    <w:p w14:paraId="40149161" w14:textId="0C259572" w:rsidR="000F1C23" w:rsidRPr="00A26995" w:rsidRDefault="24059A2A" w:rsidP="24059A2A">
      <w:pPr>
        <w:pStyle w:val="ListParagraph"/>
        <w:ind w:left="360"/>
        <w:rPr>
          <w:i/>
          <w:iCs/>
        </w:rPr>
      </w:pPr>
      <w:r w:rsidRPr="24059A2A">
        <w:rPr>
          <w:i/>
          <w:iCs/>
        </w:rPr>
        <w:t>Conversions of Dovercourt, South Woodham Ferrers, Waltham Abbey and Great Baddow stations from day crew to on-call and conversion of Clacton’s second appliance from whole</w:t>
      </w:r>
      <w:r w:rsidR="00C85209">
        <w:rPr>
          <w:i/>
          <w:iCs/>
        </w:rPr>
        <w:t>-</w:t>
      </w:r>
      <w:r w:rsidRPr="24059A2A">
        <w:rPr>
          <w:i/>
          <w:iCs/>
        </w:rPr>
        <w:t>time to on-call.</w:t>
      </w:r>
    </w:p>
    <w:p w14:paraId="7E30B48F" w14:textId="00AA1602" w:rsidR="0038558A" w:rsidRDefault="0038558A" w:rsidP="000F1C23">
      <w:pPr>
        <w:pStyle w:val="ListParagraph"/>
        <w:ind w:left="360"/>
      </w:pPr>
    </w:p>
    <w:p w14:paraId="50AFB38B" w14:textId="75C1C1D1" w:rsidR="0038558A" w:rsidRDefault="24059A2A" w:rsidP="24059A2A">
      <w:pPr>
        <w:pStyle w:val="ListParagraph"/>
        <w:ind w:left="360"/>
        <w:rPr>
          <w:b/>
          <w:bCs/>
        </w:rPr>
      </w:pPr>
      <w:r w:rsidRPr="24059A2A">
        <w:rPr>
          <w:b/>
          <w:bCs/>
        </w:rPr>
        <w:t>Clacton</w:t>
      </w:r>
    </w:p>
    <w:p w14:paraId="3044075E" w14:textId="7CECAF57" w:rsidR="24059A2A" w:rsidRDefault="24059A2A" w:rsidP="24059A2A">
      <w:pPr>
        <w:pStyle w:val="ListParagraph"/>
        <w:ind w:left="360"/>
      </w:pPr>
    </w:p>
    <w:p w14:paraId="4B43CCBA" w14:textId="36544CA4" w:rsidR="24059A2A" w:rsidRDefault="24059A2A" w:rsidP="24059A2A">
      <w:pPr>
        <w:pStyle w:val="ListParagraph"/>
        <w:ind w:left="360"/>
      </w:pPr>
      <w:r>
        <w:t>The Clacton conversion is progressing well. The on-call crew have reached planned headcount and firefighters are progressing through acquisition and development stages of their new-recruit training programme.</w:t>
      </w:r>
    </w:p>
    <w:p w14:paraId="5F8882A1" w14:textId="4B39F820" w:rsidR="24059A2A" w:rsidRDefault="24059A2A" w:rsidP="24059A2A">
      <w:pPr>
        <w:pStyle w:val="ListParagraph"/>
        <w:ind w:left="360"/>
      </w:pPr>
    </w:p>
    <w:p w14:paraId="7473B9E5" w14:textId="77777777" w:rsidR="0030721B" w:rsidRDefault="0030721B" w:rsidP="24059A2A">
      <w:pPr>
        <w:pStyle w:val="ListParagraph"/>
        <w:ind w:left="360"/>
        <w:rPr>
          <w:b/>
          <w:bCs/>
        </w:rPr>
      </w:pPr>
    </w:p>
    <w:p w14:paraId="38336C55" w14:textId="7BDD50DA" w:rsidR="24059A2A" w:rsidRDefault="24059A2A" w:rsidP="24059A2A">
      <w:pPr>
        <w:pStyle w:val="ListParagraph"/>
        <w:ind w:left="360"/>
        <w:rPr>
          <w:b/>
          <w:bCs/>
        </w:rPr>
      </w:pPr>
      <w:r w:rsidRPr="24059A2A">
        <w:rPr>
          <w:b/>
          <w:bCs/>
        </w:rPr>
        <w:t xml:space="preserve">Day Crew Converting Stations </w:t>
      </w:r>
    </w:p>
    <w:p w14:paraId="142F9E63" w14:textId="18A2EEF3" w:rsidR="24059A2A" w:rsidRDefault="24059A2A" w:rsidP="24059A2A">
      <w:pPr>
        <w:pStyle w:val="ListParagraph"/>
        <w:ind w:left="360"/>
      </w:pPr>
    </w:p>
    <w:p w14:paraId="5FA0EA16" w14:textId="2DEFDECC" w:rsidR="24059A2A" w:rsidRDefault="24059A2A" w:rsidP="24059A2A">
      <w:pPr>
        <w:pStyle w:val="ListParagraph"/>
        <w:ind w:left="360"/>
      </w:pPr>
      <w:r>
        <w:t>With converting stations not reaching the anticipated headcount to be confident of stations being ready to convert as planned a revised plan has been developed and approved. This includes;</w:t>
      </w:r>
    </w:p>
    <w:p w14:paraId="724ED279" w14:textId="194AC070" w:rsidR="24059A2A" w:rsidRDefault="24059A2A" w:rsidP="24059A2A">
      <w:pPr>
        <w:pStyle w:val="ListParagraph"/>
        <w:ind w:left="360"/>
      </w:pPr>
    </w:p>
    <w:p w14:paraId="0FF8E2C2" w14:textId="740C5E72" w:rsidR="24059A2A" w:rsidRDefault="24059A2A" w:rsidP="24059A2A">
      <w:pPr>
        <w:pStyle w:val="ListParagraph"/>
        <w:numPr>
          <w:ilvl w:val="0"/>
          <w:numId w:val="1"/>
        </w:numPr>
      </w:pPr>
      <w:r>
        <w:t>Individual project change plans - recognising and supporting specific requirements for each converting station.</w:t>
      </w:r>
    </w:p>
    <w:p w14:paraId="7BC67526" w14:textId="5C1D559C" w:rsidR="24059A2A" w:rsidRDefault="24059A2A" w:rsidP="24059A2A">
      <w:pPr>
        <w:pStyle w:val="ListParagraph"/>
        <w:numPr>
          <w:ilvl w:val="0"/>
          <w:numId w:val="1"/>
        </w:numPr>
      </w:pPr>
      <w:r>
        <w:t>Greater employee engagement and involvement – both day crew and on-call colleagues encouraged to play active part in the changes.</w:t>
      </w:r>
    </w:p>
    <w:p w14:paraId="42C10E7B" w14:textId="3F20EACA" w:rsidR="24059A2A" w:rsidRDefault="24059A2A" w:rsidP="24059A2A">
      <w:pPr>
        <w:pStyle w:val="ListParagraph"/>
        <w:numPr>
          <w:ilvl w:val="0"/>
          <w:numId w:val="1"/>
        </w:numPr>
      </w:pPr>
      <w:r>
        <w:t>New marketing and recruitment campaigns – new approaches, new technology, wider reach, encouraging diversity.</w:t>
      </w:r>
    </w:p>
    <w:p w14:paraId="75154AF1" w14:textId="6EDA462E" w:rsidR="24059A2A" w:rsidRDefault="24059A2A" w:rsidP="24059A2A">
      <w:pPr>
        <w:pStyle w:val="ListParagraph"/>
        <w:numPr>
          <w:ilvl w:val="0"/>
          <w:numId w:val="1"/>
        </w:numPr>
      </w:pPr>
      <w:r>
        <w:t>Developing new training approaches – more flexibility, more opportunities.</w:t>
      </w:r>
    </w:p>
    <w:p w14:paraId="347365E6" w14:textId="1CCA18CC" w:rsidR="24059A2A" w:rsidRDefault="24059A2A" w:rsidP="24059A2A">
      <w:pPr>
        <w:pStyle w:val="ListParagraph"/>
        <w:numPr>
          <w:ilvl w:val="0"/>
          <w:numId w:val="1"/>
        </w:numPr>
      </w:pPr>
      <w:r>
        <w:t>Proposed change from full conversion at March 2020 to phased conversion, with whole</w:t>
      </w:r>
      <w:r w:rsidR="00C85209">
        <w:t>-</w:t>
      </w:r>
      <w:r>
        <w:t>time employees continuing to provide support until March 2021.</w:t>
      </w:r>
    </w:p>
    <w:p w14:paraId="79AD28DA" w14:textId="04B7EDDA" w:rsidR="0038558A" w:rsidRDefault="0038558A" w:rsidP="000F1C23">
      <w:pPr>
        <w:pStyle w:val="ListParagraph"/>
        <w:ind w:left="360"/>
      </w:pPr>
    </w:p>
    <w:p w14:paraId="69B1D62F" w14:textId="4DEA884E" w:rsidR="00FF51A8" w:rsidRDefault="00FF51A8" w:rsidP="000F1C23">
      <w:pPr>
        <w:pStyle w:val="ListParagraph"/>
        <w:ind w:left="360"/>
        <w:rPr>
          <w:highlight w:val="yellow"/>
        </w:rPr>
      </w:pPr>
    </w:p>
    <w:p w14:paraId="397C0A61" w14:textId="0515BECE" w:rsidR="00FF51A8" w:rsidRPr="0038558A" w:rsidRDefault="0038558A" w:rsidP="000F1C23">
      <w:pPr>
        <w:pStyle w:val="ListParagraph"/>
        <w:ind w:left="360"/>
      </w:pPr>
      <w:r w:rsidRPr="0038558A">
        <w:t xml:space="preserve">The table below shows the current staffing levels at the converting stations. </w:t>
      </w:r>
    </w:p>
    <w:p w14:paraId="19BEBF8D" w14:textId="74716F26" w:rsidR="001B06CF" w:rsidRDefault="001B06CF" w:rsidP="24059A2A">
      <w:pPr>
        <w:pStyle w:val="ListParagraph"/>
        <w:ind w:left="0"/>
        <w:rPr>
          <w:highlight w:val="yellow"/>
        </w:rPr>
      </w:pPr>
    </w:p>
    <w:tbl>
      <w:tblPr>
        <w:tblW w:w="9170" w:type="dxa"/>
        <w:tblLook w:val="04A0" w:firstRow="1" w:lastRow="0" w:firstColumn="1" w:lastColumn="0" w:noHBand="0" w:noVBand="1"/>
      </w:tblPr>
      <w:tblGrid>
        <w:gridCol w:w="1804"/>
        <w:gridCol w:w="1555"/>
        <w:gridCol w:w="1701"/>
        <w:gridCol w:w="2126"/>
        <w:gridCol w:w="850"/>
        <w:gridCol w:w="1134"/>
      </w:tblGrid>
      <w:tr w:rsidR="0038558A" w:rsidRPr="0038558A" w14:paraId="0E9CBDD2" w14:textId="77777777" w:rsidTr="0038558A">
        <w:trPr>
          <w:trHeight w:val="422"/>
        </w:trPr>
        <w:tc>
          <w:tcPr>
            <w:tcW w:w="18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D04978" w14:textId="77777777" w:rsidR="0038558A" w:rsidRPr="0038558A" w:rsidRDefault="0038558A" w:rsidP="0038558A">
            <w:pPr>
              <w:jc w:val="center"/>
              <w:rPr>
                <w:rFonts w:ascii="Calibri" w:hAnsi="Calibri" w:cs="Times New Roman"/>
                <w:b/>
                <w:bCs/>
                <w:lang w:eastAsia="en-GB"/>
              </w:rPr>
            </w:pPr>
          </w:p>
        </w:tc>
        <w:tc>
          <w:tcPr>
            <w:tcW w:w="155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49F50D8" w14:textId="77777777" w:rsidR="0038558A" w:rsidRPr="0038558A" w:rsidRDefault="0038558A" w:rsidP="0038558A">
            <w:pPr>
              <w:jc w:val="center"/>
              <w:rPr>
                <w:rFonts w:ascii="Calibri" w:hAnsi="Calibri" w:cs="Times New Roman"/>
                <w:b/>
                <w:bCs/>
                <w:lang w:eastAsia="en-GB"/>
              </w:rPr>
            </w:pPr>
            <w:r w:rsidRPr="0038558A">
              <w:rPr>
                <w:rFonts w:ascii="Calibri" w:hAnsi="Calibri" w:cs="Times New Roman"/>
                <w:b/>
                <w:bCs/>
                <w:lang w:eastAsia="en-GB"/>
              </w:rPr>
              <w:t>Budgeted FTE</w:t>
            </w:r>
          </w:p>
        </w:tc>
        <w:tc>
          <w:tcPr>
            <w:tcW w:w="1701"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5EED368C" w14:textId="77777777" w:rsidR="0038558A" w:rsidRPr="0038558A" w:rsidRDefault="0038558A" w:rsidP="0038558A">
            <w:pPr>
              <w:jc w:val="center"/>
              <w:rPr>
                <w:rFonts w:ascii="Calibri" w:hAnsi="Calibri" w:cs="Times New Roman"/>
                <w:b/>
                <w:bCs/>
                <w:lang w:eastAsia="en-GB"/>
              </w:rPr>
            </w:pPr>
            <w:r w:rsidRPr="0038558A">
              <w:rPr>
                <w:rFonts w:ascii="Calibri" w:hAnsi="Calibri" w:cs="Times New Roman"/>
                <w:b/>
                <w:bCs/>
                <w:lang w:eastAsia="en-GB"/>
              </w:rPr>
              <w:t>Current FTE</w:t>
            </w:r>
          </w:p>
        </w:tc>
        <w:tc>
          <w:tcPr>
            <w:tcW w:w="2126"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4D528F05" w14:textId="2F1073A7" w:rsidR="0038558A" w:rsidRPr="0038558A" w:rsidRDefault="0038558A" w:rsidP="0038558A">
            <w:pPr>
              <w:jc w:val="center"/>
              <w:rPr>
                <w:rFonts w:ascii="Calibri" w:hAnsi="Calibri" w:cs="Times New Roman"/>
                <w:b/>
                <w:bCs/>
                <w:lang w:eastAsia="en-GB"/>
              </w:rPr>
            </w:pPr>
            <w:r w:rsidRPr="0038558A">
              <w:rPr>
                <w:rFonts w:ascii="Calibri" w:hAnsi="Calibri" w:cs="Times New Roman"/>
                <w:b/>
                <w:bCs/>
                <w:lang w:eastAsia="en-GB"/>
              </w:rPr>
              <w:t>WMs</w:t>
            </w:r>
          </w:p>
        </w:tc>
        <w:tc>
          <w:tcPr>
            <w:tcW w:w="85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73459DD0" w14:textId="253188A3" w:rsidR="0038558A" w:rsidRPr="0038558A" w:rsidRDefault="0038558A" w:rsidP="0038558A">
            <w:pPr>
              <w:jc w:val="center"/>
              <w:rPr>
                <w:rFonts w:ascii="Calibri" w:hAnsi="Calibri" w:cs="Times New Roman"/>
                <w:b/>
                <w:bCs/>
                <w:lang w:eastAsia="en-GB"/>
              </w:rPr>
            </w:pPr>
            <w:r w:rsidRPr="0038558A">
              <w:rPr>
                <w:rFonts w:ascii="Calibri" w:hAnsi="Calibri" w:cs="Times New Roman"/>
                <w:b/>
                <w:bCs/>
                <w:lang w:eastAsia="en-GB"/>
              </w:rPr>
              <w:t>CMs</w:t>
            </w:r>
          </w:p>
        </w:tc>
        <w:tc>
          <w:tcPr>
            <w:tcW w:w="1134"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50C41D16" w14:textId="6B540B5F" w:rsidR="0038558A" w:rsidRPr="0038558A" w:rsidRDefault="0038558A" w:rsidP="0038558A">
            <w:pPr>
              <w:jc w:val="center"/>
              <w:rPr>
                <w:rFonts w:ascii="Calibri" w:hAnsi="Calibri" w:cs="Times New Roman"/>
                <w:b/>
                <w:bCs/>
                <w:lang w:eastAsia="en-GB"/>
              </w:rPr>
            </w:pPr>
            <w:r>
              <w:rPr>
                <w:rFonts w:ascii="Calibri" w:hAnsi="Calibri" w:cs="Times New Roman"/>
                <w:b/>
                <w:bCs/>
                <w:lang w:eastAsia="en-GB"/>
              </w:rPr>
              <w:t>Drivers</w:t>
            </w:r>
          </w:p>
        </w:tc>
      </w:tr>
      <w:tr w:rsidR="0038558A" w:rsidRPr="0038558A" w14:paraId="127D5894" w14:textId="77777777" w:rsidTr="0038558A">
        <w:trPr>
          <w:trHeight w:val="397"/>
        </w:trPr>
        <w:tc>
          <w:tcPr>
            <w:tcW w:w="1804" w:type="dxa"/>
            <w:tcBorders>
              <w:top w:val="single" w:sz="4" w:space="0" w:color="auto"/>
              <w:left w:val="single" w:sz="4" w:space="0" w:color="auto"/>
              <w:bottom w:val="nil"/>
              <w:right w:val="single" w:sz="4" w:space="0" w:color="auto"/>
            </w:tcBorders>
            <w:vAlign w:val="center"/>
          </w:tcPr>
          <w:p w14:paraId="2E2AD930" w14:textId="77777777" w:rsidR="0038558A" w:rsidRPr="0038558A" w:rsidRDefault="0038558A" w:rsidP="0038558A">
            <w:pPr>
              <w:jc w:val="center"/>
              <w:rPr>
                <w:rFonts w:ascii="Calibri" w:hAnsi="Calibri" w:cs="Times New Roman"/>
                <w:b/>
                <w:bCs/>
                <w:lang w:eastAsia="en-GB"/>
              </w:rPr>
            </w:pPr>
            <w:r w:rsidRPr="0038558A">
              <w:rPr>
                <w:rFonts w:ascii="Calibri" w:hAnsi="Calibri" w:cs="Times New Roman"/>
                <w:b/>
                <w:bCs/>
                <w:lang w:eastAsia="en-GB"/>
              </w:rPr>
              <w:t>Clacton</w:t>
            </w:r>
          </w:p>
        </w:tc>
        <w:tc>
          <w:tcPr>
            <w:tcW w:w="1555" w:type="dxa"/>
            <w:tcBorders>
              <w:top w:val="single" w:sz="4" w:space="0" w:color="auto"/>
              <w:left w:val="single" w:sz="4" w:space="0" w:color="auto"/>
              <w:bottom w:val="nil"/>
              <w:right w:val="single" w:sz="4" w:space="0" w:color="auto"/>
            </w:tcBorders>
            <w:shd w:val="clear" w:color="auto" w:fill="auto"/>
            <w:vAlign w:val="center"/>
            <w:hideMark/>
          </w:tcPr>
          <w:p w14:paraId="3CDACD3F" w14:textId="77777777" w:rsidR="0038558A" w:rsidRPr="0038558A" w:rsidRDefault="0038558A" w:rsidP="0038558A">
            <w:pPr>
              <w:jc w:val="center"/>
              <w:rPr>
                <w:rFonts w:ascii="Calibri" w:hAnsi="Calibri" w:cs="Times New Roman"/>
                <w:b/>
                <w:bCs/>
                <w:lang w:eastAsia="en-GB"/>
              </w:rPr>
            </w:pPr>
            <w:r w:rsidRPr="0038558A">
              <w:rPr>
                <w:rFonts w:ascii="Calibri" w:hAnsi="Calibri" w:cs="Times New Roman"/>
                <w:b/>
                <w:bCs/>
                <w:lang w:eastAsia="en-GB"/>
              </w:rPr>
              <w:t>18</w:t>
            </w:r>
          </w:p>
        </w:tc>
        <w:tc>
          <w:tcPr>
            <w:tcW w:w="1701" w:type="dxa"/>
            <w:tcBorders>
              <w:top w:val="single" w:sz="4" w:space="0" w:color="auto"/>
              <w:left w:val="nil"/>
              <w:bottom w:val="nil"/>
              <w:right w:val="single" w:sz="4" w:space="0" w:color="auto"/>
            </w:tcBorders>
            <w:shd w:val="clear" w:color="auto" w:fill="auto"/>
            <w:noWrap/>
            <w:vAlign w:val="center"/>
            <w:hideMark/>
          </w:tcPr>
          <w:p w14:paraId="3100B651" w14:textId="1772BCB4" w:rsidR="0038558A" w:rsidRPr="0038558A" w:rsidRDefault="0038558A" w:rsidP="0038558A">
            <w:pPr>
              <w:jc w:val="center"/>
              <w:rPr>
                <w:rFonts w:ascii="Calibri" w:hAnsi="Calibri" w:cs="Times New Roman"/>
                <w:b/>
                <w:bCs/>
                <w:lang w:eastAsia="en-GB"/>
              </w:rPr>
            </w:pPr>
            <w:r>
              <w:rPr>
                <w:rFonts w:ascii="Calibri" w:hAnsi="Calibri" w:cs="Times New Roman"/>
                <w:b/>
                <w:bCs/>
                <w:lang w:eastAsia="en-GB"/>
              </w:rPr>
              <w:t>18</w:t>
            </w:r>
          </w:p>
        </w:tc>
        <w:tc>
          <w:tcPr>
            <w:tcW w:w="2126" w:type="dxa"/>
            <w:tcBorders>
              <w:top w:val="single" w:sz="4" w:space="0" w:color="auto"/>
              <w:left w:val="nil"/>
              <w:bottom w:val="nil"/>
              <w:right w:val="single" w:sz="4" w:space="0" w:color="auto"/>
            </w:tcBorders>
            <w:shd w:val="clear" w:color="auto" w:fill="auto"/>
            <w:noWrap/>
            <w:vAlign w:val="center"/>
          </w:tcPr>
          <w:p w14:paraId="035EFF65" w14:textId="3BF26A1C" w:rsidR="0038558A" w:rsidRPr="0038558A" w:rsidRDefault="0038558A" w:rsidP="0038558A">
            <w:pPr>
              <w:jc w:val="center"/>
              <w:rPr>
                <w:rFonts w:ascii="Calibri" w:hAnsi="Calibri" w:cs="Times New Roman"/>
                <w:b/>
                <w:bCs/>
                <w:lang w:eastAsia="en-GB"/>
              </w:rPr>
            </w:pPr>
          </w:p>
        </w:tc>
        <w:tc>
          <w:tcPr>
            <w:tcW w:w="850" w:type="dxa"/>
            <w:tcBorders>
              <w:top w:val="single" w:sz="4" w:space="0" w:color="auto"/>
              <w:left w:val="nil"/>
              <w:bottom w:val="nil"/>
              <w:right w:val="single" w:sz="4" w:space="0" w:color="auto"/>
            </w:tcBorders>
            <w:shd w:val="clear" w:color="auto" w:fill="auto"/>
            <w:noWrap/>
            <w:vAlign w:val="center"/>
          </w:tcPr>
          <w:p w14:paraId="6E78817B" w14:textId="0A9AEFFD" w:rsidR="0038558A" w:rsidRPr="0038558A" w:rsidRDefault="0038558A" w:rsidP="0038558A">
            <w:pPr>
              <w:jc w:val="center"/>
              <w:rPr>
                <w:rFonts w:ascii="Calibri" w:hAnsi="Calibri" w:cs="Times New Roman"/>
                <w:b/>
                <w:bCs/>
                <w:lang w:eastAsia="en-GB"/>
              </w:rPr>
            </w:pPr>
          </w:p>
        </w:tc>
        <w:tc>
          <w:tcPr>
            <w:tcW w:w="1134" w:type="dxa"/>
            <w:tcBorders>
              <w:top w:val="single" w:sz="4" w:space="0" w:color="auto"/>
              <w:left w:val="nil"/>
              <w:bottom w:val="nil"/>
              <w:right w:val="single" w:sz="4" w:space="0" w:color="auto"/>
            </w:tcBorders>
            <w:shd w:val="clear" w:color="auto" w:fill="auto"/>
            <w:noWrap/>
            <w:vAlign w:val="center"/>
          </w:tcPr>
          <w:p w14:paraId="200C49F1" w14:textId="64256B86" w:rsidR="0038558A" w:rsidRPr="0038558A" w:rsidRDefault="0038558A" w:rsidP="0038558A">
            <w:pPr>
              <w:jc w:val="center"/>
              <w:rPr>
                <w:rFonts w:ascii="Calibri" w:hAnsi="Calibri" w:cs="Times New Roman"/>
                <w:b/>
                <w:bCs/>
                <w:lang w:eastAsia="en-GB"/>
              </w:rPr>
            </w:pPr>
          </w:p>
        </w:tc>
      </w:tr>
      <w:tr w:rsidR="0038558A" w:rsidRPr="0038558A" w14:paraId="2CFD139B" w14:textId="77777777" w:rsidTr="00F51D8F">
        <w:trPr>
          <w:trHeight w:val="397"/>
        </w:trPr>
        <w:tc>
          <w:tcPr>
            <w:tcW w:w="1804" w:type="dxa"/>
            <w:tcBorders>
              <w:top w:val="nil"/>
              <w:left w:val="single" w:sz="4" w:space="0" w:color="auto"/>
              <w:bottom w:val="nil"/>
              <w:right w:val="single" w:sz="4" w:space="0" w:color="auto"/>
            </w:tcBorders>
            <w:vAlign w:val="center"/>
          </w:tcPr>
          <w:p w14:paraId="6DBBD7D1" w14:textId="77777777" w:rsidR="0038558A" w:rsidRPr="0038558A" w:rsidRDefault="0038558A" w:rsidP="0038558A">
            <w:pPr>
              <w:jc w:val="center"/>
              <w:rPr>
                <w:rFonts w:ascii="Calibri" w:hAnsi="Calibri" w:cs="Times New Roman"/>
                <w:b/>
                <w:bCs/>
                <w:lang w:eastAsia="en-GB"/>
              </w:rPr>
            </w:pPr>
            <w:r w:rsidRPr="0038558A">
              <w:rPr>
                <w:rFonts w:ascii="Calibri" w:hAnsi="Calibri" w:cs="Times New Roman"/>
                <w:b/>
                <w:bCs/>
                <w:lang w:eastAsia="en-GB"/>
              </w:rPr>
              <w:t>Dovercourt</w:t>
            </w:r>
          </w:p>
        </w:tc>
        <w:tc>
          <w:tcPr>
            <w:tcW w:w="1555" w:type="dxa"/>
            <w:tcBorders>
              <w:top w:val="nil"/>
              <w:left w:val="single" w:sz="4" w:space="0" w:color="auto"/>
              <w:bottom w:val="nil"/>
              <w:right w:val="single" w:sz="4" w:space="0" w:color="auto"/>
            </w:tcBorders>
            <w:shd w:val="clear" w:color="auto" w:fill="auto"/>
            <w:vAlign w:val="center"/>
          </w:tcPr>
          <w:p w14:paraId="5A5353A7" w14:textId="3E9A3E05" w:rsidR="0038558A" w:rsidRPr="0038558A" w:rsidRDefault="0038558A" w:rsidP="0038558A">
            <w:pPr>
              <w:jc w:val="center"/>
              <w:rPr>
                <w:rFonts w:ascii="Calibri" w:hAnsi="Calibri" w:cs="Times New Roman"/>
                <w:b/>
                <w:bCs/>
                <w:lang w:eastAsia="en-GB"/>
              </w:rPr>
            </w:pPr>
            <w:r>
              <w:rPr>
                <w:rFonts w:ascii="Calibri" w:hAnsi="Calibri" w:cs="Times New Roman"/>
                <w:b/>
                <w:bCs/>
                <w:lang w:eastAsia="en-GB"/>
              </w:rPr>
              <w:t>23</w:t>
            </w:r>
          </w:p>
        </w:tc>
        <w:tc>
          <w:tcPr>
            <w:tcW w:w="1701" w:type="dxa"/>
            <w:tcBorders>
              <w:top w:val="nil"/>
              <w:left w:val="nil"/>
              <w:bottom w:val="nil"/>
              <w:right w:val="single" w:sz="4" w:space="0" w:color="auto"/>
            </w:tcBorders>
            <w:shd w:val="clear" w:color="auto" w:fill="auto"/>
            <w:noWrap/>
            <w:vAlign w:val="center"/>
          </w:tcPr>
          <w:p w14:paraId="49BD08B5" w14:textId="7556A11E" w:rsidR="0038558A" w:rsidRPr="0038558A" w:rsidRDefault="0038558A" w:rsidP="0038558A">
            <w:pPr>
              <w:jc w:val="center"/>
              <w:rPr>
                <w:rFonts w:ascii="Calibri" w:hAnsi="Calibri" w:cs="Times New Roman"/>
                <w:b/>
                <w:bCs/>
                <w:lang w:eastAsia="en-GB"/>
              </w:rPr>
            </w:pPr>
            <w:r w:rsidRPr="0038558A">
              <w:rPr>
                <w:rFonts w:ascii="Calibri" w:hAnsi="Calibri" w:cs="Times New Roman"/>
                <w:b/>
                <w:bCs/>
                <w:lang w:eastAsia="en-GB"/>
              </w:rPr>
              <w:t>1</w:t>
            </w:r>
            <w:r>
              <w:rPr>
                <w:rFonts w:ascii="Calibri" w:hAnsi="Calibri" w:cs="Times New Roman"/>
                <w:b/>
                <w:bCs/>
                <w:lang w:eastAsia="en-GB"/>
              </w:rPr>
              <w:t>4</w:t>
            </w:r>
          </w:p>
        </w:tc>
        <w:tc>
          <w:tcPr>
            <w:tcW w:w="2126" w:type="dxa"/>
            <w:tcBorders>
              <w:top w:val="nil"/>
              <w:left w:val="nil"/>
              <w:bottom w:val="nil"/>
              <w:right w:val="single" w:sz="4" w:space="0" w:color="auto"/>
            </w:tcBorders>
            <w:shd w:val="clear" w:color="auto" w:fill="auto"/>
            <w:noWrap/>
            <w:vAlign w:val="center"/>
          </w:tcPr>
          <w:p w14:paraId="7403D5D4" w14:textId="3AEC6603" w:rsidR="0038558A" w:rsidRPr="0038558A" w:rsidRDefault="0038558A" w:rsidP="0038558A">
            <w:pPr>
              <w:jc w:val="center"/>
              <w:rPr>
                <w:rFonts w:ascii="Calibri" w:hAnsi="Calibri" w:cs="Times New Roman"/>
                <w:b/>
                <w:bCs/>
                <w:lang w:eastAsia="en-GB"/>
              </w:rPr>
            </w:pPr>
            <w:r>
              <w:rPr>
                <w:rFonts w:ascii="Calibri" w:hAnsi="Calibri" w:cs="Times New Roman"/>
                <w:b/>
                <w:bCs/>
                <w:lang w:eastAsia="en-GB"/>
              </w:rPr>
              <w:t>1</w:t>
            </w:r>
          </w:p>
        </w:tc>
        <w:tc>
          <w:tcPr>
            <w:tcW w:w="850" w:type="dxa"/>
            <w:tcBorders>
              <w:top w:val="nil"/>
              <w:left w:val="nil"/>
              <w:bottom w:val="nil"/>
              <w:right w:val="single" w:sz="4" w:space="0" w:color="auto"/>
            </w:tcBorders>
            <w:shd w:val="clear" w:color="auto" w:fill="auto"/>
            <w:noWrap/>
            <w:vAlign w:val="center"/>
          </w:tcPr>
          <w:p w14:paraId="522F0A32" w14:textId="39584E4E" w:rsidR="0038558A" w:rsidRPr="0038558A" w:rsidRDefault="0038558A" w:rsidP="0038558A">
            <w:pPr>
              <w:jc w:val="center"/>
              <w:rPr>
                <w:rFonts w:ascii="Calibri" w:hAnsi="Calibri" w:cs="Times New Roman"/>
                <w:b/>
                <w:bCs/>
                <w:lang w:eastAsia="en-GB"/>
              </w:rPr>
            </w:pPr>
            <w:r>
              <w:rPr>
                <w:rFonts w:ascii="Calibri" w:hAnsi="Calibri" w:cs="Times New Roman"/>
                <w:b/>
                <w:bCs/>
                <w:lang w:eastAsia="en-GB"/>
              </w:rPr>
              <w:t>2</w:t>
            </w:r>
          </w:p>
        </w:tc>
        <w:tc>
          <w:tcPr>
            <w:tcW w:w="1134" w:type="dxa"/>
            <w:tcBorders>
              <w:top w:val="nil"/>
              <w:left w:val="nil"/>
              <w:bottom w:val="nil"/>
              <w:right w:val="single" w:sz="4" w:space="0" w:color="auto"/>
            </w:tcBorders>
            <w:shd w:val="clear" w:color="auto" w:fill="auto"/>
            <w:noWrap/>
            <w:vAlign w:val="center"/>
          </w:tcPr>
          <w:p w14:paraId="71A6F475" w14:textId="34ECC91A" w:rsidR="0038558A" w:rsidRPr="0038558A" w:rsidRDefault="0038558A" w:rsidP="0038558A">
            <w:pPr>
              <w:jc w:val="center"/>
              <w:rPr>
                <w:rFonts w:ascii="Calibri" w:hAnsi="Calibri" w:cs="Times New Roman"/>
                <w:b/>
                <w:bCs/>
                <w:lang w:eastAsia="en-GB"/>
              </w:rPr>
            </w:pPr>
            <w:r>
              <w:rPr>
                <w:rFonts w:ascii="Calibri" w:hAnsi="Calibri" w:cs="Times New Roman"/>
                <w:b/>
                <w:bCs/>
                <w:lang w:eastAsia="en-GB"/>
              </w:rPr>
              <w:t>2</w:t>
            </w:r>
          </w:p>
        </w:tc>
      </w:tr>
      <w:tr w:rsidR="0038558A" w:rsidRPr="0038558A" w14:paraId="498049E2" w14:textId="77777777" w:rsidTr="00F51D8F">
        <w:trPr>
          <w:trHeight w:val="397"/>
        </w:trPr>
        <w:tc>
          <w:tcPr>
            <w:tcW w:w="1804" w:type="dxa"/>
            <w:tcBorders>
              <w:top w:val="nil"/>
              <w:left w:val="single" w:sz="4" w:space="0" w:color="auto"/>
              <w:bottom w:val="nil"/>
              <w:right w:val="single" w:sz="4" w:space="0" w:color="auto"/>
            </w:tcBorders>
            <w:vAlign w:val="center"/>
          </w:tcPr>
          <w:p w14:paraId="03E5F8C1" w14:textId="77777777" w:rsidR="0038558A" w:rsidRPr="0038558A" w:rsidRDefault="0038558A" w:rsidP="0038558A">
            <w:pPr>
              <w:jc w:val="center"/>
              <w:rPr>
                <w:rFonts w:ascii="Calibri" w:hAnsi="Calibri" w:cs="Times New Roman"/>
                <w:b/>
                <w:bCs/>
                <w:lang w:eastAsia="en-GB"/>
              </w:rPr>
            </w:pPr>
            <w:r w:rsidRPr="0038558A">
              <w:rPr>
                <w:rFonts w:ascii="Calibri" w:hAnsi="Calibri" w:cs="Times New Roman"/>
                <w:b/>
                <w:bCs/>
                <w:lang w:eastAsia="en-GB"/>
              </w:rPr>
              <w:t xml:space="preserve">SWF </w:t>
            </w:r>
          </w:p>
        </w:tc>
        <w:tc>
          <w:tcPr>
            <w:tcW w:w="1555" w:type="dxa"/>
            <w:tcBorders>
              <w:top w:val="nil"/>
              <w:left w:val="single" w:sz="4" w:space="0" w:color="auto"/>
              <w:bottom w:val="nil"/>
              <w:right w:val="single" w:sz="4" w:space="0" w:color="auto"/>
            </w:tcBorders>
            <w:shd w:val="clear" w:color="auto" w:fill="auto"/>
            <w:vAlign w:val="center"/>
          </w:tcPr>
          <w:p w14:paraId="2884B69E" w14:textId="41BBE7DA" w:rsidR="0038558A" w:rsidRPr="0038558A" w:rsidRDefault="0038558A" w:rsidP="0038558A">
            <w:pPr>
              <w:jc w:val="center"/>
              <w:rPr>
                <w:rFonts w:ascii="Calibri" w:hAnsi="Calibri" w:cs="Times New Roman"/>
                <w:b/>
                <w:bCs/>
                <w:lang w:eastAsia="en-GB"/>
              </w:rPr>
            </w:pPr>
            <w:r>
              <w:rPr>
                <w:rFonts w:ascii="Calibri" w:hAnsi="Calibri" w:cs="Times New Roman"/>
                <w:b/>
                <w:bCs/>
                <w:lang w:eastAsia="en-GB"/>
              </w:rPr>
              <w:t>18</w:t>
            </w:r>
          </w:p>
        </w:tc>
        <w:tc>
          <w:tcPr>
            <w:tcW w:w="1701" w:type="dxa"/>
            <w:tcBorders>
              <w:top w:val="nil"/>
              <w:left w:val="nil"/>
              <w:bottom w:val="nil"/>
              <w:right w:val="single" w:sz="4" w:space="0" w:color="auto"/>
            </w:tcBorders>
            <w:shd w:val="clear" w:color="auto" w:fill="auto"/>
            <w:noWrap/>
            <w:vAlign w:val="center"/>
          </w:tcPr>
          <w:p w14:paraId="065E8F36" w14:textId="2B552D57" w:rsidR="0038558A" w:rsidRPr="0038558A" w:rsidRDefault="0038558A" w:rsidP="0038558A">
            <w:pPr>
              <w:jc w:val="center"/>
              <w:rPr>
                <w:rFonts w:ascii="Calibri" w:hAnsi="Calibri" w:cs="Times New Roman"/>
                <w:b/>
                <w:bCs/>
                <w:lang w:eastAsia="en-GB"/>
              </w:rPr>
            </w:pPr>
            <w:r>
              <w:rPr>
                <w:rFonts w:ascii="Calibri" w:hAnsi="Calibri" w:cs="Times New Roman"/>
                <w:b/>
                <w:bCs/>
                <w:lang w:eastAsia="en-GB"/>
              </w:rPr>
              <w:t>4</w:t>
            </w:r>
          </w:p>
        </w:tc>
        <w:tc>
          <w:tcPr>
            <w:tcW w:w="2126" w:type="dxa"/>
            <w:tcBorders>
              <w:top w:val="nil"/>
              <w:left w:val="nil"/>
              <w:bottom w:val="nil"/>
              <w:right w:val="single" w:sz="4" w:space="0" w:color="auto"/>
            </w:tcBorders>
            <w:shd w:val="clear" w:color="auto" w:fill="auto"/>
            <w:noWrap/>
            <w:vAlign w:val="center"/>
          </w:tcPr>
          <w:p w14:paraId="74A8CCDA" w14:textId="306CBE65" w:rsidR="0038558A" w:rsidRPr="0038558A" w:rsidRDefault="0038558A" w:rsidP="0038558A">
            <w:pPr>
              <w:jc w:val="center"/>
              <w:rPr>
                <w:rFonts w:ascii="Calibri" w:hAnsi="Calibri" w:cs="Times New Roman"/>
                <w:b/>
                <w:bCs/>
                <w:lang w:eastAsia="en-GB"/>
              </w:rPr>
            </w:pPr>
          </w:p>
        </w:tc>
        <w:tc>
          <w:tcPr>
            <w:tcW w:w="850" w:type="dxa"/>
            <w:tcBorders>
              <w:top w:val="nil"/>
              <w:left w:val="nil"/>
              <w:bottom w:val="nil"/>
              <w:right w:val="single" w:sz="4" w:space="0" w:color="auto"/>
            </w:tcBorders>
            <w:shd w:val="clear" w:color="auto" w:fill="auto"/>
            <w:noWrap/>
            <w:vAlign w:val="center"/>
          </w:tcPr>
          <w:p w14:paraId="0AC7B6EB" w14:textId="658C78E3" w:rsidR="0038558A" w:rsidRPr="0038558A" w:rsidRDefault="0038558A" w:rsidP="0038558A">
            <w:pPr>
              <w:jc w:val="center"/>
              <w:rPr>
                <w:rFonts w:ascii="Calibri" w:hAnsi="Calibri" w:cs="Times New Roman"/>
                <w:b/>
                <w:bCs/>
                <w:lang w:eastAsia="en-GB"/>
              </w:rPr>
            </w:pPr>
          </w:p>
        </w:tc>
        <w:tc>
          <w:tcPr>
            <w:tcW w:w="1134" w:type="dxa"/>
            <w:tcBorders>
              <w:top w:val="nil"/>
              <w:left w:val="nil"/>
              <w:bottom w:val="nil"/>
              <w:right w:val="single" w:sz="4" w:space="0" w:color="auto"/>
            </w:tcBorders>
            <w:shd w:val="clear" w:color="auto" w:fill="auto"/>
            <w:noWrap/>
            <w:vAlign w:val="center"/>
          </w:tcPr>
          <w:p w14:paraId="2AC10241" w14:textId="0EC3CF0A" w:rsidR="0038558A" w:rsidRPr="0038558A" w:rsidRDefault="0038558A" w:rsidP="0038558A">
            <w:pPr>
              <w:jc w:val="center"/>
              <w:rPr>
                <w:rFonts w:ascii="Calibri" w:hAnsi="Calibri" w:cs="Times New Roman"/>
                <w:b/>
                <w:bCs/>
                <w:lang w:eastAsia="en-GB"/>
              </w:rPr>
            </w:pPr>
            <w:r>
              <w:rPr>
                <w:rFonts w:ascii="Calibri" w:hAnsi="Calibri" w:cs="Times New Roman"/>
                <w:b/>
                <w:bCs/>
                <w:lang w:eastAsia="en-GB"/>
              </w:rPr>
              <w:t>1</w:t>
            </w:r>
          </w:p>
        </w:tc>
      </w:tr>
      <w:tr w:rsidR="0038558A" w:rsidRPr="0038558A" w14:paraId="2B6D4E8F" w14:textId="77777777" w:rsidTr="00F51D8F">
        <w:trPr>
          <w:trHeight w:val="397"/>
        </w:trPr>
        <w:tc>
          <w:tcPr>
            <w:tcW w:w="1804" w:type="dxa"/>
            <w:tcBorders>
              <w:top w:val="nil"/>
              <w:left w:val="single" w:sz="4" w:space="0" w:color="auto"/>
              <w:bottom w:val="nil"/>
              <w:right w:val="single" w:sz="4" w:space="0" w:color="auto"/>
            </w:tcBorders>
            <w:vAlign w:val="center"/>
          </w:tcPr>
          <w:p w14:paraId="599F4DE0" w14:textId="77777777" w:rsidR="0038558A" w:rsidRPr="0038558A" w:rsidRDefault="0038558A" w:rsidP="0038558A">
            <w:pPr>
              <w:jc w:val="center"/>
              <w:rPr>
                <w:rFonts w:ascii="Calibri" w:hAnsi="Calibri" w:cs="Times New Roman"/>
                <w:b/>
                <w:bCs/>
                <w:lang w:eastAsia="en-GB"/>
              </w:rPr>
            </w:pPr>
            <w:r w:rsidRPr="0038558A">
              <w:rPr>
                <w:rFonts w:ascii="Calibri" w:hAnsi="Calibri" w:cs="Times New Roman"/>
                <w:b/>
                <w:bCs/>
                <w:lang w:eastAsia="en-GB"/>
              </w:rPr>
              <w:t>Waltham Abbey</w:t>
            </w:r>
          </w:p>
        </w:tc>
        <w:tc>
          <w:tcPr>
            <w:tcW w:w="1555" w:type="dxa"/>
            <w:tcBorders>
              <w:top w:val="nil"/>
              <w:left w:val="single" w:sz="4" w:space="0" w:color="auto"/>
              <w:bottom w:val="nil"/>
              <w:right w:val="single" w:sz="4" w:space="0" w:color="auto"/>
            </w:tcBorders>
            <w:shd w:val="clear" w:color="auto" w:fill="auto"/>
            <w:vAlign w:val="center"/>
          </w:tcPr>
          <w:p w14:paraId="4F7B5DFF" w14:textId="1D978F88" w:rsidR="0038558A" w:rsidRPr="0038558A" w:rsidRDefault="0038558A" w:rsidP="0038558A">
            <w:pPr>
              <w:jc w:val="center"/>
              <w:rPr>
                <w:rFonts w:ascii="Calibri" w:hAnsi="Calibri" w:cs="Times New Roman"/>
                <w:b/>
                <w:bCs/>
                <w:lang w:eastAsia="en-GB"/>
              </w:rPr>
            </w:pPr>
            <w:r>
              <w:rPr>
                <w:rFonts w:ascii="Calibri" w:hAnsi="Calibri" w:cs="Times New Roman"/>
                <w:b/>
                <w:bCs/>
                <w:lang w:eastAsia="en-GB"/>
              </w:rPr>
              <w:t>18</w:t>
            </w:r>
          </w:p>
        </w:tc>
        <w:tc>
          <w:tcPr>
            <w:tcW w:w="1701" w:type="dxa"/>
            <w:tcBorders>
              <w:top w:val="nil"/>
              <w:left w:val="nil"/>
              <w:bottom w:val="nil"/>
              <w:right w:val="single" w:sz="4" w:space="0" w:color="auto"/>
            </w:tcBorders>
            <w:shd w:val="clear" w:color="auto" w:fill="auto"/>
            <w:noWrap/>
            <w:vAlign w:val="center"/>
          </w:tcPr>
          <w:p w14:paraId="4AD1CE63" w14:textId="60F76296" w:rsidR="0038558A" w:rsidRPr="0038558A" w:rsidRDefault="0038558A" w:rsidP="0038558A">
            <w:pPr>
              <w:jc w:val="center"/>
              <w:rPr>
                <w:rFonts w:ascii="Calibri" w:hAnsi="Calibri" w:cs="Times New Roman"/>
                <w:b/>
                <w:bCs/>
                <w:lang w:eastAsia="en-GB"/>
              </w:rPr>
            </w:pPr>
            <w:r>
              <w:rPr>
                <w:rFonts w:ascii="Calibri" w:hAnsi="Calibri" w:cs="Times New Roman"/>
                <w:b/>
                <w:bCs/>
                <w:lang w:eastAsia="en-GB"/>
              </w:rPr>
              <w:t>9</w:t>
            </w:r>
          </w:p>
        </w:tc>
        <w:tc>
          <w:tcPr>
            <w:tcW w:w="2126" w:type="dxa"/>
            <w:tcBorders>
              <w:top w:val="nil"/>
              <w:left w:val="nil"/>
              <w:bottom w:val="nil"/>
              <w:right w:val="single" w:sz="4" w:space="0" w:color="auto"/>
            </w:tcBorders>
            <w:shd w:val="clear" w:color="auto" w:fill="auto"/>
            <w:noWrap/>
            <w:vAlign w:val="center"/>
          </w:tcPr>
          <w:p w14:paraId="6DE78221" w14:textId="62AE00F9" w:rsidR="0038558A" w:rsidRPr="0038558A" w:rsidRDefault="0038558A" w:rsidP="0038558A">
            <w:pPr>
              <w:jc w:val="center"/>
              <w:rPr>
                <w:rFonts w:ascii="Calibri" w:hAnsi="Calibri" w:cs="Times New Roman"/>
                <w:b/>
                <w:bCs/>
                <w:lang w:eastAsia="en-GB"/>
              </w:rPr>
            </w:pPr>
          </w:p>
        </w:tc>
        <w:tc>
          <w:tcPr>
            <w:tcW w:w="850" w:type="dxa"/>
            <w:tcBorders>
              <w:top w:val="nil"/>
              <w:left w:val="nil"/>
              <w:bottom w:val="nil"/>
              <w:right w:val="single" w:sz="4" w:space="0" w:color="auto"/>
            </w:tcBorders>
            <w:shd w:val="clear" w:color="auto" w:fill="auto"/>
            <w:noWrap/>
            <w:vAlign w:val="center"/>
          </w:tcPr>
          <w:p w14:paraId="657827D8" w14:textId="6A9BC17C" w:rsidR="0038558A" w:rsidRPr="0038558A" w:rsidRDefault="0038558A" w:rsidP="0038558A">
            <w:pPr>
              <w:jc w:val="center"/>
              <w:rPr>
                <w:rFonts w:ascii="Calibri" w:hAnsi="Calibri" w:cs="Times New Roman"/>
                <w:b/>
                <w:bCs/>
                <w:lang w:eastAsia="en-GB"/>
              </w:rPr>
            </w:pPr>
          </w:p>
        </w:tc>
        <w:tc>
          <w:tcPr>
            <w:tcW w:w="1134" w:type="dxa"/>
            <w:tcBorders>
              <w:top w:val="nil"/>
              <w:left w:val="nil"/>
              <w:bottom w:val="nil"/>
              <w:right w:val="single" w:sz="4" w:space="0" w:color="auto"/>
            </w:tcBorders>
            <w:shd w:val="clear" w:color="auto" w:fill="auto"/>
            <w:noWrap/>
            <w:vAlign w:val="center"/>
          </w:tcPr>
          <w:p w14:paraId="4D9D6D0C" w14:textId="590687FC" w:rsidR="0038558A" w:rsidRPr="0038558A" w:rsidRDefault="0038558A" w:rsidP="0038558A">
            <w:pPr>
              <w:jc w:val="center"/>
              <w:rPr>
                <w:rFonts w:ascii="Calibri" w:hAnsi="Calibri" w:cs="Times New Roman"/>
                <w:b/>
                <w:bCs/>
                <w:lang w:eastAsia="en-GB"/>
              </w:rPr>
            </w:pPr>
          </w:p>
        </w:tc>
      </w:tr>
      <w:tr w:rsidR="0038558A" w:rsidRPr="0038558A" w14:paraId="007492D4" w14:textId="77777777" w:rsidTr="00F51D8F">
        <w:trPr>
          <w:trHeight w:val="397"/>
        </w:trPr>
        <w:tc>
          <w:tcPr>
            <w:tcW w:w="1804" w:type="dxa"/>
            <w:tcBorders>
              <w:top w:val="nil"/>
              <w:left w:val="single" w:sz="4" w:space="0" w:color="auto"/>
              <w:bottom w:val="single" w:sz="4" w:space="0" w:color="auto"/>
              <w:right w:val="single" w:sz="4" w:space="0" w:color="auto"/>
            </w:tcBorders>
            <w:vAlign w:val="center"/>
          </w:tcPr>
          <w:p w14:paraId="1B6B9EB1" w14:textId="77777777" w:rsidR="0038558A" w:rsidRPr="0038558A" w:rsidRDefault="0038558A" w:rsidP="0038558A">
            <w:pPr>
              <w:jc w:val="center"/>
              <w:rPr>
                <w:rFonts w:ascii="Calibri" w:hAnsi="Calibri" w:cs="Times New Roman"/>
                <w:b/>
                <w:bCs/>
                <w:lang w:eastAsia="en-GB"/>
              </w:rPr>
            </w:pPr>
            <w:r w:rsidRPr="0038558A">
              <w:rPr>
                <w:rFonts w:ascii="Calibri" w:hAnsi="Calibri" w:cs="Times New Roman"/>
                <w:b/>
                <w:bCs/>
                <w:lang w:eastAsia="en-GB"/>
              </w:rPr>
              <w:t>Great Baddow</w:t>
            </w:r>
          </w:p>
        </w:tc>
        <w:tc>
          <w:tcPr>
            <w:tcW w:w="1555" w:type="dxa"/>
            <w:tcBorders>
              <w:top w:val="nil"/>
              <w:left w:val="single" w:sz="4" w:space="0" w:color="auto"/>
              <w:bottom w:val="single" w:sz="4" w:space="0" w:color="auto"/>
              <w:right w:val="single" w:sz="4" w:space="0" w:color="auto"/>
            </w:tcBorders>
            <w:shd w:val="clear" w:color="auto" w:fill="auto"/>
            <w:vAlign w:val="center"/>
          </w:tcPr>
          <w:p w14:paraId="0AB39E82" w14:textId="45D7FC4D" w:rsidR="0038558A" w:rsidRPr="0038558A" w:rsidRDefault="0038558A" w:rsidP="0038558A">
            <w:pPr>
              <w:jc w:val="center"/>
              <w:rPr>
                <w:rFonts w:ascii="Calibri" w:hAnsi="Calibri" w:cs="Times New Roman"/>
                <w:b/>
                <w:bCs/>
                <w:lang w:eastAsia="en-GB"/>
              </w:rPr>
            </w:pPr>
            <w:r>
              <w:rPr>
                <w:rFonts w:ascii="Calibri" w:hAnsi="Calibri" w:cs="Times New Roman"/>
                <w:b/>
                <w:bCs/>
                <w:lang w:eastAsia="en-GB"/>
              </w:rPr>
              <w:t>18</w:t>
            </w:r>
          </w:p>
        </w:tc>
        <w:tc>
          <w:tcPr>
            <w:tcW w:w="1701" w:type="dxa"/>
            <w:tcBorders>
              <w:top w:val="nil"/>
              <w:left w:val="nil"/>
              <w:bottom w:val="single" w:sz="4" w:space="0" w:color="auto"/>
              <w:right w:val="single" w:sz="4" w:space="0" w:color="auto"/>
            </w:tcBorders>
            <w:shd w:val="clear" w:color="auto" w:fill="auto"/>
            <w:noWrap/>
            <w:vAlign w:val="center"/>
          </w:tcPr>
          <w:p w14:paraId="27D4892A" w14:textId="2A94019C" w:rsidR="0038558A" w:rsidRPr="0038558A" w:rsidRDefault="0038558A" w:rsidP="0038558A">
            <w:pPr>
              <w:jc w:val="center"/>
              <w:rPr>
                <w:rFonts w:ascii="Calibri" w:hAnsi="Calibri" w:cs="Times New Roman"/>
                <w:b/>
                <w:bCs/>
                <w:lang w:eastAsia="en-GB"/>
              </w:rPr>
            </w:pPr>
            <w:r>
              <w:rPr>
                <w:rFonts w:ascii="Calibri" w:hAnsi="Calibri" w:cs="Times New Roman"/>
                <w:b/>
                <w:bCs/>
                <w:lang w:eastAsia="en-GB"/>
              </w:rPr>
              <w:t>2</w:t>
            </w:r>
          </w:p>
        </w:tc>
        <w:tc>
          <w:tcPr>
            <w:tcW w:w="2126" w:type="dxa"/>
            <w:tcBorders>
              <w:top w:val="nil"/>
              <w:left w:val="nil"/>
              <w:bottom w:val="single" w:sz="4" w:space="0" w:color="auto"/>
              <w:right w:val="single" w:sz="4" w:space="0" w:color="auto"/>
            </w:tcBorders>
            <w:shd w:val="clear" w:color="auto" w:fill="auto"/>
            <w:noWrap/>
            <w:vAlign w:val="center"/>
          </w:tcPr>
          <w:p w14:paraId="1F9EE2FB" w14:textId="67096B06" w:rsidR="0038558A" w:rsidRPr="0038558A" w:rsidRDefault="0038558A" w:rsidP="0038558A">
            <w:pPr>
              <w:jc w:val="center"/>
              <w:rPr>
                <w:rFonts w:ascii="Calibri" w:hAnsi="Calibri" w:cs="Times New Roman"/>
                <w:b/>
                <w:bCs/>
                <w:lang w:eastAsia="en-GB"/>
              </w:rPr>
            </w:pPr>
          </w:p>
        </w:tc>
        <w:tc>
          <w:tcPr>
            <w:tcW w:w="850" w:type="dxa"/>
            <w:tcBorders>
              <w:top w:val="nil"/>
              <w:left w:val="nil"/>
              <w:bottom w:val="single" w:sz="4" w:space="0" w:color="auto"/>
              <w:right w:val="single" w:sz="4" w:space="0" w:color="auto"/>
            </w:tcBorders>
            <w:shd w:val="clear" w:color="auto" w:fill="auto"/>
            <w:noWrap/>
            <w:vAlign w:val="center"/>
          </w:tcPr>
          <w:p w14:paraId="2D767F0B" w14:textId="545E6AFA" w:rsidR="0038558A" w:rsidRPr="0038558A" w:rsidRDefault="0038558A" w:rsidP="0038558A">
            <w:pPr>
              <w:jc w:val="center"/>
              <w:rPr>
                <w:rFonts w:ascii="Calibri" w:hAnsi="Calibri" w:cs="Times New Roman"/>
                <w:b/>
                <w:bCs/>
                <w:lang w:eastAsia="en-GB"/>
              </w:rPr>
            </w:pPr>
          </w:p>
        </w:tc>
        <w:tc>
          <w:tcPr>
            <w:tcW w:w="1134" w:type="dxa"/>
            <w:tcBorders>
              <w:top w:val="nil"/>
              <w:left w:val="nil"/>
              <w:bottom w:val="single" w:sz="4" w:space="0" w:color="auto"/>
              <w:right w:val="single" w:sz="4" w:space="0" w:color="auto"/>
            </w:tcBorders>
            <w:shd w:val="clear" w:color="auto" w:fill="auto"/>
            <w:noWrap/>
            <w:vAlign w:val="center"/>
          </w:tcPr>
          <w:p w14:paraId="35F483E4" w14:textId="745AA44F" w:rsidR="0038558A" w:rsidRPr="0038558A" w:rsidRDefault="0038558A" w:rsidP="0038558A">
            <w:pPr>
              <w:jc w:val="center"/>
              <w:rPr>
                <w:rFonts w:ascii="Calibri" w:hAnsi="Calibri" w:cs="Times New Roman"/>
                <w:b/>
                <w:bCs/>
                <w:lang w:eastAsia="en-GB"/>
              </w:rPr>
            </w:pPr>
          </w:p>
        </w:tc>
      </w:tr>
    </w:tbl>
    <w:p w14:paraId="3EC1F319" w14:textId="2A4138D5" w:rsidR="00A26995" w:rsidRDefault="00A26995" w:rsidP="000F1C23">
      <w:pPr>
        <w:pStyle w:val="ListParagraph"/>
        <w:ind w:left="360"/>
        <w:rPr>
          <w:highlight w:val="yellow"/>
        </w:rPr>
      </w:pPr>
    </w:p>
    <w:p w14:paraId="73D3ADEE" w14:textId="77777777" w:rsidR="00A26995" w:rsidRPr="007D6C3F" w:rsidRDefault="00A26995" w:rsidP="000F1C23">
      <w:pPr>
        <w:pStyle w:val="ListParagraph"/>
        <w:ind w:left="360"/>
        <w:rPr>
          <w:highlight w:val="yellow"/>
        </w:rPr>
      </w:pPr>
    </w:p>
    <w:p w14:paraId="622B6326" w14:textId="61488614" w:rsidR="000E0229" w:rsidRPr="009341FC" w:rsidRDefault="000E0229" w:rsidP="00287195">
      <w:pPr>
        <w:pStyle w:val="ListParagraph"/>
        <w:numPr>
          <w:ilvl w:val="0"/>
          <w:numId w:val="19"/>
        </w:numPr>
        <w:rPr>
          <w:b/>
        </w:rPr>
      </w:pPr>
      <w:r w:rsidRPr="009341FC">
        <w:rPr>
          <w:b/>
        </w:rPr>
        <w:t>Special appliance relocation project</w:t>
      </w:r>
      <w:r w:rsidR="000F1C23" w:rsidRPr="009341FC">
        <w:rPr>
          <w:b/>
        </w:rPr>
        <w:t xml:space="preserve"> – IN PROGRESS</w:t>
      </w:r>
    </w:p>
    <w:p w14:paraId="364C9C4F" w14:textId="6A6A6640" w:rsidR="005257A4" w:rsidRPr="009341FC" w:rsidRDefault="005257A4" w:rsidP="005257A4">
      <w:pPr>
        <w:pStyle w:val="ListParagraph"/>
        <w:ind w:left="360"/>
        <w:rPr>
          <w:i/>
        </w:rPr>
      </w:pPr>
      <w:r w:rsidRPr="009341FC">
        <w:rPr>
          <w:i/>
        </w:rPr>
        <w:t>Review of the Service specialist capability asset numbers and locations following the programme 2020 options for change and agreed operational model. Delivery of any agreed movements and changes.</w:t>
      </w:r>
    </w:p>
    <w:p w14:paraId="0EE18CBB" w14:textId="15E63016" w:rsidR="005257A4" w:rsidRPr="009341FC" w:rsidRDefault="005257A4" w:rsidP="005257A4">
      <w:pPr>
        <w:pStyle w:val="ListParagraph"/>
        <w:ind w:left="360"/>
        <w:rPr>
          <w:i/>
        </w:rPr>
      </w:pPr>
    </w:p>
    <w:p w14:paraId="6F822393" w14:textId="05EE44AA" w:rsidR="005257A4" w:rsidRPr="009341FC" w:rsidRDefault="005257A4" w:rsidP="005257A4">
      <w:pPr>
        <w:pStyle w:val="ListParagraph"/>
        <w:ind w:left="360"/>
      </w:pPr>
      <w:r w:rsidRPr="009341FC">
        <w:t xml:space="preserve">The initial review of locations has been completed and the project is now in the process of undertaking the relocations. </w:t>
      </w:r>
    </w:p>
    <w:p w14:paraId="20CCEF8C" w14:textId="3000D887" w:rsidR="005257A4" w:rsidRPr="009341FC" w:rsidRDefault="005257A4" w:rsidP="005257A4">
      <w:pPr>
        <w:pStyle w:val="ListParagraph"/>
        <w:ind w:left="360"/>
      </w:pPr>
    </w:p>
    <w:p w14:paraId="2B7F8F95" w14:textId="2C36CD32" w:rsidR="005257A4" w:rsidRPr="009341FC" w:rsidRDefault="005257A4" w:rsidP="005257A4">
      <w:pPr>
        <w:pStyle w:val="ListParagraph"/>
        <w:ind w:left="360"/>
      </w:pPr>
      <w:r w:rsidRPr="009341FC">
        <w:t>Completed relocations:</w:t>
      </w:r>
    </w:p>
    <w:p w14:paraId="7D137CB1" w14:textId="6320C8EB" w:rsidR="005257A4" w:rsidRPr="009341FC" w:rsidRDefault="005257A4" w:rsidP="005257A4">
      <w:pPr>
        <w:pStyle w:val="ListParagraph"/>
        <w:ind w:left="360"/>
      </w:pPr>
      <w:r w:rsidRPr="009341FC">
        <w:t>Incident command united relocated from Clacton to Frinton - January 2018</w:t>
      </w:r>
    </w:p>
    <w:p w14:paraId="463AB7EE" w14:textId="56614CB5" w:rsidR="005257A4" w:rsidRPr="009341FC" w:rsidRDefault="005257A4" w:rsidP="005257A4">
      <w:pPr>
        <w:pStyle w:val="ListParagraph"/>
        <w:ind w:left="360"/>
      </w:pPr>
      <w:r w:rsidRPr="009341FC">
        <w:t>Water bowser relocated from Chelmsford to Corringham - November 2017</w:t>
      </w:r>
    </w:p>
    <w:p w14:paraId="7BC8C233" w14:textId="2FD1EE5A" w:rsidR="005257A4" w:rsidRPr="009341FC" w:rsidRDefault="005257A4" w:rsidP="005257A4">
      <w:pPr>
        <w:pStyle w:val="ListParagraph"/>
        <w:ind w:left="360"/>
      </w:pPr>
      <w:r w:rsidRPr="009341FC">
        <w:t>Aerial Ladder Platform (ALP) removed from Harlow - May 2018</w:t>
      </w:r>
    </w:p>
    <w:p w14:paraId="656E9DE4" w14:textId="5A38715D" w:rsidR="005257A4" w:rsidRPr="009341FC" w:rsidRDefault="005257A4" w:rsidP="005257A4">
      <w:pPr>
        <w:pStyle w:val="ListParagraph"/>
        <w:ind w:left="360"/>
      </w:pPr>
      <w:r w:rsidRPr="009341FC">
        <w:t>Detection Identification Monitoring vehicle (DIM) relocated from Epping to Harlow May 2018</w:t>
      </w:r>
    </w:p>
    <w:p w14:paraId="5E1F12D9" w14:textId="2E51D8AE" w:rsidR="009341FC" w:rsidRDefault="009341FC" w:rsidP="005257A4">
      <w:pPr>
        <w:pStyle w:val="ListParagraph"/>
        <w:ind w:left="360"/>
      </w:pPr>
    </w:p>
    <w:p w14:paraId="14F257DE" w14:textId="6FAA9F7E" w:rsidR="009341FC" w:rsidRPr="00C67AC1" w:rsidRDefault="009341FC" w:rsidP="005257A4">
      <w:pPr>
        <w:pStyle w:val="ListParagraph"/>
        <w:ind w:left="360"/>
      </w:pPr>
      <w:r w:rsidRPr="00C67AC1">
        <w:t>Training continues to enable the remaining conversions to</w:t>
      </w:r>
      <w:r w:rsidR="00C67AC1" w:rsidRPr="00C67AC1">
        <w:t xml:space="preserve"> take place.</w:t>
      </w:r>
      <w:r w:rsidR="005D17A6">
        <w:t xml:space="preserve"> The final arrangements are underway for t</w:t>
      </w:r>
      <w:r w:rsidR="00C67AC1" w:rsidRPr="00C67AC1">
        <w:t xml:space="preserve">he </w:t>
      </w:r>
      <w:r w:rsidR="005D17A6">
        <w:t>transfer of s</w:t>
      </w:r>
      <w:r w:rsidR="00C67AC1" w:rsidRPr="00C67AC1">
        <w:t>wift water rescue from Wal</w:t>
      </w:r>
      <w:r w:rsidR="005D17A6">
        <w:t>tham Abbey to Loughton and the a</w:t>
      </w:r>
      <w:r w:rsidR="00C67AC1" w:rsidRPr="00C67AC1">
        <w:t>nimal</w:t>
      </w:r>
      <w:r w:rsidR="005D17A6">
        <w:t xml:space="preserve"> r</w:t>
      </w:r>
      <w:r w:rsidR="00C67AC1" w:rsidRPr="00C67AC1">
        <w:t xml:space="preserve">escue </w:t>
      </w:r>
      <w:r w:rsidR="005D17A6">
        <w:t xml:space="preserve">unit </w:t>
      </w:r>
      <w:r w:rsidR="00C67AC1" w:rsidRPr="00C67AC1">
        <w:t>from South Woodham Ferrers to Chelmsford</w:t>
      </w:r>
      <w:r w:rsidR="005D17A6">
        <w:t>.</w:t>
      </w:r>
    </w:p>
    <w:p w14:paraId="3F4BEBF2" w14:textId="4DD45F03" w:rsidR="00D115CE" w:rsidRPr="00C67AC1" w:rsidRDefault="00D115CE" w:rsidP="00C67AC1">
      <w:pPr>
        <w:pStyle w:val="ListParagraph"/>
        <w:ind w:left="360"/>
      </w:pPr>
    </w:p>
    <w:p w14:paraId="6A0CFF23" w14:textId="6CB6306F" w:rsidR="001B06CF" w:rsidRDefault="005D17A6" w:rsidP="005257A4">
      <w:pPr>
        <w:pStyle w:val="ListParagraph"/>
        <w:ind w:left="360"/>
      </w:pPr>
      <w:r>
        <w:t xml:space="preserve">The transfer of </w:t>
      </w:r>
      <w:r w:rsidR="00D115CE" w:rsidRPr="00C67AC1">
        <w:t xml:space="preserve">Swift </w:t>
      </w:r>
      <w:r>
        <w:t>W</w:t>
      </w:r>
      <w:r w:rsidR="00D115CE" w:rsidRPr="00C67AC1">
        <w:t xml:space="preserve">ater </w:t>
      </w:r>
      <w:r>
        <w:t>R</w:t>
      </w:r>
      <w:r w:rsidR="00D115CE" w:rsidRPr="00C67AC1">
        <w:t xml:space="preserve">escue </w:t>
      </w:r>
      <w:r>
        <w:t xml:space="preserve">from Dovercourt to Colchester is still due to occur in </w:t>
      </w:r>
      <w:r w:rsidR="00D115CE" w:rsidRPr="00C67AC1">
        <w:t>November 2019</w:t>
      </w:r>
    </w:p>
    <w:p w14:paraId="0CC33C8D" w14:textId="7758B0CD" w:rsidR="009341FC" w:rsidRDefault="009341FC" w:rsidP="005257A4">
      <w:pPr>
        <w:pStyle w:val="ListParagraph"/>
        <w:ind w:left="360"/>
      </w:pPr>
    </w:p>
    <w:p w14:paraId="6D9E9F55" w14:textId="77777777" w:rsidR="00BC7141" w:rsidRPr="00BC7141" w:rsidRDefault="00BC7141" w:rsidP="00BC7141">
      <w:pPr>
        <w:pStyle w:val="ListParagraph"/>
        <w:ind w:left="360"/>
      </w:pPr>
    </w:p>
    <w:p w14:paraId="4A00CCEB" w14:textId="19A19769" w:rsidR="000E0229" w:rsidRPr="007D6C3F" w:rsidRDefault="000E0229" w:rsidP="00287195">
      <w:pPr>
        <w:pStyle w:val="ListParagraph"/>
        <w:numPr>
          <w:ilvl w:val="0"/>
          <w:numId w:val="19"/>
        </w:numPr>
        <w:rPr>
          <w:b/>
        </w:rPr>
      </w:pPr>
      <w:r w:rsidRPr="007D6C3F">
        <w:rPr>
          <w:b/>
        </w:rPr>
        <w:t>Off-road vehicle replacement</w:t>
      </w:r>
      <w:r w:rsidR="000F1C23" w:rsidRPr="007D6C3F">
        <w:rPr>
          <w:b/>
        </w:rPr>
        <w:t xml:space="preserve"> – IN PROGRESS</w:t>
      </w:r>
    </w:p>
    <w:p w14:paraId="4F5CB65C" w14:textId="1CE41FF7" w:rsidR="00BC7141" w:rsidRPr="007D6C3F" w:rsidRDefault="00BC7141" w:rsidP="00BC7141">
      <w:pPr>
        <w:pStyle w:val="ListParagraph"/>
        <w:ind w:left="360"/>
        <w:jc w:val="both"/>
        <w:rPr>
          <w:i/>
        </w:rPr>
      </w:pPr>
      <w:r w:rsidRPr="007D6C3F">
        <w:rPr>
          <w:i/>
        </w:rPr>
        <w:t>Replacement of the existing Pinzgauers as they reach end of life with specific off-road capability vehicles. This includes specification development, procurement, training and roll out.</w:t>
      </w:r>
    </w:p>
    <w:p w14:paraId="0A493E90" w14:textId="77777777" w:rsidR="00C67AC1" w:rsidRDefault="00C67AC1" w:rsidP="00C67AC1">
      <w:pPr>
        <w:pStyle w:val="ListParagraph"/>
        <w:ind w:left="360"/>
        <w:jc w:val="both"/>
      </w:pPr>
    </w:p>
    <w:p w14:paraId="76AB1541" w14:textId="74569872" w:rsidR="00BC7141" w:rsidRPr="007D6C3F" w:rsidRDefault="00C67AC1" w:rsidP="00C67AC1">
      <w:pPr>
        <w:pStyle w:val="ListParagraph"/>
        <w:ind w:left="360"/>
        <w:jc w:val="both"/>
      </w:pPr>
      <w:r>
        <w:t xml:space="preserve">There will be a delay in the delivery of the replacement vehicles from the body builder – build dates are now expected in April and May 2019. </w:t>
      </w:r>
    </w:p>
    <w:p w14:paraId="12B510F8" w14:textId="434126AE" w:rsidR="00C67AC1" w:rsidRPr="000F1C23" w:rsidRDefault="00C67AC1" w:rsidP="00C67AC1">
      <w:pPr>
        <w:pStyle w:val="ListParagraph"/>
        <w:ind w:left="360"/>
      </w:pPr>
    </w:p>
    <w:p w14:paraId="5AF7B1EC" w14:textId="5FF7B15B" w:rsidR="000E0229" w:rsidRPr="004D538B" w:rsidRDefault="000E0229" w:rsidP="00287195">
      <w:pPr>
        <w:pStyle w:val="ListParagraph"/>
        <w:numPr>
          <w:ilvl w:val="0"/>
          <w:numId w:val="19"/>
        </w:numPr>
        <w:rPr>
          <w:b/>
        </w:rPr>
      </w:pPr>
      <w:r w:rsidRPr="004D538B">
        <w:rPr>
          <w:b/>
        </w:rPr>
        <w:t>Firefighters delivering differently</w:t>
      </w:r>
      <w:r w:rsidR="000F1C23" w:rsidRPr="004D538B">
        <w:rPr>
          <w:b/>
        </w:rPr>
        <w:t xml:space="preserve"> – IN </w:t>
      </w:r>
      <w:r w:rsidR="0013760C">
        <w:rPr>
          <w:b/>
        </w:rPr>
        <w:t>CLOSURE</w:t>
      </w:r>
    </w:p>
    <w:p w14:paraId="106309C0" w14:textId="2CE6EAE4" w:rsidR="000F1C23" w:rsidRPr="004D538B" w:rsidRDefault="004715EC" w:rsidP="004715EC">
      <w:pPr>
        <w:pStyle w:val="ListParagraph"/>
        <w:ind w:left="360"/>
        <w:jc w:val="both"/>
        <w:rPr>
          <w:i/>
        </w:rPr>
      </w:pPr>
      <w:r w:rsidRPr="004D538B">
        <w:rPr>
          <w:i/>
        </w:rPr>
        <w:t>Roll out of new approach to delivering community safety activity using experience gained in the 2015 Delivering Differently in Neighbourhoods pilot. Rolling out across all On-Call and whole</w:t>
      </w:r>
      <w:r w:rsidR="00C85209">
        <w:rPr>
          <w:i/>
        </w:rPr>
        <w:t>-</w:t>
      </w:r>
      <w:r w:rsidRPr="004D538B">
        <w:rPr>
          <w:i/>
        </w:rPr>
        <w:t xml:space="preserve">time fire stations, Firefighters will be more involved in </w:t>
      </w:r>
      <w:r w:rsidRPr="004D538B">
        <w:rPr>
          <w:i/>
        </w:rPr>
        <w:lastRenderedPageBreak/>
        <w:t>determining what community safety activity happens in their local area and local communities engaged.</w:t>
      </w:r>
    </w:p>
    <w:p w14:paraId="45ED30BE" w14:textId="3E92000B" w:rsidR="004715EC" w:rsidRPr="004D538B" w:rsidRDefault="004715EC" w:rsidP="004715EC">
      <w:pPr>
        <w:pStyle w:val="ListParagraph"/>
        <w:ind w:left="360"/>
        <w:jc w:val="both"/>
      </w:pPr>
    </w:p>
    <w:p w14:paraId="1CD636C8" w14:textId="72BB2C15" w:rsidR="004641B4" w:rsidRDefault="004641B4" w:rsidP="004715EC">
      <w:pPr>
        <w:pStyle w:val="ListParagraph"/>
        <w:ind w:left="360"/>
        <w:jc w:val="both"/>
      </w:pPr>
      <w:r>
        <w:t>Th</w:t>
      </w:r>
      <w:r w:rsidR="00230BD7">
        <w:t xml:space="preserve">e project is now in closure and effort will now focus on aligning responsibility for delivery of safer community activity to fire stations. </w:t>
      </w:r>
    </w:p>
    <w:p w14:paraId="622AD2AC" w14:textId="77777777" w:rsidR="004715EC" w:rsidRDefault="004715EC" w:rsidP="004715EC">
      <w:pPr>
        <w:pStyle w:val="ListParagraph"/>
        <w:ind w:left="360"/>
        <w:jc w:val="both"/>
      </w:pPr>
    </w:p>
    <w:p w14:paraId="637C3086" w14:textId="77777777" w:rsidR="004715EC" w:rsidRPr="000F1C23" w:rsidRDefault="004715EC" w:rsidP="000F1C23">
      <w:pPr>
        <w:pStyle w:val="ListParagraph"/>
        <w:ind w:left="360"/>
      </w:pPr>
    </w:p>
    <w:p w14:paraId="0284056C" w14:textId="19E7FB68" w:rsidR="00BC7141" w:rsidRDefault="000E0229" w:rsidP="00BC7141">
      <w:pPr>
        <w:pStyle w:val="ListParagraph"/>
        <w:numPr>
          <w:ilvl w:val="0"/>
          <w:numId w:val="19"/>
        </w:numPr>
        <w:rPr>
          <w:b/>
        </w:rPr>
      </w:pPr>
      <w:r w:rsidRPr="000F1C23">
        <w:rPr>
          <w:b/>
        </w:rPr>
        <w:t>Home safety model</w:t>
      </w:r>
      <w:r w:rsidR="000F1C23">
        <w:rPr>
          <w:b/>
        </w:rPr>
        <w:t xml:space="preserve"> – </w:t>
      </w:r>
      <w:r w:rsidR="007D6C3F">
        <w:rPr>
          <w:b/>
        </w:rPr>
        <w:t>COMPLETE</w:t>
      </w:r>
    </w:p>
    <w:p w14:paraId="4BAC1951" w14:textId="735AEEB2" w:rsidR="00A03EF4" w:rsidRPr="004715EC" w:rsidRDefault="00A03EF4" w:rsidP="00BC7141">
      <w:pPr>
        <w:pStyle w:val="ListParagraph"/>
        <w:ind w:left="360"/>
        <w:rPr>
          <w:b/>
          <w:i/>
        </w:rPr>
      </w:pPr>
      <w:r w:rsidRPr="004715EC">
        <w:rPr>
          <w:i/>
        </w:rPr>
        <w:t>This project was to build capacity to enable delivery of Safe and Well visits (Level 1 &amp; 2) which focus on a broader range of health issues, including issues relating to winter-related ill-health (including falls, social isolation, cold homes and flu) and home security.</w:t>
      </w:r>
    </w:p>
    <w:p w14:paraId="30ED1E50" w14:textId="1A686751" w:rsidR="00A03EF4" w:rsidRDefault="00A03EF4" w:rsidP="00A03EF4">
      <w:pPr>
        <w:pStyle w:val="ListParagraph"/>
        <w:ind w:left="360"/>
      </w:pPr>
    </w:p>
    <w:p w14:paraId="398622B1" w14:textId="44E103DD" w:rsidR="00BC7141" w:rsidRPr="00BC7141" w:rsidRDefault="007D6C3F" w:rsidP="00BC7141">
      <w:pPr>
        <w:pStyle w:val="ListParagraph"/>
        <w:ind w:left="360"/>
        <w:jc w:val="both"/>
      </w:pPr>
      <w:r>
        <w:t xml:space="preserve">Project closed. </w:t>
      </w:r>
    </w:p>
    <w:p w14:paraId="25DEA916" w14:textId="77777777" w:rsidR="00BC7141" w:rsidRPr="00BC7141" w:rsidRDefault="00BC7141" w:rsidP="00BC7141"/>
    <w:p w14:paraId="0672404E" w14:textId="5FF95963" w:rsidR="000F1C23" w:rsidRDefault="000F1C23" w:rsidP="000F1C23">
      <w:pPr>
        <w:pStyle w:val="ListParagraph"/>
        <w:numPr>
          <w:ilvl w:val="0"/>
          <w:numId w:val="19"/>
        </w:numPr>
        <w:rPr>
          <w:b/>
        </w:rPr>
      </w:pPr>
      <w:r>
        <w:rPr>
          <w:b/>
        </w:rPr>
        <w:t>Removal of the second appliance from Frinton - COMPLETE</w:t>
      </w:r>
    </w:p>
    <w:p w14:paraId="542A6CBB" w14:textId="77777777" w:rsidR="004715EC" w:rsidRPr="004715EC" w:rsidRDefault="000F1C23" w:rsidP="00BC7141">
      <w:pPr>
        <w:pStyle w:val="ListParagraph"/>
        <w:ind w:left="360"/>
        <w:jc w:val="both"/>
        <w:rPr>
          <w:i/>
        </w:rPr>
      </w:pPr>
      <w:r w:rsidRPr="004715EC">
        <w:rPr>
          <w:i/>
        </w:rPr>
        <w:t>The specific work to ensure timely removal of the second appliance from Frinton was treated separately form the other removals as the-time frames were different.</w:t>
      </w:r>
    </w:p>
    <w:p w14:paraId="00116D0C" w14:textId="77777777" w:rsidR="004715EC" w:rsidRDefault="004715EC" w:rsidP="00BC7141">
      <w:pPr>
        <w:pStyle w:val="ListParagraph"/>
        <w:ind w:left="360"/>
        <w:jc w:val="both"/>
      </w:pPr>
    </w:p>
    <w:p w14:paraId="55956716" w14:textId="5CE2B39D" w:rsidR="000F1C23" w:rsidRPr="000F1C23" w:rsidRDefault="000F1C23" w:rsidP="00BC7141">
      <w:pPr>
        <w:pStyle w:val="ListParagraph"/>
        <w:ind w:left="360"/>
        <w:jc w:val="both"/>
      </w:pPr>
      <w:r>
        <w:t>The appliance was removed from operational service on 3</w:t>
      </w:r>
      <w:r w:rsidRPr="000F1C23">
        <w:rPr>
          <w:vertAlign w:val="superscript"/>
        </w:rPr>
        <w:t>rd</w:t>
      </w:r>
      <w:r>
        <w:t xml:space="preserve"> January 2018. </w:t>
      </w:r>
    </w:p>
    <w:p w14:paraId="5E2306B8" w14:textId="77777777" w:rsidR="000F1C23" w:rsidRPr="000F1C23" w:rsidRDefault="000F1C23" w:rsidP="000F1C23">
      <w:pPr>
        <w:pStyle w:val="ListParagraph"/>
        <w:ind w:left="360"/>
      </w:pPr>
    </w:p>
    <w:p w14:paraId="03D820AC" w14:textId="77777777" w:rsidR="000E0229" w:rsidRDefault="000E0229" w:rsidP="000E0229"/>
    <w:p w14:paraId="1D0EE2A7" w14:textId="77777777" w:rsidR="00C0492F" w:rsidRPr="00E86436" w:rsidRDefault="00C0492F" w:rsidP="00C0492F">
      <w:pPr>
        <w:pStyle w:val="Heading1"/>
      </w:pPr>
      <w:r w:rsidRPr="00E86436">
        <w:t>Benefits and Risk Implications</w:t>
      </w:r>
    </w:p>
    <w:p w14:paraId="7F3106FC" w14:textId="5D807AC1" w:rsidR="001C5E31" w:rsidRDefault="00E86436" w:rsidP="00E86436">
      <w:pPr>
        <w:pStyle w:val="ListParagraph"/>
        <w:numPr>
          <w:ilvl w:val="0"/>
          <w:numId w:val="19"/>
        </w:numPr>
      </w:pPr>
      <w:r>
        <w:t xml:space="preserve">The risk around delivery of Programme 2020 is captured in </w:t>
      </w:r>
      <w:r w:rsidRPr="00E86436">
        <w:t>Strategic Risk SRR150018 - The Service does not deliver changes set out in the 2020 programme which identified financial savings and thus cannot deliver against its medium term financial plan.</w:t>
      </w:r>
      <w:r>
        <w:t xml:space="preserve"> The following control measures have been assigned:</w:t>
      </w:r>
    </w:p>
    <w:p w14:paraId="73E3E6D5" w14:textId="75A86EBB" w:rsidR="00E86436" w:rsidRDefault="007D7CA8" w:rsidP="007D7CA8">
      <w:pPr>
        <w:pStyle w:val="ListParagraph"/>
        <w:numPr>
          <w:ilvl w:val="1"/>
          <w:numId w:val="19"/>
        </w:numPr>
      </w:pPr>
      <w:r>
        <w:t>Reporting of Medium-t</w:t>
      </w:r>
      <w:r w:rsidRPr="007D7CA8">
        <w:t>e</w:t>
      </w:r>
      <w:r>
        <w:t>r</w:t>
      </w:r>
      <w:r w:rsidRPr="007D7CA8">
        <w:t>m financial plan to be included in monthly finance to SLT</w:t>
      </w:r>
      <w:r>
        <w:t>.</w:t>
      </w:r>
    </w:p>
    <w:p w14:paraId="59ACE4FB" w14:textId="21E5779D" w:rsidR="007D7CA8" w:rsidRDefault="007D7CA8" w:rsidP="007D7CA8">
      <w:pPr>
        <w:pStyle w:val="ListParagraph"/>
        <w:numPr>
          <w:ilvl w:val="1"/>
          <w:numId w:val="19"/>
        </w:numPr>
      </w:pPr>
      <w:r w:rsidRPr="007D7CA8">
        <w:t>Monthly reports of progress of the Service's progress against the On-call conversion programme</w:t>
      </w:r>
      <w:r>
        <w:t>.</w:t>
      </w:r>
    </w:p>
    <w:p w14:paraId="7B2A9919" w14:textId="58DB03D4" w:rsidR="007D7CA8" w:rsidRDefault="007D7CA8" w:rsidP="007D7CA8">
      <w:pPr>
        <w:pStyle w:val="ListParagraph"/>
        <w:numPr>
          <w:ilvl w:val="1"/>
          <w:numId w:val="19"/>
        </w:numPr>
      </w:pPr>
      <w:r w:rsidRPr="007D7CA8">
        <w:t>Complete a review of all projects within the 2020 programme, and provide a status and lessons learnt report</w:t>
      </w:r>
    </w:p>
    <w:p w14:paraId="652EC969" w14:textId="06706AA4" w:rsidR="007D7CA8" w:rsidRPr="00E86436" w:rsidRDefault="007D7CA8" w:rsidP="007D7CA8">
      <w:pPr>
        <w:pStyle w:val="ListParagraph"/>
        <w:numPr>
          <w:ilvl w:val="1"/>
          <w:numId w:val="19"/>
        </w:numPr>
      </w:pPr>
      <w:r w:rsidRPr="007D7CA8">
        <w:t>Produce a new implementation plan for 2020 programme for PFCC approval at P&amp;R 24 September 2018</w:t>
      </w:r>
      <w:r>
        <w:t>.</w:t>
      </w:r>
    </w:p>
    <w:p w14:paraId="16E5FCD7" w14:textId="77777777" w:rsidR="00251FD2" w:rsidRPr="00132E56" w:rsidRDefault="00251FD2" w:rsidP="00251FD2">
      <w:pPr>
        <w:pStyle w:val="ListParagraph"/>
        <w:ind w:left="360"/>
      </w:pPr>
    </w:p>
    <w:p w14:paraId="1021915C" w14:textId="77777777" w:rsidR="00C0492F" w:rsidRPr="004D0D05" w:rsidRDefault="00C0492F" w:rsidP="00A20145">
      <w:pPr>
        <w:pStyle w:val="Heading1"/>
      </w:pPr>
      <w:r w:rsidRPr="004D0D05">
        <w:t>Financial Implications</w:t>
      </w:r>
    </w:p>
    <w:p w14:paraId="72D2344F" w14:textId="6B3B0D92" w:rsidR="00C07D0F" w:rsidRPr="004D0D05" w:rsidRDefault="00021CAB" w:rsidP="001F60EB">
      <w:pPr>
        <w:pStyle w:val="ListParagraph"/>
        <w:numPr>
          <w:ilvl w:val="0"/>
          <w:numId w:val="19"/>
        </w:numPr>
      </w:pPr>
      <w:r w:rsidRPr="004D0D05">
        <w:t xml:space="preserve">The set of changes </w:t>
      </w:r>
      <w:r w:rsidR="004D0D05">
        <w:t xml:space="preserve">and strategy </w:t>
      </w:r>
      <w:r w:rsidRPr="004D0D05">
        <w:t>approved through Programme 2020</w:t>
      </w:r>
      <w:r w:rsidR="004D0D05">
        <w:t xml:space="preserve"> formed</w:t>
      </w:r>
      <w:r w:rsidR="0082109F" w:rsidRPr="004D0D05">
        <w:t xml:space="preserve"> the efficiency plan accepted by government and providing a </w:t>
      </w:r>
      <w:r w:rsidR="004D0D05" w:rsidRPr="004D0D05">
        <w:t>four-year</w:t>
      </w:r>
      <w:r w:rsidR="0082109F" w:rsidRPr="004D0D05">
        <w:t xml:space="preserve"> funding settlement (2016/17 to 2019/20).</w:t>
      </w:r>
    </w:p>
    <w:p w14:paraId="1D60434A" w14:textId="01326E89" w:rsidR="0082109F" w:rsidRPr="004D0D05" w:rsidRDefault="0082109F" w:rsidP="007D6C3F"/>
    <w:p w14:paraId="559187F9" w14:textId="77777777" w:rsidR="0082109F" w:rsidRPr="004D0D05" w:rsidRDefault="0082109F" w:rsidP="0082109F">
      <w:pPr>
        <w:pStyle w:val="ListParagraph"/>
        <w:numPr>
          <w:ilvl w:val="0"/>
          <w:numId w:val="19"/>
        </w:numPr>
      </w:pPr>
      <w:r w:rsidRPr="004D0D05">
        <w:t>The Authority’s ability to reduce costs through the changes to the crewing system for</w:t>
      </w:r>
    </w:p>
    <w:p w14:paraId="1EA0F05C" w14:textId="4B6A2DB0" w:rsidR="0082109F" w:rsidRDefault="0082109F" w:rsidP="0082109F">
      <w:pPr>
        <w:pStyle w:val="ListParagraph"/>
        <w:ind w:left="360"/>
        <w:jc w:val="both"/>
      </w:pPr>
      <w:r w:rsidRPr="004D0D05">
        <w:t>appliances from whole</w:t>
      </w:r>
      <w:r w:rsidR="00C85209">
        <w:t>-</w:t>
      </w:r>
      <w:r w:rsidRPr="004D0D05">
        <w:t xml:space="preserve">time firefighter to On-Call firefighters is largely determined by the speed at which new staff can be recruited, trained and developed to become competent firefighters. The use of reserves to balance the budget during the development period for On-Call firefighters </w:t>
      </w:r>
      <w:r w:rsidR="007D6C3F">
        <w:t>was</w:t>
      </w:r>
      <w:r w:rsidRPr="004D0D05">
        <w:t xml:space="preserve"> set out in the efficiency plan. </w:t>
      </w:r>
    </w:p>
    <w:p w14:paraId="4D343663" w14:textId="7745178F" w:rsidR="007D6C3F" w:rsidRDefault="007D6C3F" w:rsidP="0082109F">
      <w:pPr>
        <w:pStyle w:val="ListParagraph"/>
        <w:ind w:left="360"/>
        <w:jc w:val="both"/>
      </w:pPr>
    </w:p>
    <w:p w14:paraId="30A5CF5F" w14:textId="5AFAC903" w:rsidR="007D6C3F" w:rsidRPr="00E86436" w:rsidRDefault="00E86436" w:rsidP="007D6C3F">
      <w:pPr>
        <w:pStyle w:val="ListParagraph"/>
        <w:numPr>
          <w:ilvl w:val="0"/>
          <w:numId w:val="19"/>
        </w:numPr>
      </w:pPr>
      <w:r w:rsidRPr="00E86436">
        <w:t xml:space="preserve">The impact of the delays in the On-Call conversion project </w:t>
      </w:r>
      <w:r w:rsidR="004641B4">
        <w:t>have been</w:t>
      </w:r>
      <w:r w:rsidRPr="00E86436">
        <w:t xml:space="preserve"> factored into the 19/20 budget setting process and revision of the medium term financial plan. </w:t>
      </w:r>
    </w:p>
    <w:p w14:paraId="23162217" w14:textId="77777777" w:rsidR="007D6C3F" w:rsidRDefault="007D6C3F" w:rsidP="0082109F">
      <w:pPr>
        <w:pStyle w:val="ListParagraph"/>
        <w:ind w:left="360"/>
        <w:jc w:val="both"/>
      </w:pPr>
    </w:p>
    <w:p w14:paraId="052DBC41" w14:textId="77777777" w:rsidR="00C83F79" w:rsidRPr="00C83F79" w:rsidRDefault="00C83F79" w:rsidP="00C83F79">
      <w:pPr>
        <w:pStyle w:val="ListParagraph"/>
        <w:ind w:left="360"/>
      </w:pPr>
    </w:p>
    <w:p w14:paraId="469BBF56" w14:textId="77777777" w:rsidR="00C0492F" w:rsidRPr="007D6C3F" w:rsidRDefault="00C0492F" w:rsidP="00C0492F">
      <w:pPr>
        <w:pStyle w:val="Heading1"/>
      </w:pPr>
      <w:r w:rsidRPr="007D6C3F">
        <w:t>Equality and Diversity Implications</w:t>
      </w:r>
    </w:p>
    <w:p w14:paraId="60082925" w14:textId="77777777" w:rsidR="00784EB6" w:rsidRPr="007D6C3F" w:rsidRDefault="00BD3747" w:rsidP="00784EB6">
      <w:pPr>
        <w:pStyle w:val="ListParagraph"/>
        <w:numPr>
          <w:ilvl w:val="0"/>
          <w:numId w:val="19"/>
        </w:numPr>
      </w:pPr>
      <w:r w:rsidRPr="007D6C3F">
        <w:t xml:space="preserve">None arising from this report. </w:t>
      </w:r>
    </w:p>
    <w:p w14:paraId="341F67A7" w14:textId="77777777" w:rsidR="00784EB6" w:rsidRPr="007D6C3F" w:rsidRDefault="00784EB6" w:rsidP="00784EB6"/>
    <w:p w14:paraId="33D84B22" w14:textId="77777777" w:rsidR="00C07D0F" w:rsidRPr="007D6C3F" w:rsidRDefault="00C07D0F" w:rsidP="00C07D0F"/>
    <w:p w14:paraId="0BC72C8C" w14:textId="77777777" w:rsidR="00C0492F" w:rsidRPr="007D6C3F" w:rsidRDefault="00C0492F" w:rsidP="00C0492F">
      <w:pPr>
        <w:pStyle w:val="Heading1"/>
      </w:pPr>
      <w:r w:rsidRPr="007D6C3F">
        <w:t>Workforce Engagement</w:t>
      </w:r>
    </w:p>
    <w:p w14:paraId="180CB421" w14:textId="64E90F2B" w:rsidR="00C0492F" w:rsidRDefault="001C5E31" w:rsidP="004641B4">
      <w:pPr>
        <w:pStyle w:val="ListParagraph"/>
        <w:numPr>
          <w:ilvl w:val="0"/>
          <w:numId w:val="19"/>
        </w:numPr>
        <w:rPr>
          <w:noProof/>
        </w:rPr>
      </w:pPr>
      <w:r w:rsidRPr="007D6C3F">
        <w:t xml:space="preserve">None directly from this report. </w:t>
      </w:r>
    </w:p>
    <w:p w14:paraId="5BF7C1E8" w14:textId="362B5A52" w:rsidR="00C85209" w:rsidRDefault="00C85209" w:rsidP="00C85209">
      <w:pPr>
        <w:pStyle w:val="ListParagraph"/>
        <w:ind w:left="360"/>
      </w:pPr>
    </w:p>
    <w:p w14:paraId="3834C61E" w14:textId="77777777" w:rsidR="00C85209" w:rsidRPr="007D6C3F" w:rsidRDefault="00C85209" w:rsidP="00C85209">
      <w:pPr>
        <w:pStyle w:val="ListParagraph"/>
        <w:ind w:left="360"/>
        <w:rPr>
          <w:noProof/>
        </w:rPr>
      </w:pPr>
    </w:p>
    <w:p w14:paraId="3A670D10" w14:textId="77777777" w:rsidR="00C0492F" w:rsidRPr="007D6C3F" w:rsidRDefault="00A20145" w:rsidP="00C0492F">
      <w:pPr>
        <w:pStyle w:val="Heading1"/>
      </w:pPr>
      <w:r w:rsidRPr="007D6C3F">
        <w:lastRenderedPageBreak/>
        <w:t>Legal ImplicationS</w:t>
      </w:r>
    </w:p>
    <w:p w14:paraId="6F4D3283" w14:textId="3E76D549" w:rsidR="0013760C" w:rsidRDefault="00C24655" w:rsidP="005B2B7C">
      <w:pPr>
        <w:pStyle w:val="ListParagraph"/>
        <w:numPr>
          <w:ilvl w:val="0"/>
          <w:numId w:val="19"/>
        </w:numPr>
      </w:pPr>
      <w:r w:rsidRPr="007D6C3F">
        <w:t>None from the contents of this report.</w:t>
      </w:r>
    </w:p>
    <w:p w14:paraId="6FE13000" w14:textId="77777777" w:rsidR="0013760C" w:rsidRDefault="0013760C" w:rsidP="005B2B7C">
      <w:pPr>
        <w:pStyle w:val="ListParagraph"/>
        <w:ind w:left="360"/>
      </w:pPr>
    </w:p>
    <w:p w14:paraId="08EA5EB2" w14:textId="77777777" w:rsidR="0013760C" w:rsidRPr="007D6C3F" w:rsidRDefault="0013760C" w:rsidP="005B2B7C">
      <w:pPr>
        <w:pStyle w:val="ListParagraph"/>
        <w:ind w:left="360"/>
        <w:rPr>
          <w:noProof/>
        </w:rPr>
      </w:pPr>
    </w:p>
    <w:p w14:paraId="00370C33" w14:textId="5F7C8CED" w:rsidR="0013760C" w:rsidRDefault="0013760C" w:rsidP="003C7822">
      <w:pPr>
        <w:pStyle w:val="Heading1"/>
      </w:pPr>
      <w:r>
        <w:t>Health &amp; Safety</w:t>
      </w:r>
      <w:r w:rsidRPr="007D6C3F">
        <w:t xml:space="preserve"> ImplicationS</w:t>
      </w:r>
    </w:p>
    <w:p w14:paraId="05EA097B" w14:textId="45FF542E" w:rsidR="0013760C" w:rsidRPr="005B2B7C" w:rsidRDefault="0013760C" w:rsidP="005B2B7C">
      <w:pPr>
        <w:pStyle w:val="ListParagraph"/>
        <w:numPr>
          <w:ilvl w:val="0"/>
          <w:numId w:val="19"/>
        </w:numPr>
      </w:pPr>
      <w:r>
        <w:t>The Health and Safety at Work Etc. Act 1974 (HSWA) sets out the statutory duties of employers to put suitable arrangements in place to assess organisational risks and have suitable plans in place to reduce the risks to as low as reasonably possible.</w:t>
      </w:r>
      <w:r w:rsidRPr="0013760C">
        <w:rPr>
          <w:color w:val="000000"/>
        </w:rPr>
        <w:t xml:space="preserve"> </w:t>
      </w:r>
    </w:p>
    <w:p w14:paraId="5A4AD43E" w14:textId="77777777" w:rsidR="0013760C" w:rsidRPr="007D6C3F" w:rsidRDefault="0013760C" w:rsidP="005B2B7C"/>
    <w:p w14:paraId="52B4B10F" w14:textId="77777777" w:rsidR="00784EB6" w:rsidRPr="00784EB6" w:rsidRDefault="00784EB6" w:rsidP="00784EB6"/>
    <w:sectPr w:rsidR="00784EB6" w:rsidRPr="00784EB6" w:rsidSect="00A8212D">
      <w:type w:val="continuous"/>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FB730" w14:textId="77777777" w:rsidR="004F3663" w:rsidRDefault="004F3663">
      <w:r>
        <w:separator/>
      </w:r>
    </w:p>
  </w:endnote>
  <w:endnote w:type="continuationSeparator" w:id="0">
    <w:p w14:paraId="5C84A301" w14:textId="77777777" w:rsidR="004F3663" w:rsidRDefault="004F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F5E3" w14:textId="77777777" w:rsidR="00A8212D" w:rsidRDefault="00A8212D" w:rsidP="00A8212D">
    <w:pPr>
      <w:pStyle w:val="Footer"/>
      <w:jc w:val="center"/>
      <w:rPr>
        <w:sz w:val="22"/>
        <w:szCs w:val="22"/>
      </w:rPr>
    </w:pPr>
  </w:p>
  <w:p w14:paraId="377EA948" w14:textId="379BCB43" w:rsidR="00A8212D" w:rsidRPr="00A8212D" w:rsidRDefault="00A8212D"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A316AF">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A316AF">
      <w:rPr>
        <w:noProof/>
        <w:sz w:val="22"/>
        <w:szCs w:val="22"/>
      </w:rPr>
      <w:t>4</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6E55" w14:textId="77777777" w:rsidR="00C0492F" w:rsidRDefault="00C0492F" w:rsidP="00AA60E6">
    <w:pPr>
      <w:pStyle w:val="Footer"/>
      <w:jc w:val="center"/>
      <w:rPr>
        <w:sz w:val="22"/>
        <w:szCs w:val="22"/>
      </w:rPr>
    </w:pPr>
  </w:p>
  <w:p w14:paraId="16CF88D3" w14:textId="3903041C" w:rsidR="00C0492F" w:rsidRPr="00AA60E6" w:rsidRDefault="00C0492F"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A316AF">
      <w:rPr>
        <w:noProof/>
        <w:sz w:val="22"/>
        <w:szCs w:val="22"/>
      </w:rPr>
      <w:t>4</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A316AF">
      <w:rPr>
        <w:noProof/>
        <w:sz w:val="22"/>
        <w:szCs w:val="22"/>
      </w:rPr>
      <w:t>4</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5F08" w14:textId="672ABBB0" w:rsidR="00C0492F" w:rsidRPr="00AA60E6" w:rsidRDefault="00C0492F"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1A6DC6">
      <w:rPr>
        <w:noProof/>
        <w:sz w:val="22"/>
        <w:szCs w:val="22"/>
      </w:rPr>
      <w:t>6</w:t>
    </w:r>
    <w:r w:rsidRPr="00AA60E6">
      <w:rPr>
        <w:sz w:val="22"/>
        <w:szCs w:val="22"/>
      </w:rPr>
      <w:fldChar w:fldCharType="end"/>
    </w:r>
  </w:p>
  <w:p w14:paraId="5E5270A6" w14:textId="77777777" w:rsidR="00C0492F" w:rsidRDefault="00C0492F"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0F090" w14:textId="77777777" w:rsidR="004F3663" w:rsidRDefault="004F3663">
      <w:r>
        <w:separator/>
      </w:r>
    </w:p>
  </w:footnote>
  <w:footnote w:type="continuationSeparator" w:id="0">
    <w:p w14:paraId="5AEF2ABD" w14:textId="77777777" w:rsidR="004F3663" w:rsidRDefault="004F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03BF3" w14:textId="77777777" w:rsidR="00C0492F" w:rsidRPr="00A8212D" w:rsidRDefault="00C0492F" w:rsidP="00A8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F76E2"/>
    <w:multiLevelType w:val="hybridMultilevel"/>
    <w:tmpl w:val="D2D281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AA6187"/>
    <w:multiLevelType w:val="hybridMultilevel"/>
    <w:tmpl w:val="AEDA6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BB1FC0"/>
    <w:multiLevelType w:val="hybridMultilevel"/>
    <w:tmpl w:val="9460C1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872524"/>
    <w:multiLevelType w:val="hybridMultilevel"/>
    <w:tmpl w:val="643E260A"/>
    <w:lvl w:ilvl="0" w:tplc="DB40DE4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747C3"/>
    <w:multiLevelType w:val="hybridMultilevel"/>
    <w:tmpl w:val="954E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60457"/>
    <w:multiLevelType w:val="hybridMultilevel"/>
    <w:tmpl w:val="35E60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DC496E"/>
    <w:multiLevelType w:val="hybridMultilevel"/>
    <w:tmpl w:val="77A69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371D81"/>
    <w:multiLevelType w:val="hybridMultilevel"/>
    <w:tmpl w:val="FDBA8A7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9D1F64"/>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882806"/>
    <w:multiLevelType w:val="hybridMultilevel"/>
    <w:tmpl w:val="73C0F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5B0D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E848ED"/>
    <w:multiLevelType w:val="hybridMultilevel"/>
    <w:tmpl w:val="F322E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F3838"/>
    <w:multiLevelType w:val="hybridMultilevel"/>
    <w:tmpl w:val="DE5AB1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D1933DF"/>
    <w:multiLevelType w:val="hybridMultilevel"/>
    <w:tmpl w:val="AC745E6C"/>
    <w:lvl w:ilvl="0" w:tplc="08090001">
      <w:start w:val="1"/>
      <w:numFmt w:val="bullet"/>
      <w:lvlText w:val=""/>
      <w:lvlJc w:val="left"/>
      <w:pPr>
        <w:ind w:left="3072" w:hanging="360"/>
      </w:pPr>
      <w:rPr>
        <w:rFonts w:ascii="Symbol" w:hAnsi="Symbol" w:hint="default"/>
      </w:rPr>
    </w:lvl>
    <w:lvl w:ilvl="1" w:tplc="08090003" w:tentative="1">
      <w:start w:val="1"/>
      <w:numFmt w:val="bullet"/>
      <w:lvlText w:val="o"/>
      <w:lvlJc w:val="left"/>
      <w:pPr>
        <w:ind w:left="3792" w:hanging="360"/>
      </w:pPr>
      <w:rPr>
        <w:rFonts w:ascii="Courier New" w:hAnsi="Courier New" w:cs="Courier New" w:hint="default"/>
      </w:rPr>
    </w:lvl>
    <w:lvl w:ilvl="2" w:tplc="08090005" w:tentative="1">
      <w:start w:val="1"/>
      <w:numFmt w:val="bullet"/>
      <w:lvlText w:val=""/>
      <w:lvlJc w:val="left"/>
      <w:pPr>
        <w:ind w:left="4512" w:hanging="360"/>
      </w:pPr>
      <w:rPr>
        <w:rFonts w:ascii="Wingdings" w:hAnsi="Wingdings" w:hint="default"/>
      </w:rPr>
    </w:lvl>
    <w:lvl w:ilvl="3" w:tplc="08090001" w:tentative="1">
      <w:start w:val="1"/>
      <w:numFmt w:val="bullet"/>
      <w:lvlText w:val=""/>
      <w:lvlJc w:val="left"/>
      <w:pPr>
        <w:ind w:left="5232" w:hanging="360"/>
      </w:pPr>
      <w:rPr>
        <w:rFonts w:ascii="Symbol" w:hAnsi="Symbol" w:hint="default"/>
      </w:rPr>
    </w:lvl>
    <w:lvl w:ilvl="4" w:tplc="08090003" w:tentative="1">
      <w:start w:val="1"/>
      <w:numFmt w:val="bullet"/>
      <w:lvlText w:val="o"/>
      <w:lvlJc w:val="left"/>
      <w:pPr>
        <w:ind w:left="5952" w:hanging="360"/>
      </w:pPr>
      <w:rPr>
        <w:rFonts w:ascii="Courier New" w:hAnsi="Courier New" w:cs="Courier New" w:hint="default"/>
      </w:rPr>
    </w:lvl>
    <w:lvl w:ilvl="5" w:tplc="08090005" w:tentative="1">
      <w:start w:val="1"/>
      <w:numFmt w:val="bullet"/>
      <w:lvlText w:val=""/>
      <w:lvlJc w:val="left"/>
      <w:pPr>
        <w:ind w:left="6672" w:hanging="360"/>
      </w:pPr>
      <w:rPr>
        <w:rFonts w:ascii="Wingdings" w:hAnsi="Wingdings" w:hint="default"/>
      </w:rPr>
    </w:lvl>
    <w:lvl w:ilvl="6" w:tplc="08090001" w:tentative="1">
      <w:start w:val="1"/>
      <w:numFmt w:val="bullet"/>
      <w:lvlText w:val=""/>
      <w:lvlJc w:val="left"/>
      <w:pPr>
        <w:ind w:left="7392" w:hanging="360"/>
      </w:pPr>
      <w:rPr>
        <w:rFonts w:ascii="Symbol" w:hAnsi="Symbol" w:hint="default"/>
      </w:rPr>
    </w:lvl>
    <w:lvl w:ilvl="7" w:tplc="08090003" w:tentative="1">
      <w:start w:val="1"/>
      <w:numFmt w:val="bullet"/>
      <w:lvlText w:val="o"/>
      <w:lvlJc w:val="left"/>
      <w:pPr>
        <w:ind w:left="8112" w:hanging="360"/>
      </w:pPr>
      <w:rPr>
        <w:rFonts w:ascii="Courier New" w:hAnsi="Courier New" w:cs="Courier New" w:hint="default"/>
      </w:rPr>
    </w:lvl>
    <w:lvl w:ilvl="8" w:tplc="08090005" w:tentative="1">
      <w:start w:val="1"/>
      <w:numFmt w:val="bullet"/>
      <w:lvlText w:val=""/>
      <w:lvlJc w:val="left"/>
      <w:pPr>
        <w:ind w:left="8832" w:hanging="360"/>
      </w:pPr>
      <w:rPr>
        <w:rFonts w:ascii="Wingdings" w:hAnsi="Wingdings" w:hint="default"/>
      </w:rPr>
    </w:lvl>
  </w:abstractNum>
  <w:abstractNum w:abstractNumId="20"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99477EB"/>
    <w:multiLevelType w:val="hybridMultilevel"/>
    <w:tmpl w:val="8D522C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1317D9E"/>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DC4A71"/>
    <w:multiLevelType w:val="hybridMultilevel"/>
    <w:tmpl w:val="1EF05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E4B2F78"/>
    <w:multiLevelType w:val="hybridMultilevel"/>
    <w:tmpl w:val="756E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F20CED"/>
    <w:multiLevelType w:val="hybridMultilevel"/>
    <w:tmpl w:val="3F1EC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72111A"/>
    <w:multiLevelType w:val="multilevel"/>
    <w:tmpl w:val="992CCB4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0F2082"/>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7377A06"/>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C8B6B9C"/>
    <w:multiLevelType w:val="hybridMultilevel"/>
    <w:tmpl w:val="B908E312"/>
    <w:lvl w:ilvl="0" w:tplc="A20AF690">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FA97664"/>
    <w:multiLevelType w:val="hybridMultilevel"/>
    <w:tmpl w:val="34E6A908"/>
    <w:lvl w:ilvl="0" w:tplc="38C662EC">
      <w:start w:val="1"/>
      <w:numFmt w:val="bullet"/>
      <w:lvlText w:val=""/>
      <w:lvlJc w:val="left"/>
      <w:pPr>
        <w:ind w:left="720" w:hanging="360"/>
      </w:pPr>
      <w:rPr>
        <w:rFonts w:ascii="Symbol" w:hAnsi="Symbol" w:hint="default"/>
      </w:rPr>
    </w:lvl>
    <w:lvl w:ilvl="1" w:tplc="96A0DFC8">
      <w:start w:val="1"/>
      <w:numFmt w:val="bullet"/>
      <w:lvlText w:val="o"/>
      <w:lvlJc w:val="left"/>
      <w:pPr>
        <w:ind w:left="1440" w:hanging="360"/>
      </w:pPr>
      <w:rPr>
        <w:rFonts w:ascii="Courier New" w:hAnsi="Courier New" w:hint="default"/>
      </w:rPr>
    </w:lvl>
    <w:lvl w:ilvl="2" w:tplc="AC56D7DC">
      <w:start w:val="1"/>
      <w:numFmt w:val="bullet"/>
      <w:lvlText w:val=""/>
      <w:lvlJc w:val="left"/>
      <w:pPr>
        <w:ind w:left="2160" w:hanging="360"/>
      </w:pPr>
      <w:rPr>
        <w:rFonts w:ascii="Wingdings" w:hAnsi="Wingdings" w:hint="default"/>
      </w:rPr>
    </w:lvl>
    <w:lvl w:ilvl="3" w:tplc="8C30B4E8">
      <w:start w:val="1"/>
      <w:numFmt w:val="bullet"/>
      <w:lvlText w:val=""/>
      <w:lvlJc w:val="left"/>
      <w:pPr>
        <w:ind w:left="2880" w:hanging="360"/>
      </w:pPr>
      <w:rPr>
        <w:rFonts w:ascii="Symbol" w:hAnsi="Symbol" w:hint="default"/>
      </w:rPr>
    </w:lvl>
    <w:lvl w:ilvl="4" w:tplc="9C3E9098">
      <w:start w:val="1"/>
      <w:numFmt w:val="bullet"/>
      <w:lvlText w:val="o"/>
      <w:lvlJc w:val="left"/>
      <w:pPr>
        <w:ind w:left="3600" w:hanging="360"/>
      </w:pPr>
      <w:rPr>
        <w:rFonts w:ascii="Courier New" w:hAnsi="Courier New" w:hint="default"/>
      </w:rPr>
    </w:lvl>
    <w:lvl w:ilvl="5" w:tplc="C4D808DC">
      <w:start w:val="1"/>
      <w:numFmt w:val="bullet"/>
      <w:lvlText w:val=""/>
      <w:lvlJc w:val="left"/>
      <w:pPr>
        <w:ind w:left="4320" w:hanging="360"/>
      </w:pPr>
      <w:rPr>
        <w:rFonts w:ascii="Wingdings" w:hAnsi="Wingdings" w:hint="default"/>
      </w:rPr>
    </w:lvl>
    <w:lvl w:ilvl="6" w:tplc="3F645F98">
      <w:start w:val="1"/>
      <w:numFmt w:val="bullet"/>
      <w:lvlText w:val=""/>
      <w:lvlJc w:val="left"/>
      <w:pPr>
        <w:ind w:left="5040" w:hanging="360"/>
      </w:pPr>
      <w:rPr>
        <w:rFonts w:ascii="Symbol" w:hAnsi="Symbol" w:hint="default"/>
      </w:rPr>
    </w:lvl>
    <w:lvl w:ilvl="7" w:tplc="C738506A">
      <w:start w:val="1"/>
      <w:numFmt w:val="bullet"/>
      <w:lvlText w:val="o"/>
      <w:lvlJc w:val="left"/>
      <w:pPr>
        <w:ind w:left="5760" w:hanging="360"/>
      </w:pPr>
      <w:rPr>
        <w:rFonts w:ascii="Courier New" w:hAnsi="Courier New" w:hint="default"/>
      </w:rPr>
    </w:lvl>
    <w:lvl w:ilvl="8" w:tplc="5C50F538">
      <w:start w:val="1"/>
      <w:numFmt w:val="bullet"/>
      <w:lvlText w:val=""/>
      <w:lvlJc w:val="left"/>
      <w:pPr>
        <w:ind w:left="6480" w:hanging="360"/>
      </w:pPr>
      <w:rPr>
        <w:rFonts w:ascii="Wingdings" w:hAnsi="Wingdings" w:hint="default"/>
      </w:rPr>
    </w:lvl>
  </w:abstractNum>
  <w:abstractNum w:abstractNumId="32" w15:restartNumberingAfterBreak="0">
    <w:nsid w:val="74617AFC"/>
    <w:multiLevelType w:val="hybridMultilevel"/>
    <w:tmpl w:val="9E3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5"/>
  </w:num>
  <w:num w:numId="3">
    <w:abstractNumId w:val="20"/>
  </w:num>
  <w:num w:numId="4">
    <w:abstractNumId w:val="9"/>
  </w:num>
  <w:num w:numId="5">
    <w:abstractNumId w:val="0"/>
  </w:num>
  <w:num w:numId="6">
    <w:abstractNumId w:val="26"/>
  </w:num>
  <w:num w:numId="7">
    <w:abstractNumId w:val="14"/>
  </w:num>
  <w:num w:numId="8">
    <w:abstractNumId w:val="10"/>
  </w:num>
  <w:num w:numId="9">
    <w:abstractNumId w:val="1"/>
  </w:num>
  <w:num w:numId="10">
    <w:abstractNumId w:val="20"/>
  </w:num>
  <w:num w:numId="11">
    <w:abstractNumId w:val="20"/>
  </w:num>
  <w:num w:numId="12">
    <w:abstractNumId w:val="21"/>
  </w:num>
  <w:num w:numId="13">
    <w:abstractNumId w:val="24"/>
  </w:num>
  <w:num w:numId="14">
    <w:abstractNumId w:val="23"/>
  </w:num>
  <w:num w:numId="15">
    <w:abstractNumId w:val="25"/>
  </w:num>
  <w:num w:numId="16">
    <w:abstractNumId w:val="4"/>
  </w:num>
  <w:num w:numId="17">
    <w:abstractNumId w:val="17"/>
  </w:num>
  <w:num w:numId="18">
    <w:abstractNumId w:val="32"/>
  </w:num>
  <w:num w:numId="19">
    <w:abstractNumId w:val="27"/>
  </w:num>
  <w:num w:numId="20">
    <w:abstractNumId w:val="16"/>
  </w:num>
  <w:num w:numId="21">
    <w:abstractNumId w:val="22"/>
  </w:num>
  <w:num w:numId="22">
    <w:abstractNumId w:val="12"/>
  </w:num>
  <w:num w:numId="23">
    <w:abstractNumId w:val="29"/>
  </w:num>
  <w:num w:numId="24">
    <w:abstractNumId w:val="28"/>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7"/>
  </w:num>
  <w:num w:numId="31">
    <w:abstractNumId w:val="19"/>
  </w:num>
  <w:num w:numId="32">
    <w:abstractNumId w:val="6"/>
  </w:num>
  <w:num w:numId="33">
    <w:abstractNumId w:val="5"/>
  </w:num>
  <w:num w:numId="34">
    <w:abstractNumId w:val="8"/>
  </w:num>
  <w:num w:numId="3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398F"/>
    <w:rsid w:val="0000484C"/>
    <w:rsid w:val="00006B4F"/>
    <w:rsid w:val="00006C81"/>
    <w:rsid w:val="00007F2F"/>
    <w:rsid w:val="0001097D"/>
    <w:rsid w:val="000127F2"/>
    <w:rsid w:val="000129FE"/>
    <w:rsid w:val="00014B58"/>
    <w:rsid w:val="0001605A"/>
    <w:rsid w:val="00016E9E"/>
    <w:rsid w:val="000172A6"/>
    <w:rsid w:val="00017E73"/>
    <w:rsid w:val="00021C6E"/>
    <w:rsid w:val="00021CAB"/>
    <w:rsid w:val="00022849"/>
    <w:rsid w:val="000232BD"/>
    <w:rsid w:val="00023A84"/>
    <w:rsid w:val="00024588"/>
    <w:rsid w:val="00024BAB"/>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40A4"/>
    <w:rsid w:val="00047123"/>
    <w:rsid w:val="00050A61"/>
    <w:rsid w:val="00050FB5"/>
    <w:rsid w:val="000562DA"/>
    <w:rsid w:val="00057E76"/>
    <w:rsid w:val="000609B3"/>
    <w:rsid w:val="00061F0C"/>
    <w:rsid w:val="000640F3"/>
    <w:rsid w:val="000649BD"/>
    <w:rsid w:val="000651F2"/>
    <w:rsid w:val="000655B3"/>
    <w:rsid w:val="00067B17"/>
    <w:rsid w:val="000708BF"/>
    <w:rsid w:val="00074824"/>
    <w:rsid w:val="0007685A"/>
    <w:rsid w:val="0007715F"/>
    <w:rsid w:val="0007728B"/>
    <w:rsid w:val="00077D61"/>
    <w:rsid w:val="000816CB"/>
    <w:rsid w:val="00081A13"/>
    <w:rsid w:val="00082A0E"/>
    <w:rsid w:val="0008484A"/>
    <w:rsid w:val="00085616"/>
    <w:rsid w:val="00085F5A"/>
    <w:rsid w:val="000860C5"/>
    <w:rsid w:val="00086F1C"/>
    <w:rsid w:val="00092822"/>
    <w:rsid w:val="000952E3"/>
    <w:rsid w:val="000961DD"/>
    <w:rsid w:val="00096321"/>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0229"/>
    <w:rsid w:val="000E4379"/>
    <w:rsid w:val="000E4CAB"/>
    <w:rsid w:val="000E58BA"/>
    <w:rsid w:val="000E6924"/>
    <w:rsid w:val="000F1BFE"/>
    <w:rsid w:val="000F1C23"/>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2E56"/>
    <w:rsid w:val="00133CC7"/>
    <w:rsid w:val="00134004"/>
    <w:rsid w:val="001359B3"/>
    <w:rsid w:val="00136449"/>
    <w:rsid w:val="00136873"/>
    <w:rsid w:val="00136ED5"/>
    <w:rsid w:val="0013760C"/>
    <w:rsid w:val="00140960"/>
    <w:rsid w:val="00141BAD"/>
    <w:rsid w:val="00141D9F"/>
    <w:rsid w:val="001430F8"/>
    <w:rsid w:val="00145602"/>
    <w:rsid w:val="00145D73"/>
    <w:rsid w:val="0014714B"/>
    <w:rsid w:val="00151327"/>
    <w:rsid w:val="00153361"/>
    <w:rsid w:val="0015497F"/>
    <w:rsid w:val="00154F7E"/>
    <w:rsid w:val="00160C32"/>
    <w:rsid w:val="001619B4"/>
    <w:rsid w:val="00164527"/>
    <w:rsid w:val="001666C0"/>
    <w:rsid w:val="0016715E"/>
    <w:rsid w:val="00167E80"/>
    <w:rsid w:val="00171207"/>
    <w:rsid w:val="00171B3F"/>
    <w:rsid w:val="00172383"/>
    <w:rsid w:val="00175029"/>
    <w:rsid w:val="0017517B"/>
    <w:rsid w:val="00176705"/>
    <w:rsid w:val="00181604"/>
    <w:rsid w:val="00181851"/>
    <w:rsid w:val="0018191C"/>
    <w:rsid w:val="0018427B"/>
    <w:rsid w:val="001846AE"/>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6DC6"/>
    <w:rsid w:val="001A7C3E"/>
    <w:rsid w:val="001B06CF"/>
    <w:rsid w:val="001B2635"/>
    <w:rsid w:val="001B2E8F"/>
    <w:rsid w:val="001B4A01"/>
    <w:rsid w:val="001B4C05"/>
    <w:rsid w:val="001B7629"/>
    <w:rsid w:val="001C2A15"/>
    <w:rsid w:val="001C38A3"/>
    <w:rsid w:val="001C474C"/>
    <w:rsid w:val="001C5581"/>
    <w:rsid w:val="001C5E31"/>
    <w:rsid w:val="001C5FD5"/>
    <w:rsid w:val="001C6A87"/>
    <w:rsid w:val="001D0EF3"/>
    <w:rsid w:val="001D21F4"/>
    <w:rsid w:val="001D391E"/>
    <w:rsid w:val="001D3CCE"/>
    <w:rsid w:val="001D555B"/>
    <w:rsid w:val="001D58E7"/>
    <w:rsid w:val="001D6166"/>
    <w:rsid w:val="001D63B7"/>
    <w:rsid w:val="001D66D7"/>
    <w:rsid w:val="001E0950"/>
    <w:rsid w:val="001E0EA4"/>
    <w:rsid w:val="001E1D30"/>
    <w:rsid w:val="001E3211"/>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BD7"/>
    <w:rsid w:val="00230EFC"/>
    <w:rsid w:val="00231574"/>
    <w:rsid w:val="002320AB"/>
    <w:rsid w:val="002332EC"/>
    <w:rsid w:val="002354A2"/>
    <w:rsid w:val="00235DF6"/>
    <w:rsid w:val="00236B8A"/>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1FD2"/>
    <w:rsid w:val="00252076"/>
    <w:rsid w:val="0025315B"/>
    <w:rsid w:val="00254127"/>
    <w:rsid w:val="002541BF"/>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44D3"/>
    <w:rsid w:val="00285409"/>
    <w:rsid w:val="00285B53"/>
    <w:rsid w:val="00286926"/>
    <w:rsid w:val="00287195"/>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FAA"/>
    <w:rsid w:val="002C1247"/>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2DA"/>
    <w:rsid w:val="002E6D94"/>
    <w:rsid w:val="002E7974"/>
    <w:rsid w:val="002E7B4A"/>
    <w:rsid w:val="002F0392"/>
    <w:rsid w:val="002F0617"/>
    <w:rsid w:val="002F120B"/>
    <w:rsid w:val="002F1805"/>
    <w:rsid w:val="002F19E9"/>
    <w:rsid w:val="002F24E3"/>
    <w:rsid w:val="002F45F7"/>
    <w:rsid w:val="002F634D"/>
    <w:rsid w:val="002F6550"/>
    <w:rsid w:val="003007D9"/>
    <w:rsid w:val="00303742"/>
    <w:rsid w:val="00304F86"/>
    <w:rsid w:val="0030721B"/>
    <w:rsid w:val="00307E2F"/>
    <w:rsid w:val="00310FB4"/>
    <w:rsid w:val="00311DE8"/>
    <w:rsid w:val="0031264D"/>
    <w:rsid w:val="00313226"/>
    <w:rsid w:val="00313AC9"/>
    <w:rsid w:val="00320AFF"/>
    <w:rsid w:val="003213BF"/>
    <w:rsid w:val="00321BED"/>
    <w:rsid w:val="00322997"/>
    <w:rsid w:val="00322E3E"/>
    <w:rsid w:val="003242F3"/>
    <w:rsid w:val="00324549"/>
    <w:rsid w:val="003247B7"/>
    <w:rsid w:val="003247D0"/>
    <w:rsid w:val="00325B97"/>
    <w:rsid w:val="00326EE8"/>
    <w:rsid w:val="00327063"/>
    <w:rsid w:val="0032754E"/>
    <w:rsid w:val="00330F33"/>
    <w:rsid w:val="003321FF"/>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668E"/>
    <w:rsid w:val="00367B21"/>
    <w:rsid w:val="003703D3"/>
    <w:rsid w:val="00371DD3"/>
    <w:rsid w:val="003724D0"/>
    <w:rsid w:val="003727BC"/>
    <w:rsid w:val="0037618E"/>
    <w:rsid w:val="00380585"/>
    <w:rsid w:val="00380A82"/>
    <w:rsid w:val="00380FE4"/>
    <w:rsid w:val="00382B0F"/>
    <w:rsid w:val="0038558A"/>
    <w:rsid w:val="0039069F"/>
    <w:rsid w:val="0039115D"/>
    <w:rsid w:val="00391893"/>
    <w:rsid w:val="0039269C"/>
    <w:rsid w:val="00392E6F"/>
    <w:rsid w:val="003935F3"/>
    <w:rsid w:val="003947DD"/>
    <w:rsid w:val="00396119"/>
    <w:rsid w:val="00396CA6"/>
    <w:rsid w:val="00397073"/>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603E"/>
    <w:rsid w:val="003C62FF"/>
    <w:rsid w:val="003C6904"/>
    <w:rsid w:val="003C7822"/>
    <w:rsid w:val="003D22D1"/>
    <w:rsid w:val="003D3327"/>
    <w:rsid w:val="003D3504"/>
    <w:rsid w:val="003D5E8A"/>
    <w:rsid w:val="003E0237"/>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6883"/>
    <w:rsid w:val="00420BDF"/>
    <w:rsid w:val="00420F52"/>
    <w:rsid w:val="00421629"/>
    <w:rsid w:val="00422E5F"/>
    <w:rsid w:val="004239D4"/>
    <w:rsid w:val="004261E7"/>
    <w:rsid w:val="00426266"/>
    <w:rsid w:val="00432D1D"/>
    <w:rsid w:val="00433283"/>
    <w:rsid w:val="00433768"/>
    <w:rsid w:val="00433AFA"/>
    <w:rsid w:val="00433D68"/>
    <w:rsid w:val="004340FE"/>
    <w:rsid w:val="0043708D"/>
    <w:rsid w:val="004401FD"/>
    <w:rsid w:val="00440CFC"/>
    <w:rsid w:val="0044109C"/>
    <w:rsid w:val="0044279D"/>
    <w:rsid w:val="004438D2"/>
    <w:rsid w:val="00445032"/>
    <w:rsid w:val="00446BE6"/>
    <w:rsid w:val="00447ECF"/>
    <w:rsid w:val="004521A1"/>
    <w:rsid w:val="0045506D"/>
    <w:rsid w:val="00456A15"/>
    <w:rsid w:val="004576F0"/>
    <w:rsid w:val="00457FF3"/>
    <w:rsid w:val="00460210"/>
    <w:rsid w:val="00463C77"/>
    <w:rsid w:val="004641B4"/>
    <w:rsid w:val="00464B78"/>
    <w:rsid w:val="00464C3C"/>
    <w:rsid w:val="00465BBB"/>
    <w:rsid w:val="00466B4D"/>
    <w:rsid w:val="00466D89"/>
    <w:rsid w:val="00467072"/>
    <w:rsid w:val="00467CDC"/>
    <w:rsid w:val="004715EC"/>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543A"/>
    <w:rsid w:val="004C60E0"/>
    <w:rsid w:val="004C6240"/>
    <w:rsid w:val="004C7546"/>
    <w:rsid w:val="004D03B6"/>
    <w:rsid w:val="004D0D05"/>
    <w:rsid w:val="004D186D"/>
    <w:rsid w:val="004D26F4"/>
    <w:rsid w:val="004D2B1A"/>
    <w:rsid w:val="004D3FBF"/>
    <w:rsid w:val="004D43FF"/>
    <w:rsid w:val="004D5048"/>
    <w:rsid w:val="004D538B"/>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3663"/>
    <w:rsid w:val="004F3A47"/>
    <w:rsid w:val="004F550C"/>
    <w:rsid w:val="004F7179"/>
    <w:rsid w:val="00500754"/>
    <w:rsid w:val="00502356"/>
    <w:rsid w:val="0050277E"/>
    <w:rsid w:val="00502ADB"/>
    <w:rsid w:val="00503D85"/>
    <w:rsid w:val="00505420"/>
    <w:rsid w:val="005063F1"/>
    <w:rsid w:val="0050677A"/>
    <w:rsid w:val="005103A0"/>
    <w:rsid w:val="00510C59"/>
    <w:rsid w:val="00511043"/>
    <w:rsid w:val="005131D1"/>
    <w:rsid w:val="0051689E"/>
    <w:rsid w:val="00517DE4"/>
    <w:rsid w:val="00520A8B"/>
    <w:rsid w:val="00521BBE"/>
    <w:rsid w:val="005257A4"/>
    <w:rsid w:val="0052597D"/>
    <w:rsid w:val="00526681"/>
    <w:rsid w:val="00531668"/>
    <w:rsid w:val="00534B30"/>
    <w:rsid w:val="005357B0"/>
    <w:rsid w:val="00535F5C"/>
    <w:rsid w:val="00543DC6"/>
    <w:rsid w:val="005461F6"/>
    <w:rsid w:val="005476D2"/>
    <w:rsid w:val="00550384"/>
    <w:rsid w:val="005509FE"/>
    <w:rsid w:val="005525B4"/>
    <w:rsid w:val="0055273B"/>
    <w:rsid w:val="00552EF2"/>
    <w:rsid w:val="00552FA4"/>
    <w:rsid w:val="00555BA5"/>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1A2"/>
    <w:rsid w:val="005A186C"/>
    <w:rsid w:val="005A2872"/>
    <w:rsid w:val="005A2F39"/>
    <w:rsid w:val="005A433F"/>
    <w:rsid w:val="005A4EA0"/>
    <w:rsid w:val="005A53DB"/>
    <w:rsid w:val="005A6FFA"/>
    <w:rsid w:val="005A7917"/>
    <w:rsid w:val="005B0195"/>
    <w:rsid w:val="005B0353"/>
    <w:rsid w:val="005B0A84"/>
    <w:rsid w:val="005B2B7C"/>
    <w:rsid w:val="005B3085"/>
    <w:rsid w:val="005B5143"/>
    <w:rsid w:val="005B55EA"/>
    <w:rsid w:val="005B6366"/>
    <w:rsid w:val="005B7713"/>
    <w:rsid w:val="005C1EC5"/>
    <w:rsid w:val="005C23A4"/>
    <w:rsid w:val="005C324B"/>
    <w:rsid w:val="005C3712"/>
    <w:rsid w:val="005C488E"/>
    <w:rsid w:val="005C6BA6"/>
    <w:rsid w:val="005D0C3D"/>
    <w:rsid w:val="005D1589"/>
    <w:rsid w:val="005D1595"/>
    <w:rsid w:val="005D17A6"/>
    <w:rsid w:val="005D1D2F"/>
    <w:rsid w:val="005D41E9"/>
    <w:rsid w:val="005D74B8"/>
    <w:rsid w:val="005E0DB3"/>
    <w:rsid w:val="005E1ABF"/>
    <w:rsid w:val="005E317F"/>
    <w:rsid w:val="005E360D"/>
    <w:rsid w:val="005E41B0"/>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6166"/>
    <w:rsid w:val="006265EC"/>
    <w:rsid w:val="006275AD"/>
    <w:rsid w:val="00630DC9"/>
    <w:rsid w:val="00632B60"/>
    <w:rsid w:val="00633C11"/>
    <w:rsid w:val="00635565"/>
    <w:rsid w:val="00635E10"/>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57602"/>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914DC"/>
    <w:rsid w:val="00691A70"/>
    <w:rsid w:val="00692E79"/>
    <w:rsid w:val="00693ABE"/>
    <w:rsid w:val="00693C95"/>
    <w:rsid w:val="00693D23"/>
    <w:rsid w:val="00694482"/>
    <w:rsid w:val="006A0DC2"/>
    <w:rsid w:val="006A10FC"/>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6970"/>
    <w:rsid w:val="006E69AD"/>
    <w:rsid w:val="006E6C13"/>
    <w:rsid w:val="006F02AA"/>
    <w:rsid w:val="006F0BC2"/>
    <w:rsid w:val="006F1131"/>
    <w:rsid w:val="006F2CEC"/>
    <w:rsid w:val="006F338E"/>
    <w:rsid w:val="006F4997"/>
    <w:rsid w:val="006F4C20"/>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4B34"/>
    <w:rsid w:val="00745276"/>
    <w:rsid w:val="007452B2"/>
    <w:rsid w:val="007457CA"/>
    <w:rsid w:val="00745AB8"/>
    <w:rsid w:val="00747F33"/>
    <w:rsid w:val="00750E84"/>
    <w:rsid w:val="00751B64"/>
    <w:rsid w:val="00753119"/>
    <w:rsid w:val="00753280"/>
    <w:rsid w:val="0075540C"/>
    <w:rsid w:val="00755F67"/>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23A5"/>
    <w:rsid w:val="007839E0"/>
    <w:rsid w:val="007849C6"/>
    <w:rsid w:val="00784AA4"/>
    <w:rsid w:val="00784EB6"/>
    <w:rsid w:val="007852E5"/>
    <w:rsid w:val="00785949"/>
    <w:rsid w:val="00785BF4"/>
    <w:rsid w:val="00787168"/>
    <w:rsid w:val="007905E9"/>
    <w:rsid w:val="007911BF"/>
    <w:rsid w:val="00791FB8"/>
    <w:rsid w:val="007923A6"/>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D6C3F"/>
    <w:rsid w:val="007D7CA8"/>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B3A"/>
    <w:rsid w:val="00800CCA"/>
    <w:rsid w:val="0080243D"/>
    <w:rsid w:val="00802EC1"/>
    <w:rsid w:val="00803C2F"/>
    <w:rsid w:val="00804AF8"/>
    <w:rsid w:val="008056BE"/>
    <w:rsid w:val="00805EAE"/>
    <w:rsid w:val="00806198"/>
    <w:rsid w:val="00807BE2"/>
    <w:rsid w:val="00807CA6"/>
    <w:rsid w:val="00810876"/>
    <w:rsid w:val="00810E1C"/>
    <w:rsid w:val="008124C0"/>
    <w:rsid w:val="00815866"/>
    <w:rsid w:val="00815C39"/>
    <w:rsid w:val="00815FD5"/>
    <w:rsid w:val="0082109F"/>
    <w:rsid w:val="00821E36"/>
    <w:rsid w:val="00822BE4"/>
    <w:rsid w:val="0082306B"/>
    <w:rsid w:val="0082524E"/>
    <w:rsid w:val="00826291"/>
    <w:rsid w:val="008272BB"/>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53DC"/>
    <w:rsid w:val="00855A08"/>
    <w:rsid w:val="00855FB4"/>
    <w:rsid w:val="00857107"/>
    <w:rsid w:val="008623B8"/>
    <w:rsid w:val="00862A58"/>
    <w:rsid w:val="00862D2D"/>
    <w:rsid w:val="00863127"/>
    <w:rsid w:val="00863323"/>
    <w:rsid w:val="00864C4D"/>
    <w:rsid w:val="00865829"/>
    <w:rsid w:val="00866711"/>
    <w:rsid w:val="00866C48"/>
    <w:rsid w:val="008675C2"/>
    <w:rsid w:val="00871C9B"/>
    <w:rsid w:val="00873B81"/>
    <w:rsid w:val="008740D6"/>
    <w:rsid w:val="00874C99"/>
    <w:rsid w:val="0087716D"/>
    <w:rsid w:val="00877F83"/>
    <w:rsid w:val="00881ADC"/>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72A"/>
    <w:rsid w:val="008A3E79"/>
    <w:rsid w:val="008A79C6"/>
    <w:rsid w:val="008A7E82"/>
    <w:rsid w:val="008B2F5B"/>
    <w:rsid w:val="008B310E"/>
    <w:rsid w:val="008B3804"/>
    <w:rsid w:val="008B3A78"/>
    <w:rsid w:val="008B4318"/>
    <w:rsid w:val="008B63A6"/>
    <w:rsid w:val="008B6635"/>
    <w:rsid w:val="008B7B36"/>
    <w:rsid w:val="008C133A"/>
    <w:rsid w:val="008C2128"/>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05E3"/>
    <w:rsid w:val="00921C55"/>
    <w:rsid w:val="00921D85"/>
    <w:rsid w:val="00923C0A"/>
    <w:rsid w:val="00923EFB"/>
    <w:rsid w:val="00924146"/>
    <w:rsid w:val="00927693"/>
    <w:rsid w:val="00927A9D"/>
    <w:rsid w:val="00927FD4"/>
    <w:rsid w:val="00931CFF"/>
    <w:rsid w:val="00932949"/>
    <w:rsid w:val="00933D7D"/>
    <w:rsid w:val="009341FC"/>
    <w:rsid w:val="0094057A"/>
    <w:rsid w:val="0094425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D17B6"/>
    <w:rsid w:val="009D1903"/>
    <w:rsid w:val="009D1BF6"/>
    <w:rsid w:val="009D23FE"/>
    <w:rsid w:val="009D2462"/>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3EF4"/>
    <w:rsid w:val="00A040EF"/>
    <w:rsid w:val="00A0447F"/>
    <w:rsid w:val="00A04680"/>
    <w:rsid w:val="00A06FC7"/>
    <w:rsid w:val="00A1212A"/>
    <w:rsid w:val="00A12468"/>
    <w:rsid w:val="00A12928"/>
    <w:rsid w:val="00A155D9"/>
    <w:rsid w:val="00A15D23"/>
    <w:rsid w:val="00A1720F"/>
    <w:rsid w:val="00A20145"/>
    <w:rsid w:val="00A216A1"/>
    <w:rsid w:val="00A21772"/>
    <w:rsid w:val="00A21897"/>
    <w:rsid w:val="00A22118"/>
    <w:rsid w:val="00A2626A"/>
    <w:rsid w:val="00A26995"/>
    <w:rsid w:val="00A278A2"/>
    <w:rsid w:val="00A27D6C"/>
    <w:rsid w:val="00A30B57"/>
    <w:rsid w:val="00A30EF6"/>
    <w:rsid w:val="00A316AC"/>
    <w:rsid w:val="00A316AF"/>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7226E"/>
    <w:rsid w:val="00A73C77"/>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097"/>
    <w:rsid w:val="00AF59ED"/>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25DE"/>
    <w:rsid w:val="00B339D9"/>
    <w:rsid w:val="00B37062"/>
    <w:rsid w:val="00B42A84"/>
    <w:rsid w:val="00B441B0"/>
    <w:rsid w:val="00B4439A"/>
    <w:rsid w:val="00B44F10"/>
    <w:rsid w:val="00B454F3"/>
    <w:rsid w:val="00B46997"/>
    <w:rsid w:val="00B46F3A"/>
    <w:rsid w:val="00B50571"/>
    <w:rsid w:val="00B51938"/>
    <w:rsid w:val="00B5282A"/>
    <w:rsid w:val="00B530A6"/>
    <w:rsid w:val="00B53FD3"/>
    <w:rsid w:val="00B55358"/>
    <w:rsid w:val="00B560CA"/>
    <w:rsid w:val="00B56A9E"/>
    <w:rsid w:val="00B60A73"/>
    <w:rsid w:val="00B61A4C"/>
    <w:rsid w:val="00B621C2"/>
    <w:rsid w:val="00B6330A"/>
    <w:rsid w:val="00B648ED"/>
    <w:rsid w:val="00B66470"/>
    <w:rsid w:val="00B7248E"/>
    <w:rsid w:val="00B73776"/>
    <w:rsid w:val="00B7380E"/>
    <w:rsid w:val="00B73972"/>
    <w:rsid w:val="00B754BA"/>
    <w:rsid w:val="00B75A53"/>
    <w:rsid w:val="00B77C81"/>
    <w:rsid w:val="00B809D5"/>
    <w:rsid w:val="00B83BD4"/>
    <w:rsid w:val="00B85264"/>
    <w:rsid w:val="00B8546A"/>
    <w:rsid w:val="00B86343"/>
    <w:rsid w:val="00B86596"/>
    <w:rsid w:val="00B8686C"/>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4FE7"/>
    <w:rsid w:val="00BC5B27"/>
    <w:rsid w:val="00BC69EA"/>
    <w:rsid w:val="00BC7141"/>
    <w:rsid w:val="00BC727F"/>
    <w:rsid w:val="00BD119A"/>
    <w:rsid w:val="00BD131B"/>
    <w:rsid w:val="00BD2672"/>
    <w:rsid w:val="00BD2F89"/>
    <w:rsid w:val="00BD3747"/>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5DB5"/>
    <w:rsid w:val="00BF70E9"/>
    <w:rsid w:val="00C003D6"/>
    <w:rsid w:val="00C008F2"/>
    <w:rsid w:val="00C00947"/>
    <w:rsid w:val="00C02F61"/>
    <w:rsid w:val="00C0492F"/>
    <w:rsid w:val="00C04CCF"/>
    <w:rsid w:val="00C05159"/>
    <w:rsid w:val="00C05500"/>
    <w:rsid w:val="00C0561B"/>
    <w:rsid w:val="00C063B4"/>
    <w:rsid w:val="00C07636"/>
    <w:rsid w:val="00C07D0F"/>
    <w:rsid w:val="00C10661"/>
    <w:rsid w:val="00C13C66"/>
    <w:rsid w:val="00C13C80"/>
    <w:rsid w:val="00C15D9E"/>
    <w:rsid w:val="00C20A32"/>
    <w:rsid w:val="00C20BF4"/>
    <w:rsid w:val="00C2318C"/>
    <w:rsid w:val="00C24655"/>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8BB"/>
    <w:rsid w:val="00C42CE9"/>
    <w:rsid w:val="00C43C8B"/>
    <w:rsid w:val="00C43DFB"/>
    <w:rsid w:val="00C50BC6"/>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67AC1"/>
    <w:rsid w:val="00C71416"/>
    <w:rsid w:val="00C714DC"/>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3F79"/>
    <w:rsid w:val="00C85192"/>
    <w:rsid w:val="00C85209"/>
    <w:rsid w:val="00C85952"/>
    <w:rsid w:val="00C86A4E"/>
    <w:rsid w:val="00C86C6F"/>
    <w:rsid w:val="00C87265"/>
    <w:rsid w:val="00C8741A"/>
    <w:rsid w:val="00C87DF9"/>
    <w:rsid w:val="00C90DB8"/>
    <w:rsid w:val="00C9355B"/>
    <w:rsid w:val="00C94270"/>
    <w:rsid w:val="00C942C9"/>
    <w:rsid w:val="00C946E6"/>
    <w:rsid w:val="00C95726"/>
    <w:rsid w:val="00C95C4C"/>
    <w:rsid w:val="00C963B7"/>
    <w:rsid w:val="00C97E6E"/>
    <w:rsid w:val="00CA0C8E"/>
    <w:rsid w:val="00CA11F2"/>
    <w:rsid w:val="00CA2D04"/>
    <w:rsid w:val="00CA3B8A"/>
    <w:rsid w:val="00CA3CB2"/>
    <w:rsid w:val="00CB00DF"/>
    <w:rsid w:val="00CB2A3A"/>
    <w:rsid w:val="00CB4F90"/>
    <w:rsid w:val="00CB6D8B"/>
    <w:rsid w:val="00CC0109"/>
    <w:rsid w:val="00CC03B8"/>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47E8"/>
    <w:rsid w:val="00CE56D2"/>
    <w:rsid w:val="00CE6959"/>
    <w:rsid w:val="00CE6F0F"/>
    <w:rsid w:val="00CE7312"/>
    <w:rsid w:val="00CE7344"/>
    <w:rsid w:val="00CE7E27"/>
    <w:rsid w:val="00CF0BDA"/>
    <w:rsid w:val="00CF26D3"/>
    <w:rsid w:val="00CF3C99"/>
    <w:rsid w:val="00CF6A44"/>
    <w:rsid w:val="00CF74CB"/>
    <w:rsid w:val="00CF7708"/>
    <w:rsid w:val="00CF7A87"/>
    <w:rsid w:val="00CF7DC0"/>
    <w:rsid w:val="00D0268B"/>
    <w:rsid w:val="00D04525"/>
    <w:rsid w:val="00D04893"/>
    <w:rsid w:val="00D05A13"/>
    <w:rsid w:val="00D05E6C"/>
    <w:rsid w:val="00D066D4"/>
    <w:rsid w:val="00D07A52"/>
    <w:rsid w:val="00D10417"/>
    <w:rsid w:val="00D10F39"/>
    <w:rsid w:val="00D115CE"/>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2385"/>
    <w:rsid w:val="00D462D4"/>
    <w:rsid w:val="00D518EC"/>
    <w:rsid w:val="00D528B8"/>
    <w:rsid w:val="00D54008"/>
    <w:rsid w:val="00D542EC"/>
    <w:rsid w:val="00D56329"/>
    <w:rsid w:val="00D56879"/>
    <w:rsid w:val="00D604B4"/>
    <w:rsid w:val="00D6090B"/>
    <w:rsid w:val="00D616AA"/>
    <w:rsid w:val="00D63F47"/>
    <w:rsid w:val="00D653F4"/>
    <w:rsid w:val="00D65907"/>
    <w:rsid w:val="00D65CD4"/>
    <w:rsid w:val="00D66669"/>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2382"/>
    <w:rsid w:val="00E12C10"/>
    <w:rsid w:val="00E13A7A"/>
    <w:rsid w:val="00E14EEF"/>
    <w:rsid w:val="00E163BA"/>
    <w:rsid w:val="00E1711B"/>
    <w:rsid w:val="00E21494"/>
    <w:rsid w:val="00E21E60"/>
    <w:rsid w:val="00E2357A"/>
    <w:rsid w:val="00E24EC7"/>
    <w:rsid w:val="00E2542A"/>
    <w:rsid w:val="00E2761E"/>
    <w:rsid w:val="00E306B7"/>
    <w:rsid w:val="00E30F51"/>
    <w:rsid w:val="00E31F5D"/>
    <w:rsid w:val="00E34C86"/>
    <w:rsid w:val="00E376B2"/>
    <w:rsid w:val="00E37FEE"/>
    <w:rsid w:val="00E40A7D"/>
    <w:rsid w:val="00E4173D"/>
    <w:rsid w:val="00E42B27"/>
    <w:rsid w:val="00E437DF"/>
    <w:rsid w:val="00E47909"/>
    <w:rsid w:val="00E47EEE"/>
    <w:rsid w:val="00E5009F"/>
    <w:rsid w:val="00E51102"/>
    <w:rsid w:val="00E52332"/>
    <w:rsid w:val="00E536CD"/>
    <w:rsid w:val="00E541DC"/>
    <w:rsid w:val="00E5538B"/>
    <w:rsid w:val="00E55B4F"/>
    <w:rsid w:val="00E55E5C"/>
    <w:rsid w:val="00E6684E"/>
    <w:rsid w:val="00E66D03"/>
    <w:rsid w:val="00E710CC"/>
    <w:rsid w:val="00E71818"/>
    <w:rsid w:val="00E74846"/>
    <w:rsid w:val="00E74B2E"/>
    <w:rsid w:val="00E77555"/>
    <w:rsid w:val="00E7795A"/>
    <w:rsid w:val="00E77A48"/>
    <w:rsid w:val="00E80482"/>
    <w:rsid w:val="00E8111B"/>
    <w:rsid w:val="00E817C8"/>
    <w:rsid w:val="00E81E86"/>
    <w:rsid w:val="00E83F6A"/>
    <w:rsid w:val="00E8448E"/>
    <w:rsid w:val="00E85B54"/>
    <w:rsid w:val="00E862C6"/>
    <w:rsid w:val="00E8643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707F"/>
    <w:rsid w:val="00E972CE"/>
    <w:rsid w:val="00E97C54"/>
    <w:rsid w:val="00EA1757"/>
    <w:rsid w:val="00EA2309"/>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C0786"/>
    <w:rsid w:val="00EC22A3"/>
    <w:rsid w:val="00EC438B"/>
    <w:rsid w:val="00EC5B45"/>
    <w:rsid w:val="00EC5BF0"/>
    <w:rsid w:val="00EC67C8"/>
    <w:rsid w:val="00EC6ABE"/>
    <w:rsid w:val="00EC7871"/>
    <w:rsid w:val="00EC7BFD"/>
    <w:rsid w:val="00ED04C5"/>
    <w:rsid w:val="00ED124A"/>
    <w:rsid w:val="00ED2D6D"/>
    <w:rsid w:val="00ED313A"/>
    <w:rsid w:val="00ED5808"/>
    <w:rsid w:val="00ED61DF"/>
    <w:rsid w:val="00ED66EC"/>
    <w:rsid w:val="00EE0677"/>
    <w:rsid w:val="00EE09C8"/>
    <w:rsid w:val="00EE3C72"/>
    <w:rsid w:val="00EE5E4B"/>
    <w:rsid w:val="00EF156D"/>
    <w:rsid w:val="00EF1941"/>
    <w:rsid w:val="00EF1FF1"/>
    <w:rsid w:val="00EF24DB"/>
    <w:rsid w:val="00EF3AB3"/>
    <w:rsid w:val="00EF3D08"/>
    <w:rsid w:val="00EF4C06"/>
    <w:rsid w:val="00EF4C36"/>
    <w:rsid w:val="00EF586B"/>
    <w:rsid w:val="00EF7C9F"/>
    <w:rsid w:val="00F00D53"/>
    <w:rsid w:val="00F0161B"/>
    <w:rsid w:val="00F0423C"/>
    <w:rsid w:val="00F06218"/>
    <w:rsid w:val="00F06772"/>
    <w:rsid w:val="00F06BD8"/>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60A50"/>
    <w:rsid w:val="00F60FF2"/>
    <w:rsid w:val="00F6145A"/>
    <w:rsid w:val="00F61792"/>
    <w:rsid w:val="00F624C4"/>
    <w:rsid w:val="00F63445"/>
    <w:rsid w:val="00F641B7"/>
    <w:rsid w:val="00F6693C"/>
    <w:rsid w:val="00F71767"/>
    <w:rsid w:val="00F73E4B"/>
    <w:rsid w:val="00F74D2C"/>
    <w:rsid w:val="00F74E37"/>
    <w:rsid w:val="00F7679D"/>
    <w:rsid w:val="00F7727F"/>
    <w:rsid w:val="00F80B6F"/>
    <w:rsid w:val="00F80F4C"/>
    <w:rsid w:val="00F8140B"/>
    <w:rsid w:val="00F81F3D"/>
    <w:rsid w:val="00F8234E"/>
    <w:rsid w:val="00F83450"/>
    <w:rsid w:val="00F83CB6"/>
    <w:rsid w:val="00F84A40"/>
    <w:rsid w:val="00F85995"/>
    <w:rsid w:val="00F85E39"/>
    <w:rsid w:val="00F86A20"/>
    <w:rsid w:val="00F86C5A"/>
    <w:rsid w:val="00F87485"/>
    <w:rsid w:val="00F90B3E"/>
    <w:rsid w:val="00F916A3"/>
    <w:rsid w:val="00F966B7"/>
    <w:rsid w:val="00FA0BA1"/>
    <w:rsid w:val="00FA152D"/>
    <w:rsid w:val="00FA4E4E"/>
    <w:rsid w:val="00FA50D9"/>
    <w:rsid w:val="00FA5772"/>
    <w:rsid w:val="00FA5D7D"/>
    <w:rsid w:val="00FA61F8"/>
    <w:rsid w:val="00FA650E"/>
    <w:rsid w:val="00FA77BC"/>
    <w:rsid w:val="00FB047A"/>
    <w:rsid w:val="00FB059A"/>
    <w:rsid w:val="00FB3385"/>
    <w:rsid w:val="00FB3D49"/>
    <w:rsid w:val="00FB63D8"/>
    <w:rsid w:val="00FB6DE4"/>
    <w:rsid w:val="00FB71A7"/>
    <w:rsid w:val="00FB7568"/>
    <w:rsid w:val="00FB75C1"/>
    <w:rsid w:val="00FC0C9C"/>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1A8"/>
    <w:rsid w:val="00FF55C3"/>
    <w:rsid w:val="24059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50ECD73"/>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2"/>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3"/>
      </w:numPr>
    </w:pPr>
  </w:style>
  <w:style w:type="character" w:styleId="CommentReference">
    <w:name w:val="annotation reference"/>
    <w:basedOn w:val="DefaultParagraphFont"/>
    <w:rsid w:val="00396CA6"/>
    <w:rPr>
      <w:sz w:val="16"/>
      <w:szCs w:val="16"/>
    </w:rPr>
  </w:style>
  <w:style w:type="paragraph" w:styleId="CommentText">
    <w:name w:val="annotation text"/>
    <w:basedOn w:val="Normal"/>
    <w:link w:val="CommentTextChar"/>
    <w:rsid w:val="00396CA6"/>
    <w:rPr>
      <w:sz w:val="20"/>
      <w:szCs w:val="20"/>
    </w:rPr>
  </w:style>
  <w:style w:type="character" w:customStyle="1" w:styleId="CommentTextChar">
    <w:name w:val="Comment Text Char"/>
    <w:basedOn w:val="DefaultParagraphFont"/>
    <w:link w:val="CommentText"/>
    <w:rsid w:val="00396CA6"/>
    <w:rPr>
      <w:rFonts w:ascii="Arial" w:hAnsi="Arial" w:cs="Arial"/>
      <w:lang w:eastAsia="en-US"/>
    </w:rPr>
  </w:style>
  <w:style w:type="paragraph" w:styleId="CommentSubject">
    <w:name w:val="annotation subject"/>
    <w:basedOn w:val="CommentText"/>
    <w:next w:val="CommentText"/>
    <w:link w:val="CommentSubjectChar"/>
    <w:rsid w:val="00396CA6"/>
    <w:rPr>
      <w:b/>
      <w:bCs/>
    </w:rPr>
  </w:style>
  <w:style w:type="character" w:customStyle="1" w:styleId="CommentSubjectChar">
    <w:name w:val="Comment Subject Char"/>
    <w:basedOn w:val="CommentTextChar"/>
    <w:link w:val="CommentSubject"/>
    <w:rsid w:val="00396CA6"/>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1023">
      <w:bodyDiv w:val="1"/>
      <w:marLeft w:val="0"/>
      <w:marRight w:val="0"/>
      <w:marTop w:val="0"/>
      <w:marBottom w:val="0"/>
      <w:divBdr>
        <w:top w:val="none" w:sz="0" w:space="0" w:color="auto"/>
        <w:left w:val="none" w:sz="0" w:space="0" w:color="auto"/>
        <w:bottom w:val="none" w:sz="0" w:space="0" w:color="auto"/>
        <w:right w:val="none" w:sz="0" w:space="0" w:color="auto"/>
      </w:divBdr>
    </w:div>
    <w:div w:id="943685082">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1621960519">
      <w:bodyDiv w:val="1"/>
      <w:marLeft w:val="0"/>
      <w:marRight w:val="0"/>
      <w:marTop w:val="0"/>
      <w:marBottom w:val="0"/>
      <w:divBdr>
        <w:top w:val="none" w:sz="0" w:space="0" w:color="auto"/>
        <w:left w:val="none" w:sz="0" w:space="0" w:color="auto"/>
        <w:bottom w:val="none" w:sz="0" w:space="0" w:color="auto"/>
        <w:right w:val="none" w:sz="0" w:space="0" w:color="auto"/>
      </w:divBdr>
    </w:div>
    <w:div w:id="192807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B3DDE-A02F-4104-AB86-7C9EBA61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Glykeria Anyfanti 42079187</cp:lastModifiedBy>
  <cp:revision>3</cp:revision>
  <cp:lastPrinted>2018-08-15T15:18:00Z</cp:lastPrinted>
  <dcterms:created xsi:type="dcterms:W3CDTF">2018-12-19T14:45:00Z</dcterms:created>
  <dcterms:modified xsi:type="dcterms:W3CDTF">2018-12-19T14:48:00Z</dcterms:modified>
</cp:coreProperties>
</file>