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5F" w:rsidRDefault="00434079">
      <w:bookmarkStart w:id="0" w:name="_GoBack"/>
      <w:bookmarkEnd w:id="0"/>
      <w:r w:rsidRPr="00E8225F">
        <w:rPr>
          <w:noProof/>
          <w:lang w:eastAsia="en-GB"/>
        </w:rPr>
        <w:drawing>
          <wp:anchor distT="0" distB="0" distL="114300" distR="114300" simplePos="0" relativeHeight="251659264" behindDoc="0" locked="0" layoutInCell="1" allowOverlap="1" wp14:anchorId="52A4B15B" wp14:editId="1334C6FA">
            <wp:simplePos x="0" y="0"/>
            <wp:positionH relativeFrom="column">
              <wp:posOffset>-609600</wp:posOffset>
            </wp:positionH>
            <wp:positionV relativeFrom="paragraph">
              <wp:posOffset>-695960</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7">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5F">
        <w:rPr>
          <w:noProof/>
          <w:lang w:eastAsia="en-GB"/>
        </w:rPr>
        <mc:AlternateContent>
          <mc:Choice Requires="wps">
            <w:drawing>
              <wp:anchor distT="0" distB="0" distL="114300" distR="114300" simplePos="0" relativeHeight="251660288" behindDoc="0" locked="0" layoutInCell="1" allowOverlap="1" wp14:anchorId="3735BEBA" wp14:editId="23E2A530">
                <wp:simplePos x="0" y="0"/>
                <wp:positionH relativeFrom="column">
                  <wp:posOffset>-171450</wp:posOffset>
                </wp:positionH>
                <wp:positionV relativeFrom="paragraph">
                  <wp:posOffset>-124460</wp:posOffset>
                </wp:positionV>
                <wp:extent cx="4352290" cy="98107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25F" w:rsidRPr="002F45F7" w:rsidRDefault="00E8225F" w:rsidP="00E8225F">
                            <w:pPr>
                              <w:spacing w:after="0"/>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E8225F" w:rsidRPr="002F45F7" w:rsidRDefault="00E8225F" w:rsidP="00E8225F">
                            <w:pPr>
                              <w:spacing w:after="0"/>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BEBA" id="_x0000_t202" coordsize="21600,21600" o:spt="202" path="m,l,21600r21600,l21600,xe">
                <v:stroke joinstyle="miter"/>
                <v:path gradientshapeok="t" o:connecttype="rect"/>
              </v:shapetype>
              <v:shape id="Text Box 18" o:spid="_x0000_s1026" type="#_x0000_t202" style="position:absolute;margin-left:-13.5pt;margin-top:-9.8pt;width:342.7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5Egw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NkypKc3rgKvBwN+foD94BpCdeZe088OKX3bErXj19bqvuWEAb0snEwmR0ccF0C2&#10;/TvN4B6y9zoCDY3tAiBkAwE6lOnpXJrAhcJm8Wqe5yWYKNjKZZYu5vEKUp1OG+v8G647FCY1tlD6&#10;iE4O984HNqQ6uUT2Wgq2EVLGhd1tb6VFBwIy2cTviO6mblIFZ6XDsRFx3AGScEewBbqx7N/KLC/S&#10;m7ycbS6Xi1mxKeazcpEuZ2lW3pSXaVEWd5vvgWBWVK1gjKt7ofhJglnxdyU+NsMonihC1EN+5vl8&#10;LNGUvZsGmcbvT0F2wkNHStHVeHl2IlUo7GvFIGxSeSLkOE9+ph+zDDk4/WNWogxC5UcN+GE7AErQ&#10;xlazJxCE1VAvKC08IzBptf2KUQ8tWWP3ZU8sx0i+VSCqMiuK0MNxUcwXOSzs1LKdWoiiAFVjj9E4&#10;vfVj3++NFbsWbhplrPQ1CLERUSPPrI7yhbaLwRyfiNDX03X0en7I1j8AAAD//wMAUEsDBBQABgAI&#10;AAAAIQApoEAv4AAAAAsBAAAPAAAAZHJzL2Rvd25yZXYueG1sTI/BToNAEIbvJr7DZky8mHZppVCQ&#10;pVETjdfWPsDCToHIzhJ2W+jbO57sbSbz5Z/vL3az7cUFR985UrBaRiCQamc6ahQcvz8WWxA+aDK6&#10;d4QKruhhV97fFTo3bqI9Xg6hERxCPtcK2hCGXEpft2i1X7oBiW8nN1odeB0baUY9cbjt5TqKEml1&#10;R/yh1QO+t1j/HM5WwelretpkU/UZjuk+Tt50l1buqtTjw/z6AiLgHP5h+NNndSjZqXJnMl70Chbr&#10;lLsEHlZZAoKJZLONQVSMPscZyLKQtx3KXwAAAP//AwBQSwECLQAUAAYACAAAACEAtoM4kv4AAADh&#10;AQAAEwAAAAAAAAAAAAAAAAAAAAAAW0NvbnRlbnRfVHlwZXNdLnhtbFBLAQItABQABgAIAAAAIQA4&#10;/SH/1gAAAJQBAAALAAAAAAAAAAAAAAAAAC8BAABfcmVscy8ucmVsc1BLAQItABQABgAIAAAAIQBi&#10;335EgwIAABAFAAAOAAAAAAAAAAAAAAAAAC4CAABkcnMvZTJvRG9jLnhtbFBLAQItABQABgAIAAAA&#10;IQApoEAv4AAAAAsBAAAPAAAAAAAAAAAAAAAAAN0EAABkcnMvZG93bnJldi54bWxQSwUGAAAAAAQA&#10;BADzAAAA6gUAAAAA&#10;" stroked="f">
                <v:textbox>
                  <w:txbxContent>
                    <w:p w:rsidR="00E8225F" w:rsidRPr="002F45F7" w:rsidRDefault="00E8225F" w:rsidP="00E8225F">
                      <w:pPr>
                        <w:spacing w:after="0"/>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E8225F" w:rsidRPr="002F45F7" w:rsidRDefault="00E8225F" w:rsidP="00E8225F">
                      <w:pPr>
                        <w:spacing w:after="0"/>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rsidR="00E8225F" w:rsidRDefault="00E8225F"/>
    <w:p w:rsidR="00E8225F" w:rsidRDefault="00E8225F"/>
    <w:p w:rsidR="00E8225F" w:rsidRDefault="00E8225F"/>
    <w:p w:rsidR="00E8619F" w:rsidRDefault="00E8619F"/>
    <w:tbl>
      <w:tblPr>
        <w:tblpPr w:leftFromText="180" w:rightFromText="180" w:vertAnchor="page" w:horzAnchor="margin" w:tblpXSpec="center" w:tblpY="4021"/>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E8225F" w:rsidRPr="009E572F" w:rsidTr="00E8225F">
        <w:trPr>
          <w:trHeight w:val="557"/>
        </w:trPr>
        <w:tc>
          <w:tcPr>
            <w:tcW w:w="2518" w:type="dxa"/>
          </w:tcPr>
          <w:p w:rsidR="00E8225F" w:rsidRPr="009E572F" w:rsidRDefault="00E8225F" w:rsidP="00E8225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E8225F" w:rsidRPr="00B15F8B" w:rsidRDefault="003F20B5" w:rsidP="00E8225F">
            <w:pPr>
              <w:spacing w:before="120" w:after="120"/>
              <w:rPr>
                <w:rFonts w:cs="Times New Roman"/>
                <w:b/>
                <w:szCs w:val="20"/>
              </w:rPr>
            </w:pPr>
            <w:r>
              <w:rPr>
                <w:rFonts w:cs="Times New Roman"/>
                <w:b/>
                <w:szCs w:val="20"/>
              </w:rPr>
              <w:t>Performance &amp; Resources Board</w:t>
            </w:r>
          </w:p>
        </w:tc>
        <w:tc>
          <w:tcPr>
            <w:tcW w:w="2056" w:type="dxa"/>
          </w:tcPr>
          <w:p w:rsidR="00E8225F" w:rsidRPr="009E572F" w:rsidRDefault="00E8225F" w:rsidP="00E8225F">
            <w:pPr>
              <w:spacing w:before="120" w:after="120"/>
              <w:rPr>
                <w:rFonts w:cs="Times New Roman"/>
                <w:szCs w:val="20"/>
              </w:rPr>
            </w:pPr>
            <w:r>
              <w:rPr>
                <w:rFonts w:cs="Times New Roman"/>
                <w:szCs w:val="20"/>
              </w:rPr>
              <w:t>Agenda Item</w:t>
            </w:r>
          </w:p>
        </w:tc>
        <w:tc>
          <w:tcPr>
            <w:tcW w:w="1559" w:type="dxa"/>
          </w:tcPr>
          <w:p w:rsidR="00E8225F" w:rsidRPr="00B15F8B" w:rsidRDefault="009A759B" w:rsidP="00E8225F">
            <w:pPr>
              <w:spacing w:before="120" w:after="120"/>
              <w:rPr>
                <w:rFonts w:cs="Times New Roman"/>
                <w:sz w:val="32"/>
                <w:szCs w:val="32"/>
              </w:rPr>
            </w:pPr>
            <w:r>
              <w:rPr>
                <w:rFonts w:cs="Times New Roman"/>
                <w:sz w:val="32"/>
                <w:szCs w:val="32"/>
              </w:rPr>
              <w:t>5.0</w:t>
            </w:r>
          </w:p>
        </w:tc>
      </w:tr>
      <w:tr w:rsidR="00E8225F" w:rsidRPr="009E572F" w:rsidTr="00E8225F">
        <w:tc>
          <w:tcPr>
            <w:tcW w:w="2518" w:type="dxa"/>
          </w:tcPr>
          <w:p w:rsidR="00E8225F" w:rsidRPr="009E572F" w:rsidRDefault="00E8225F" w:rsidP="00E8225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E8225F" w:rsidRPr="009E572F" w:rsidRDefault="003F20B5" w:rsidP="00E8225F">
            <w:pPr>
              <w:spacing w:before="120" w:after="120"/>
              <w:rPr>
                <w:rFonts w:cs="Times New Roman"/>
                <w:szCs w:val="20"/>
              </w:rPr>
            </w:pPr>
            <w:r>
              <w:rPr>
                <w:rFonts w:cs="Times New Roman"/>
                <w:szCs w:val="20"/>
              </w:rPr>
              <w:t>Friday 30</w:t>
            </w:r>
            <w:r w:rsidRPr="003F20B5">
              <w:rPr>
                <w:rFonts w:cs="Times New Roman"/>
                <w:szCs w:val="20"/>
                <w:vertAlign w:val="superscript"/>
              </w:rPr>
              <w:t>th</w:t>
            </w:r>
            <w:r>
              <w:rPr>
                <w:rFonts w:cs="Times New Roman"/>
                <w:szCs w:val="20"/>
              </w:rPr>
              <w:t xml:space="preserve"> </w:t>
            </w:r>
            <w:r w:rsidR="00E8619F">
              <w:rPr>
                <w:rFonts w:cs="Times New Roman"/>
                <w:szCs w:val="20"/>
              </w:rPr>
              <w:t>November 2018</w:t>
            </w:r>
          </w:p>
        </w:tc>
        <w:tc>
          <w:tcPr>
            <w:tcW w:w="2056" w:type="dxa"/>
          </w:tcPr>
          <w:p w:rsidR="00E8225F" w:rsidRPr="009E572F" w:rsidRDefault="00E8225F" w:rsidP="00E8225F">
            <w:pPr>
              <w:spacing w:before="120" w:after="120"/>
              <w:rPr>
                <w:rFonts w:cs="Times New Roman"/>
                <w:szCs w:val="20"/>
              </w:rPr>
            </w:pPr>
            <w:r>
              <w:rPr>
                <w:rFonts w:cs="Times New Roman"/>
                <w:szCs w:val="20"/>
              </w:rPr>
              <w:t>Report Number</w:t>
            </w:r>
          </w:p>
        </w:tc>
        <w:tc>
          <w:tcPr>
            <w:tcW w:w="1559" w:type="dxa"/>
          </w:tcPr>
          <w:p w:rsidR="00E8225F" w:rsidRPr="00B15F8B" w:rsidRDefault="00E8225F" w:rsidP="00E8225F">
            <w:pPr>
              <w:spacing w:before="120" w:after="120"/>
              <w:rPr>
                <w:rFonts w:cs="Times New Roman"/>
                <w:b/>
                <w:szCs w:val="20"/>
              </w:rPr>
            </w:pPr>
          </w:p>
        </w:tc>
      </w:tr>
      <w:tr w:rsidR="00E8225F" w:rsidRPr="009E572F" w:rsidTr="00E8225F">
        <w:tc>
          <w:tcPr>
            <w:tcW w:w="2518" w:type="dxa"/>
          </w:tcPr>
          <w:p w:rsidR="00E8225F" w:rsidRPr="009E572F" w:rsidRDefault="00E8225F" w:rsidP="00E8225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E8225F" w:rsidRPr="00B15F8B" w:rsidRDefault="00E8619F" w:rsidP="00E8225F">
            <w:pPr>
              <w:spacing w:before="120" w:after="120"/>
              <w:rPr>
                <w:rFonts w:cs="Times New Roman"/>
                <w:szCs w:val="20"/>
              </w:rPr>
            </w:pPr>
            <w:r w:rsidRPr="00E8619F">
              <w:rPr>
                <w:rFonts w:cs="Times New Roman"/>
                <w:szCs w:val="20"/>
              </w:rPr>
              <w:t>Director of Prevention, Protection &amp; Response</w:t>
            </w:r>
          </w:p>
        </w:tc>
      </w:tr>
      <w:tr w:rsidR="00E8225F" w:rsidRPr="009E572F" w:rsidTr="00E8225F">
        <w:tc>
          <w:tcPr>
            <w:tcW w:w="2518" w:type="dxa"/>
            <w:tcBorders>
              <w:top w:val="single" w:sz="6" w:space="0" w:color="auto"/>
              <w:left w:val="single" w:sz="6" w:space="0" w:color="auto"/>
              <w:bottom w:val="single" w:sz="6" w:space="0" w:color="auto"/>
              <w:right w:val="single" w:sz="6" w:space="0" w:color="auto"/>
            </w:tcBorders>
          </w:tcPr>
          <w:p w:rsidR="00E8225F" w:rsidRPr="009E572F" w:rsidRDefault="00E8225F" w:rsidP="00E8225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E8225F" w:rsidRPr="009E572F" w:rsidRDefault="00E8225F" w:rsidP="00E8225F">
            <w:pPr>
              <w:spacing w:before="120" w:after="120"/>
              <w:rPr>
                <w:rFonts w:cs="Times New Roman"/>
                <w:szCs w:val="20"/>
              </w:rPr>
            </w:pPr>
            <w:r>
              <w:rPr>
                <w:rFonts w:cs="Times New Roman"/>
                <w:szCs w:val="20"/>
              </w:rPr>
              <w:t>Director of Prevention, Protection &amp; Response</w:t>
            </w:r>
          </w:p>
        </w:tc>
      </w:tr>
      <w:tr w:rsidR="00E8225F" w:rsidRPr="009E572F" w:rsidTr="00E8225F">
        <w:tc>
          <w:tcPr>
            <w:tcW w:w="2518" w:type="dxa"/>
          </w:tcPr>
          <w:p w:rsidR="00E8225F" w:rsidRPr="009E572F" w:rsidRDefault="00E8225F" w:rsidP="00E8225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E8225F" w:rsidRPr="003A46D1" w:rsidRDefault="00E8225F" w:rsidP="00E8619F">
            <w:pPr>
              <w:spacing w:before="120" w:after="120"/>
              <w:rPr>
                <w:rFonts w:cs="Times New Roman"/>
                <w:b/>
                <w:szCs w:val="20"/>
              </w:rPr>
            </w:pPr>
            <w:r>
              <w:rPr>
                <w:rFonts w:cs="Times New Roman"/>
                <w:b/>
                <w:szCs w:val="20"/>
              </w:rPr>
              <w:t xml:space="preserve">Risk and Business Continuity </w:t>
            </w:r>
          </w:p>
        </w:tc>
      </w:tr>
      <w:tr w:rsidR="00E8225F" w:rsidRPr="009E572F" w:rsidTr="00E8225F">
        <w:tc>
          <w:tcPr>
            <w:tcW w:w="2518" w:type="dxa"/>
          </w:tcPr>
          <w:p w:rsidR="00E8225F" w:rsidRPr="009E572F" w:rsidRDefault="00E8225F" w:rsidP="00E8225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E8225F" w:rsidRPr="009E572F" w:rsidRDefault="00E8619F" w:rsidP="00E8225F">
            <w:pPr>
              <w:tabs>
                <w:tab w:val="num" w:pos="567"/>
              </w:tabs>
              <w:spacing w:before="120" w:after="120"/>
              <w:rPr>
                <w:rFonts w:cs="Times New Roman"/>
                <w:szCs w:val="20"/>
              </w:rPr>
            </w:pPr>
            <w:r>
              <w:rPr>
                <w:rFonts w:cs="Times New Roman"/>
                <w:szCs w:val="20"/>
              </w:rPr>
              <w:t>Information</w:t>
            </w:r>
          </w:p>
        </w:tc>
      </w:tr>
    </w:tbl>
    <w:p w:rsidR="00A65E04" w:rsidRDefault="00A65E04"/>
    <w:p w:rsidR="00E8225F" w:rsidRDefault="00E8225F"/>
    <w:p w:rsidR="00E65042" w:rsidRPr="00E65042" w:rsidRDefault="00E65042">
      <w:pPr>
        <w:rPr>
          <w:rFonts w:ascii="Arial" w:hAnsi="Arial" w:cs="Arial"/>
          <w:b/>
        </w:rPr>
      </w:pPr>
      <w:r w:rsidRPr="00E65042">
        <w:rPr>
          <w:rFonts w:ascii="Arial" w:hAnsi="Arial" w:cs="Arial"/>
          <w:b/>
        </w:rPr>
        <w:t>RECOMME</w:t>
      </w:r>
      <w:r w:rsidR="00FA00CE">
        <w:rPr>
          <w:rFonts w:ascii="Arial" w:hAnsi="Arial" w:cs="Arial"/>
          <w:b/>
        </w:rPr>
        <w:t>N</w:t>
      </w:r>
      <w:r w:rsidRPr="00E65042">
        <w:rPr>
          <w:rFonts w:ascii="Arial" w:hAnsi="Arial" w:cs="Arial"/>
          <w:b/>
        </w:rPr>
        <w:t>DATIONS</w:t>
      </w:r>
    </w:p>
    <w:p w:rsidR="00E8225F" w:rsidRPr="00434079" w:rsidRDefault="00E8225F" w:rsidP="00434079">
      <w:pPr>
        <w:pStyle w:val="NumbList3"/>
        <w:numPr>
          <w:ilvl w:val="0"/>
          <w:numId w:val="11"/>
        </w:numPr>
        <w:spacing w:after="240"/>
        <w:ind w:left="360"/>
        <w:rPr>
          <w:sz w:val="22"/>
          <w:szCs w:val="22"/>
        </w:rPr>
      </w:pPr>
      <w:r w:rsidRPr="00434079">
        <w:rPr>
          <w:sz w:val="22"/>
          <w:szCs w:val="22"/>
        </w:rPr>
        <w:t xml:space="preserve">That </w:t>
      </w:r>
      <w:r w:rsidR="00E65042">
        <w:rPr>
          <w:sz w:val="22"/>
          <w:szCs w:val="22"/>
        </w:rPr>
        <w:t>members of the board note</w:t>
      </w:r>
      <w:r w:rsidRPr="00434079">
        <w:rPr>
          <w:sz w:val="22"/>
          <w:szCs w:val="22"/>
        </w:rPr>
        <w:t xml:space="preserve"> the content of the report. </w:t>
      </w:r>
    </w:p>
    <w:p w:rsidR="00E65042" w:rsidRDefault="00E8225F" w:rsidP="00434079">
      <w:pPr>
        <w:pStyle w:val="ListParagraph"/>
        <w:numPr>
          <w:ilvl w:val="0"/>
          <w:numId w:val="11"/>
        </w:numPr>
        <w:ind w:left="360"/>
        <w:rPr>
          <w:rFonts w:ascii="Arial" w:hAnsi="Arial" w:cs="Arial"/>
        </w:rPr>
      </w:pPr>
      <w:r w:rsidRPr="00434079">
        <w:rPr>
          <w:rFonts w:ascii="Arial" w:hAnsi="Arial" w:cs="Arial"/>
        </w:rPr>
        <w:t xml:space="preserve">That </w:t>
      </w:r>
      <w:r w:rsidR="00E65042">
        <w:rPr>
          <w:rFonts w:ascii="Arial" w:hAnsi="Arial" w:cs="Arial"/>
        </w:rPr>
        <w:t>members of the board note the following appendices,</w:t>
      </w:r>
    </w:p>
    <w:p w:rsidR="00E65042" w:rsidRDefault="00E65042" w:rsidP="00E65042">
      <w:pPr>
        <w:pStyle w:val="ListParagraph"/>
        <w:ind w:left="360"/>
        <w:rPr>
          <w:rFonts w:ascii="Arial" w:hAnsi="Arial" w:cs="Arial"/>
        </w:rPr>
      </w:pPr>
    </w:p>
    <w:p w:rsidR="00434079" w:rsidRDefault="00E65042" w:rsidP="00E65042">
      <w:pPr>
        <w:pStyle w:val="ListParagraph"/>
        <w:numPr>
          <w:ilvl w:val="0"/>
          <w:numId w:val="12"/>
        </w:numPr>
        <w:rPr>
          <w:rFonts w:ascii="Arial" w:hAnsi="Arial" w:cs="Arial"/>
        </w:rPr>
      </w:pPr>
      <w:r>
        <w:rPr>
          <w:rFonts w:ascii="Arial" w:hAnsi="Arial" w:cs="Arial"/>
        </w:rPr>
        <w:t>Strategic Ris</w:t>
      </w:r>
      <w:r w:rsidR="003F20B5">
        <w:rPr>
          <w:rFonts w:ascii="Arial" w:hAnsi="Arial" w:cs="Arial"/>
        </w:rPr>
        <w:t>ks aligned to themes, Appendix one.</w:t>
      </w:r>
    </w:p>
    <w:p w:rsidR="00E65042" w:rsidRDefault="00E65042" w:rsidP="00E65042">
      <w:pPr>
        <w:pStyle w:val="ListParagraph"/>
        <w:numPr>
          <w:ilvl w:val="0"/>
          <w:numId w:val="12"/>
        </w:numPr>
        <w:rPr>
          <w:rFonts w:ascii="Arial" w:hAnsi="Arial" w:cs="Arial"/>
        </w:rPr>
      </w:pPr>
      <w:r>
        <w:rPr>
          <w:rFonts w:ascii="Arial" w:hAnsi="Arial" w:cs="Arial"/>
        </w:rPr>
        <w:t>Strategi</w:t>
      </w:r>
      <w:r w:rsidR="003F20B5">
        <w:rPr>
          <w:rFonts w:ascii="Arial" w:hAnsi="Arial" w:cs="Arial"/>
        </w:rPr>
        <w:t>c Risks scoring high, Appendix two.</w:t>
      </w:r>
    </w:p>
    <w:p w:rsidR="003F20B5" w:rsidRPr="003F20B5" w:rsidRDefault="003F20B5" w:rsidP="003F20B5">
      <w:pPr>
        <w:pStyle w:val="ListParagraph"/>
        <w:numPr>
          <w:ilvl w:val="0"/>
          <w:numId w:val="12"/>
        </w:numPr>
        <w:rPr>
          <w:rFonts w:ascii="Arial" w:hAnsi="Arial" w:cs="Arial"/>
        </w:rPr>
      </w:pPr>
      <w:r w:rsidRPr="003F20B5">
        <w:rPr>
          <w:rFonts w:ascii="Arial" w:hAnsi="Arial" w:cs="Arial"/>
        </w:rPr>
        <w:t>Strategic Bus</w:t>
      </w:r>
      <w:r>
        <w:rPr>
          <w:rFonts w:ascii="Arial" w:hAnsi="Arial" w:cs="Arial"/>
        </w:rPr>
        <w:t>iness Continuity Plan, Appendix three.</w:t>
      </w:r>
    </w:p>
    <w:p w:rsidR="00E8225F" w:rsidRPr="00434079" w:rsidRDefault="00E8225F" w:rsidP="00434079">
      <w:pPr>
        <w:pStyle w:val="Heading1"/>
        <w:rPr>
          <w:rFonts w:cs="Arial"/>
          <w:sz w:val="22"/>
          <w:szCs w:val="22"/>
        </w:rPr>
      </w:pPr>
      <w:r w:rsidRPr="00434079">
        <w:rPr>
          <w:rFonts w:cs="Arial"/>
          <w:sz w:val="22"/>
          <w:szCs w:val="22"/>
        </w:rPr>
        <w:t>BACKGROUND</w:t>
      </w:r>
    </w:p>
    <w:p w:rsidR="00E8225F" w:rsidRDefault="00E8225F" w:rsidP="00434079">
      <w:pPr>
        <w:pStyle w:val="NumbList3"/>
        <w:numPr>
          <w:ilvl w:val="0"/>
          <w:numId w:val="11"/>
        </w:numPr>
        <w:ind w:left="360"/>
        <w:jc w:val="both"/>
        <w:rPr>
          <w:sz w:val="22"/>
          <w:szCs w:val="22"/>
        </w:rPr>
      </w:pPr>
      <w:r w:rsidRPr="00434079">
        <w:rPr>
          <w:sz w:val="22"/>
          <w:szCs w:val="22"/>
        </w:rPr>
        <w:t>Risk Management is slowly improving, but there is still some distance to go before it becomes properly embedded in the Service</w:t>
      </w:r>
      <w:r w:rsidR="003F20B5">
        <w:rPr>
          <w:sz w:val="22"/>
          <w:szCs w:val="22"/>
        </w:rPr>
        <w:t>, a summary is included in Appendix one</w:t>
      </w:r>
      <w:r w:rsidRPr="00434079">
        <w:rPr>
          <w:sz w:val="22"/>
          <w:szCs w:val="22"/>
        </w:rPr>
        <w:t>. A full risk management audit is due, probably around February 19. The emphasis so far has been on strategic risks. The scope will extend to departmental and project risk management.</w:t>
      </w:r>
    </w:p>
    <w:p w:rsidR="003F20B5" w:rsidRPr="003F20B5" w:rsidRDefault="003F20B5" w:rsidP="003F20B5">
      <w:pPr>
        <w:pStyle w:val="NumbList3"/>
        <w:numPr>
          <w:ilvl w:val="0"/>
          <w:numId w:val="0"/>
        </w:numPr>
        <w:ind w:left="360"/>
        <w:jc w:val="both"/>
        <w:rPr>
          <w:sz w:val="22"/>
          <w:szCs w:val="22"/>
        </w:rPr>
      </w:pPr>
    </w:p>
    <w:p w:rsidR="00E8225F" w:rsidRPr="00434079" w:rsidRDefault="00E8225F" w:rsidP="00434079">
      <w:pPr>
        <w:pStyle w:val="Heading1"/>
        <w:rPr>
          <w:rFonts w:cs="Arial"/>
          <w:sz w:val="22"/>
          <w:szCs w:val="22"/>
        </w:rPr>
      </w:pPr>
      <w:r w:rsidRPr="00434079">
        <w:rPr>
          <w:rFonts w:cs="Arial"/>
          <w:sz w:val="22"/>
          <w:szCs w:val="22"/>
        </w:rPr>
        <w:t>Options and Analysis</w:t>
      </w:r>
    </w:p>
    <w:p w:rsidR="00E8225F" w:rsidRPr="00434079" w:rsidRDefault="00E8225F" w:rsidP="00434079">
      <w:pPr>
        <w:pStyle w:val="NumbList3"/>
        <w:numPr>
          <w:ilvl w:val="0"/>
          <w:numId w:val="0"/>
        </w:numPr>
        <w:spacing w:after="240"/>
        <w:ind w:left="360" w:hanging="360"/>
        <w:rPr>
          <w:sz w:val="22"/>
          <w:szCs w:val="22"/>
        </w:rPr>
      </w:pPr>
      <w:r w:rsidRPr="00434079">
        <w:rPr>
          <w:b/>
          <w:sz w:val="22"/>
          <w:szCs w:val="22"/>
        </w:rPr>
        <w:t>Risk Management - Where are we?</w:t>
      </w:r>
    </w:p>
    <w:p w:rsidR="00E8225F" w:rsidRPr="00434079" w:rsidRDefault="00E8225F" w:rsidP="00434079">
      <w:pPr>
        <w:pStyle w:val="NumbList3"/>
        <w:numPr>
          <w:ilvl w:val="0"/>
          <w:numId w:val="11"/>
        </w:numPr>
        <w:spacing w:after="240"/>
        <w:ind w:left="360"/>
        <w:jc w:val="both"/>
        <w:rPr>
          <w:sz w:val="22"/>
          <w:szCs w:val="22"/>
        </w:rPr>
      </w:pPr>
      <w:r w:rsidRPr="00434079">
        <w:rPr>
          <w:sz w:val="22"/>
          <w:szCs w:val="22"/>
        </w:rPr>
        <w:t xml:space="preserve">The Strategic Risk Register (SRR) has grown, and matured to some extent, but requires further work to improve its quality and quantity. To this end, the SLT will note the series of strategic risk surgeries arranged with the Director of Prevention, Protection and Response, commencing this month, and continuing throughout 2019. </w:t>
      </w:r>
    </w:p>
    <w:p w:rsidR="00E8225F" w:rsidRPr="00434079" w:rsidRDefault="00E8225F" w:rsidP="00434079">
      <w:pPr>
        <w:pStyle w:val="NumbList3"/>
        <w:numPr>
          <w:ilvl w:val="0"/>
          <w:numId w:val="11"/>
        </w:numPr>
        <w:spacing w:after="240"/>
        <w:ind w:left="360"/>
        <w:jc w:val="both"/>
        <w:rPr>
          <w:sz w:val="22"/>
          <w:szCs w:val="22"/>
        </w:rPr>
      </w:pPr>
      <w:r w:rsidRPr="00434079">
        <w:rPr>
          <w:sz w:val="22"/>
          <w:szCs w:val="22"/>
        </w:rPr>
        <w:t>The Service</w:t>
      </w:r>
      <w:r w:rsidR="003F20B5">
        <w:rPr>
          <w:sz w:val="22"/>
          <w:szCs w:val="22"/>
        </w:rPr>
        <w:t xml:space="preserve"> has three red risks, included in appendix two, for review and consideration by the PFCC.</w:t>
      </w:r>
    </w:p>
    <w:p w:rsidR="00434079" w:rsidRPr="003F20B5" w:rsidRDefault="00E8225F" w:rsidP="003F20B5">
      <w:pPr>
        <w:pStyle w:val="ListParagraph"/>
        <w:numPr>
          <w:ilvl w:val="0"/>
          <w:numId w:val="11"/>
        </w:numPr>
        <w:spacing w:line="240" w:lineRule="auto"/>
        <w:ind w:left="360"/>
        <w:jc w:val="both"/>
        <w:rPr>
          <w:rFonts w:ascii="Arial" w:hAnsi="Arial" w:cs="Arial"/>
        </w:rPr>
      </w:pPr>
      <w:r w:rsidRPr="00434079">
        <w:rPr>
          <w:rFonts w:ascii="Arial" w:hAnsi="Arial" w:cs="Arial"/>
        </w:rPr>
        <w:lastRenderedPageBreak/>
        <w:t>The draft priorities for the Fire &amp; Rescue Plan provide a useful back drop against which strategic risks should be considered. Once the priorities are finalised each strategic risk will be aligned to one of the priorities. The priorities will replace those itemised under Corporate Plan in JCAD.</w:t>
      </w:r>
    </w:p>
    <w:p w:rsidR="00E8225F" w:rsidRPr="00434079" w:rsidRDefault="00E8225F" w:rsidP="00434079">
      <w:pPr>
        <w:pStyle w:val="NumbList3"/>
        <w:numPr>
          <w:ilvl w:val="0"/>
          <w:numId w:val="0"/>
        </w:numPr>
        <w:spacing w:after="240"/>
        <w:rPr>
          <w:b/>
          <w:sz w:val="22"/>
          <w:szCs w:val="22"/>
        </w:rPr>
      </w:pPr>
      <w:r w:rsidRPr="00434079">
        <w:rPr>
          <w:b/>
          <w:sz w:val="22"/>
          <w:szCs w:val="22"/>
        </w:rPr>
        <w:t>Risk Management – What we need to do?</w:t>
      </w:r>
    </w:p>
    <w:p w:rsidR="00E8225F" w:rsidRPr="00434079" w:rsidRDefault="00E8225F" w:rsidP="00434079">
      <w:pPr>
        <w:pStyle w:val="NumbList3"/>
        <w:numPr>
          <w:ilvl w:val="0"/>
          <w:numId w:val="11"/>
        </w:numPr>
        <w:spacing w:after="240"/>
        <w:ind w:left="360"/>
        <w:rPr>
          <w:sz w:val="22"/>
          <w:szCs w:val="22"/>
        </w:rPr>
      </w:pPr>
      <w:r w:rsidRPr="00434079">
        <w:rPr>
          <w:sz w:val="22"/>
          <w:szCs w:val="22"/>
        </w:rPr>
        <w:t>By the end of 2019, it is planned that:</w:t>
      </w:r>
    </w:p>
    <w:p w:rsidR="00E8225F" w:rsidRPr="00434079" w:rsidRDefault="00E8225F" w:rsidP="003F20B5">
      <w:pPr>
        <w:pStyle w:val="NumbList3"/>
        <w:numPr>
          <w:ilvl w:val="0"/>
          <w:numId w:val="8"/>
        </w:numPr>
        <w:spacing w:after="240"/>
        <w:ind w:left="709"/>
        <w:jc w:val="both"/>
        <w:rPr>
          <w:sz w:val="22"/>
          <w:szCs w:val="22"/>
        </w:rPr>
      </w:pPr>
      <w:r w:rsidRPr="00434079">
        <w:rPr>
          <w:sz w:val="22"/>
          <w:szCs w:val="22"/>
        </w:rPr>
        <w:t>The new SLT undertakes further training, as prescribed in the risk strategy, looking at, for example, organisational performance, corporate governance, culture and maturity.</w:t>
      </w:r>
    </w:p>
    <w:p w:rsidR="00E8225F" w:rsidRPr="00434079" w:rsidRDefault="00E8225F" w:rsidP="003F20B5">
      <w:pPr>
        <w:pStyle w:val="NumbList3"/>
        <w:numPr>
          <w:ilvl w:val="0"/>
          <w:numId w:val="8"/>
        </w:numPr>
        <w:spacing w:after="240"/>
        <w:ind w:left="709"/>
        <w:jc w:val="both"/>
        <w:rPr>
          <w:sz w:val="22"/>
          <w:szCs w:val="22"/>
        </w:rPr>
      </w:pPr>
      <w:r w:rsidRPr="00434079">
        <w:rPr>
          <w:sz w:val="22"/>
          <w:szCs w:val="22"/>
        </w:rPr>
        <w:t>The above forms part of an action plan for risk management, the aim of which will be to embed risk management as an everyday function for managers at all levels.</w:t>
      </w:r>
    </w:p>
    <w:p w:rsidR="00434079" w:rsidRPr="00E8619F" w:rsidRDefault="00E8225F" w:rsidP="003F20B5">
      <w:pPr>
        <w:pStyle w:val="NumbList3"/>
        <w:numPr>
          <w:ilvl w:val="0"/>
          <w:numId w:val="8"/>
        </w:numPr>
        <w:spacing w:after="240"/>
        <w:ind w:left="709"/>
        <w:jc w:val="both"/>
        <w:rPr>
          <w:sz w:val="22"/>
          <w:szCs w:val="22"/>
        </w:rPr>
      </w:pPr>
      <w:r w:rsidRPr="00434079">
        <w:rPr>
          <w:sz w:val="22"/>
          <w:szCs w:val="22"/>
        </w:rPr>
        <w:t>Actions are a significant absence within registers. This should be addressed over the next 14 months.</w:t>
      </w:r>
    </w:p>
    <w:p w:rsidR="00E8225F" w:rsidRPr="00434079" w:rsidRDefault="00E8225F" w:rsidP="00434079">
      <w:pPr>
        <w:pStyle w:val="NumbList3"/>
        <w:numPr>
          <w:ilvl w:val="0"/>
          <w:numId w:val="0"/>
        </w:numPr>
        <w:spacing w:after="240"/>
        <w:rPr>
          <w:b/>
          <w:sz w:val="22"/>
          <w:szCs w:val="22"/>
        </w:rPr>
      </w:pPr>
      <w:r w:rsidRPr="00434079">
        <w:rPr>
          <w:b/>
          <w:sz w:val="22"/>
          <w:szCs w:val="22"/>
        </w:rPr>
        <w:t>Business Continuity</w:t>
      </w:r>
    </w:p>
    <w:p w:rsidR="00E8225F" w:rsidRPr="00434079" w:rsidRDefault="00E8225F" w:rsidP="00E8619F">
      <w:pPr>
        <w:pStyle w:val="NumbList3"/>
        <w:numPr>
          <w:ilvl w:val="0"/>
          <w:numId w:val="11"/>
        </w:numPr>
        <w:spacing w:after="240"/>
        <w:ind w:left="360"/>
        <w:jc w:val="both"/>
        <w:rPr>
          <w:sz w:val="22"/>
          <w:szCs w:val="22"/>
        </w:rPr>
      </w:pPr>
      <w:r w:rsidRPr="00434079">
        <w:rPr>
          <w:sz w:val="22"/>
          <w:szCs w:val="22"/>
        </w:rPr>
        <w:t>Following the loss of the Risk and Business Continuity Officer, the opportunity was taken to re-assess how BC should work within the Service. The creation of four Directorates, with the introduction of new management chains provides the means to embed BC as business as usual and not a destiny add-on. Strategic plans are largely complete. Key department plans, Control, Fleet and ICT, are in various states of maturity. (ICT is vital to the organisation. The Major Incident Plan will be presented to the SLT as soon as possible.) All other departmental plans are reviewed. An aggressive exercise programme is required to ensure all plans are fit for purpose.</w:t>
      </w:r>
      <w:r w:rsidR="003F20B5">
        <w:rPr>
          <w:sz w:val="22"/>
          <w:szCs w:val="22"/>
        </w:rPr>
        <w:t xml:space="preserve"> An overview of Business Continuity can be found in Appendix three.</w:t>
      </w:r>
    </w:p>
    <w:p w:rsidR="00E8225F" w:rsidRPr="00434079" w:rsidRDefault="00E8225F" w:rsidP="00E8619F">
      <w:pPr>
        <w:pStyle w:val="NumbList3"/>
        <w:numPr>
          <w:ilvl w:val="0"/>
          <w:numId w:val="11"/>
        </w:numPr>
        <w:spacing w:after="240"/>
        <w:ind w:left="360"/>
        <w:jc w:val="both"/>
        <w:rPr>
          <w:sz w:val="22"/>
          <w:szCs w:val="22"/>
        </w:rPr>
      </w:pPr>
      <w:r w:rsidRPr="00434079">
        <w:rPr>
          <w:sz w:val="22"/>
          <w:szCs w:val="22"/>
        </w:rPr>
        <w:t>Mindful of the need to find savings, the BC lead post will be filled for a 12, or maybe 15, month period. The remit would be to deliver a concluded BC programme, with a light touch plan review to hand over to the new Directors. The position is currently being recruited against.</w:t>
      </w:r>
    </w:p>
    <w:p w:rsidR="00E8225F" w:rsidRPr="00434079" w:rsidRDefault="00E8225F" w:rsidP="00E8619F">
      <w:pPr>
        <w:pStyle w:val="Heading1"/>
        <w:jc w:val="both"/>
        <w:rPr>
          <w:rFonts w:cs="Arial"/>
          <w:sz w:val="22"/>
          <w:szCs w:val="22"/>
        </w:rPr>
      </w:pPr>
      <w:r w:rsidRPr="00434079">
        <w:rPr>
          <w:rFonts w:cs="Arial"/>
          <w:sz w:val="22"/>
          <w:szCs w:val="22"/>
        </w:rPr>
        <w:t>Benefits and Risk Implications</w:t>
      </w:r>
    </w:p>
    <w:p w:rsidR="00E8225F" w:rsidRPr="00434079" w:rsidRDefault="00E8225F" w:rsidP="00E8619F">
      <w:pPr>
        <w:pStyle w:val="NumbList3"/>
        <w:numPr>
          <w:ilvl w:val="0"/>
          <w:numId w:val="11"/>
        </w:numPr>
        <w:ind w:left="360"/>
        <w:jc w:val="both"/>
        <w:rPr>
          <w:sz w:val="22"/>
          <w:szCs w:val="22"/>
        </w:rPr>
      </w:pPr>
      <w:r w:rsidRPr="00434079">
        <w:rPr>
          <w:sz w:val="22"/>
          <w:szCs w:val="22"/>
        </w:rPr>
        <w:t xml:space="preserve">A Business Continuity Internal Audit is anticipated in the second or third calendar quarter of 2019. There is much to do in the Service towards Peer review and HMIC Inspection. Nonetheless, BC planning is part and parcel of what we are, what we do, and on what we can anticipate questions. Great progress has been made regarding further embedding risk management. </w:t>
      </w:r>
      <w:r w:rsidR="00434079" w:rsidRPr="00434079">
        <w:rPr>
          <w:sz w:val="22"/>
          <w:szCs w:val="22"/>
        </w:rPr>
        <w:t>The</w:t>
      </w:r>
      <w:r w:rsidRPr="00434079">
        <w:rPr>
          <w:sz w:val="22"/>
          <w:szCs w:val="22"/>
        </w:rPr>
        <w:t xml:space="preserve"> same progress is now needed in our Business Continuity Management.</w:t>
      </w:r>
    </w:p>
    <w:p w:rsidR="00E8225F" w:rsidRPr="00434079" w:rsidRDefault="00E8225F" w:rsidP="00E8619F">
      <w:pPr>
        <w:pStyle w:val="NumbList3"/>
        <w:numPr>
          <w:ilvl w:val="0"/>
          <w:numId w:val="0"/>
        </w:numPr>
        <w:ind w:left="76" w:hanging="360"/>
        <w:jc w:val="both"/>
        <w:rPr>
          <w:sz w:val="22"/>
          <w:szCs w:val="22"/>
        </w:rPr>
      </w:pPr>
    </w:p>
    <w:p w:rsidR="00E8225F" w:rsidRPr="00434079" w:rsidRDefault="00E8225F" w:rsidP="003F20B5">
      <w:pPr>
        <w:pStyle w:val="Heading1"/>
        <w:spacing w:after="0"/>
        <w:jc w:val="both"/>
        <w:rPr>
          <w:rFonts w:cs="Arial"/>
          <w:sz w:val="22"/>
          <w:szCs w:val="22"/>
        </w:rPr>
      </w:pPr>
      <w:r w:rsidRPr="00434079">
        <w:rPr>
          <w:rFonts w:cs="Arial"/>
          <w:sz w:val="22"/>
          <w:szCs w:val="22"/>
        </w:rPr>
        <w:t>Financial Implications</w:t>
      </w:r>
    </w:p>
    <w:p w:rsidR="00E8225F" w:rsidRDefault="00E8225F" w:rsidP="003F20B5">
      <w:pPr>
        <w:pStyle w:val="NumbList3"/>
        <w:numPr>
          <w:ilvl w:val="0"/>
          <w:numId w:val="11"/>
        </w:numPr>
        <w:ind w:left="360"/>
        <w:jc w:val="both"/>
        <w:rPr>
          <w:sz w:val="22"/>
          <w:szCs w:val="22"/>
        </w:rPr>
      </w:pPr>
      <w:r w:rsidRPr="00434079">
        <w:rPr>
          <w:sz w:val="22"/>
          <w:szCs w:val="22"/>
        </w:rPr>
        <w:t>None at this stage.</w:t>
      </w:r>
    </w:p>
    <w:p w:rsidR="003F20B5" w:rsidRPr="00434079" w:rsidRDefault="003F20B5" w:rsidP="003F20B5">
      <w:pPr>
        <w:pStyle w:val="NumbList3"/>
        <w:numPr>
          <w:ilvl w:val="0"/>
          <w:numId w:val="0"/>
        </w:numPr>
        <w:ind w:left="360"/>
        <w:jc w:val="both"/>
        <w:rPr>
          <w:sz w:val="22"/>
          <w:szCs w:val="22"/>
        </w:rPr>
      </w:pPr>
    </w:p>
    <w:p w:rsidR="00E8225F" w:rsidRPr="00434079" w:rsidRDefault="00E8225F" w:rsidP="003F20B5">
      <w:pPr>
        <w:pStyle w:val="Heading1"/>
        <w:spacing w:after="0"/>
        <w:jc w:val="both"/>
        <w:rPr>
          <w:rFonts w:cs="Arial"/>
          <w:sz w:val="22"/>
          <w:szCs w:val="22"/>
        </w:rPr>
      </w:pPr>
      <w:r w:rsidRPr="00434079">
        <w:rPr>
          <w:rFonts w:cs="Arial"/>
          <w:sz w:val="22"/>
          <w:szCs w:val="22"/>
        </w:rPr>
        <w:t>Equality and Diversity Implications</w:t>
      </w:r>
    </w:p>
    <w:p w:rsidR="00E8225F" w:rsidRDefault="00E8225F" w:rsidP="003F20B5">
      <w:pPr>
        <w:pStyle w:val="NumbList3"/>
        <w:numPr>
          <w:ilvl w:val="0"/>
          <w:numId w:val="11"/>
        </w:numPr>
        <w:ind w:left="360"/>
        <w:jc w:val="both"/>
        <w:rPr>
          <w:sz w:val="22"/>
          <w:szCs w:val="22"/>
        </w:rPr>
      </w:pPr>
      <w:r w:rsidRPr="00434079">
        <w:rPr>
          <w:sz w:val="22"/>
          <w:szCs w:val="22"/>
        </w:rPr>
        <w:t>None at this stage.</w:t>
      </w:r>
    </w:p>
    <w:p w:rsidR="003F20B5" w:rsidRPr="00434079" w:rsidRDefault="003F20B5" w:rsidP="003F20B5">
      <w:pPr>
        <w:pStyle w:val="NumbList3"/>
        <w:numPr>
          <w:ilvl w:val="0"/>
          <w:numId w:val="0"/>
        </w:numPr>
        <w:ind w:left="360"/>
        <w:jc w:val="both"/>
        <w:rPr>
          <w:sz w:val="22"/>
          <w:szCs w:val="22"/>
        </w:rPr>
      </w:pPr>
    </w:p>
    <w:p w:rsidR="00E8225F" w:rsidRPr="00434079" w:rsidRDefault="00E8225F" w:rsidP="003F20B5">
      <w:pPr>
        <w:pStyle w:val="Heading1"/>
        <w:spacing w:after="0"/>
        <w:jc w:val="both"/>
        <w:rPr>
          <w:rFonts w:cs="Arial"/>
          <w:sz w:val="22"/>
          <w:szCs w:val="22"/>
        </w:rPr>
      </w:pPr>
      <w:r w:rsidRPr="00434079">
        <w:rPr>
          <w:rFonts w:cs="Arial"/>
          <w:sz w:val="22"/>
          <w:szCs w:val="22"/>
        </w:rPr>
        <w:t>Workforce Engagement</w:t>
      </w:r>
    </w:p>
    <w:p w:rsidR="00E8225F" w:rsidRDefault="00E8225F" w:rsidP="003F20B5">
      <w:pPr>
        <w:pStyle w:val="NumbList3"/>
        <w:numPr>
          <w:ilvl w:val="0"/>
          <w:numId w:val="11"/>
        </w:numPr>
        <w:ind w:left="360"/>
        <w:jc w:val="both"/>
        <w:rPr>
          <w:sz w:val="22"/>
          <w:szCs w:val="22"/>
        </w:rPr>
      </w:pPr>
      <w:r w:rsidRPr="00434079">
        <w:rPr>
          <w:sz w:val="22"/>
          <w:szCs w:val="22"/>
        </w:rPr>
        <w:t>As ever, the SLT is encouraged to engage with risk and business continuity management.</w:t>
      </w:r>
    </w:p>
    <w:p w:rsidR="003F20B5" w:rsidRPr="00434079" w:rsidRDefault="003F20B5" w:rsidP="003F20B5">
      <w:pPr>
        <w:pStyle w:val="NumbList3"/>
        <w:numPr>
          <w:ilvl w:val="0"/>
          <w:numId w:val="0"/>
        </w:numPr>
        <w:ind w:left="360"/>
        <w:jc w:val="both"/>
        <w:rPr>
          <w:sz w:val="22"/>
          <w:szCs w:val="22"/>
        </w:rPr>
      </w:pPr>
    </w:p>
    <w:p w:rsidR="00E8225F" w:rsidRPr="00434079" w:rsidRDefault="00E8225F" w:rsidP="003F20B5">
      <w:pPr>
        <w:pStyle w:val="Heading1"/>
        <w:spacing w:after="0"/>
        <w:jc w:val="both"/>
        <w:rPr>
          <w:rFonts w:cs="Arial"/>
          <w:sz w:val="22"/>
          <w:szCs w:val="22"/>
        </w:rPr>
      </w:pPr>
      <w:r w:rsidRPr="00434079">
        <w:rPr>
          <w:rFonts w:cs="Arial"/>
          <w:sz w:val="22"/>
          <w:szCs w:val="22"/>
        </w:rPr>
        <w:t>Legal Implications</w:t>
      </w:r>
    </w:p>
    <w:p w:rsidR="00E8225F" w:rsidRPr="00434079" w:rsidRDefault="00E8225F" w:rsidP="003F20B5">
      <w:pPr>
        <w:pStyle w:val="NumbList3"/>
        <w:numPr>
          <w:ilvl w:val="0"/>
          <w:numId w:val="11"/>
        </w:numPr>
        <w:ind w:left="360"/>
        <w:jc w:val="both"/>
        <w:rPr>
          <w:sz w:val="22"/>
          <w:szCs w:val="22"/>
        </w:rPr>
      </w:pPr>
      <w:r w:rsidRPr="00434079">
        <w:rPr>
          <w:sz w:val="22"/>
          <w:szCs w:val="22"/>
        </w:rPr>
        <w:t>None at this stage.</w:t>
      </w:r>
    </w:p>
    <w:p w:rsidR="00E8225F" w:rsidRPr="00434079" w:rsidRDefault="00E8225F" w:rsidP="003F20B5">
      <w:pPr>
        <w:spacing w:after="0" w:line="240" w:lineRule="auto"/>
        <w:jc w:val="both"/>
        <w:rPr>
          <w:rFonts w:ascii="Arial" w:hAnsi="Arial" w:cs="Arial"/>
        </w:rPr>
      </w:pPr>
    </w:p>
    <w:sectPr w:rsidR="00E8225F" w:rsidRPr="00434079" w:rsidSect="004340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CE" w:rsidRDefault="00FA00CE" w:rsidP="00FA00CE">
      <w:pPr>
        <w:spacing w:after="0" w:line="240" w:lineRule="auto"/>
      </w:pPr>
      <w:r>
        <w:separator/>
      </w:r>
    </w:p>
  </w:endnote>
  <w:endnote w:type="continuationSeparator" w:id="0">
    <w:p w:rsidR="00FA00CE" w:rsidRDefault="00FA00CE" w:rsidP="00FA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3001"/>
      <w:docPartObj>
        <w:docPartGallery w:val="Page Numbers (Bottom of Page)"/>
        <w:docPartUnique/>
      </w:docPartObj>
    </w:sdtPr>
    <w:sdtEndPr>
      <w:rPr>
        <w:noProof/>
      </w:rPr>
    </w:sdtEndPr>
    <w:sdtContent>
      <w:p w:rsidR="00FA00CE" w:rsidRDefault="00FA00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00CE" w:rsidRDefault="00FA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CE" w:rsidRDefault="00FA00CE" w:rsidP="00FA00CE">
      <w:pPr>
        <w:spacing w:after="0" w:line="240" w:lineRule="auto"/>
      </w:pPr>
      <w:r>
        <w:separator/>
      </w:r>
    </w:p>
  </w:footnote>
  <w:footnote w:type="continuationSeparator" w:id="0">
    <w:p w:rsidR="00FA00CE" w:rsidRDefault="00FA00CE" w:rsidP="00FA0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674"/>
    <w:multiLevelType w:val="hybridMultilevel"/>
    <w:tmpl w:val="87E26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B84C25"/>
    <w:multiLevelType w:val="hybridMultilevel"/>
    <w:tmpl w:val="D4E84BE0"/>
    <w:lvl w:ilvl="0" w:tplc="EF8442AC">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DD31DF"/>
    <w:multiLevelType w:val="hybridMultilevel"/>
    <w:tmpl w:val="EB98AF5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27166B0"/>
    <w:multiLevelType w:val="hybridMultilevel"/>
    <w:tmpl w:val="6F360A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A051E5E"/>
    <w:multiLevelType w:val="hybridMultilevel"/>
    <w:tmpl w:val="82347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DE0181"/>
    <w:multiLevelType w:val="hybridMultilevel"/>
    <w:tmpl w:val="D6B6C414"/>
    <w:lvl w:ilvl="0" w:tplc="D41A62D0">
      <w:start w:val="1"/>
      <w:numFmt w:val="decimal"/>
      <w:pStyle w:val="NumbList3"/>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7B70C7E"/>
    <w:multiLevelType w:val="hybridMultilevel"/>
    <w:tmpl w:val="86B432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9D0654E"/>
    <w:multiLevelType w:val="hybridMultilevel"/>
    <w:tmpl w:val="45B0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71C1B"/>
    <w:multiLevelType w:val="hybridMultilevel"/>
    <w:tmpl w:val="94A4E6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6593D6E"/>
    <w:multiLevelType w:val="hybridMultilevel"/>
    <w:tmpl w:val="E692F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A08CA"/>
    <w:multiLevelType w:val="hybridMultilevel"/>
    <w:tmpl w:val="A69A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8265E1"/>
    <w:multiLevelType w:val="hybridMultilevel"/>
    <w:tmpl w:val="64FEE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num>
  <w:num w:numId="3">
    <w:abstractNumId w:val="4"/>
  </w:num>
  <w:num w:numId="4">
    <w:abstractNumId w:val="11"/>
  </w:num>
  <w:num w:numId="5">
    <w:abstractNumId w:val="10"/>
  </w:num>
  <w:num w:numId="6">
    <w:abstractNumId w:val="8"/>
  </w:num>
  <w:num w:numId="7">
    <w:abstractNumId w:val="6"/>
  </w:num>
  <w:num w:numId="8">
    <w:abstractNumId w:val="3"/>
  </w:num>
  <w:num w:numId="9">
    <w:abstractNumId w:val="1"/>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5F"/>
    <w:rsid w:val="003E60A6"/>
    <w:rsid w:val="003F20B5"/>
    <w:rsid w:val="00434079"/>
    <w:rsid w:val="009A759B"/>
    <w:rsid w:val="00A65E04"/>
    <w:rsid w:val="00C80529"/>
    <w:rsid w:val="00DA027C"/>
    <w:rsid w:val="00E65042"/>
    <w:rsid w:val="00E8225F"/>
    <w:rsid w:val="00E8619F"/>
    <w:rsid w:val="00FA00CE"/>
    <w:rsid w:val="00FD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F435"/>
  <w15:chartTrackingRefBased/>
  <w15:docId w15:val="{44EC197D-05D1-4603-BB91-C69B1AF5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225F"/>
    <w:pPr>
      <w:keepNext/>
      <w:keepLines/>
      <w:spacing w:after="240" w:line="240" w:lineRule="auto"/>
      <w:outlineLvl w:val="0"/>
    </w:pPr>
    <w:rPr>
      <w:rFonts w:ascii="Arial" w:eastAsiaTheme="majorEastAsia" w:hAnsi="Arial" w:cstheme="majorBidi"/>
      <w:b/>
      <w:cap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List3">
    <w:name w:val="NumbList3"/>
    <w:basedOn w:val="Normal"/>
    <w:rsid w:val="00E8225F"/>
    <w:pPr>
      <w:numPr>
        <w:numId w:val="1"/>
      </w:num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8225F"/>
    <w:pPr>
      <w:ind w:left="720"/>
      <w:contextualSpacing/>
    </w:pPr>
  </w:style>
  <w:style w:type="character" w:customStyle="1" w:styleId="Heading1Char">
    <w:name w:val="Heading 1 Char"/>
    <w:basedOn w:val="DefaultParagraphFont"/>
    <w:link w:val="Heading1"/>
    <w:rsid w:val="00E8225F"/>
    <w:rPr>
      <w:rFonts w:ascii="Arial" w:eastAsiaTheme="majorEastAsia" w:hAnsi="Arial" w:cstheme="majorBidi"/>
      <w:b/>
      <w:caps/>
      <w:color w:val="000000" w:themeColor="text1"/>
      <w:sz w:val="24"/>
      <w:szCs w:val="32"/>
    </w:rPr>
  </w:style>
  <w:style w:type="paragraph" w:styleId="Header">
    <w:name w:val="header"/>
    <w:basedOn w:val="Normal"/>
    <w:link w:val="HeaderChar"/>
    <w:uiPriority w:val="99"/>
    <w:unhideWhenUsed/>
    <w:rsid w:val="00FA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CE"/>
  </w:style>
  <w:style w:type="paragraph" w:styleId="Footer">
    <w:name w:val="footer"/>
    <w:basedOn w:val="Normal"/>
    <w:link w:val="FooterChar"/>
    <w:uiPriority w:val="99"/>
    <w:unhideWhenUsed/>
    <w:rsid w:val="00FA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CE"/>
  </w:style>
  <w:style w:type="paragraph" w:styleId="BalloonText">
    <w:name w:val="Balloon Text"/>
    <w:basedOn w:val="Normal"/>
    <w:link w:val="BalloonTextChar"/>
    <w:uiPriority w:val="99"/>
    <w:semiHidden/>
    <w:unhideWhenUsed/>
    <w:rsid w:val="00FA0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Clack</dc:creator>
  <cp:keywords/>
  <dc:description/>
  <cp:lastModifiedBy>Glykeria Anyfanti 42079187</cp:lastModifiedBy>
  <cp:revision>2</cp:revision>
  <cp:lastPrinted>2018-11-27T10:02:00Z</cp:lastPrinted>
  <dcterms:created xsi:type="dcterms:W3CDTF">2018-11-27T10:11:00Z</dcterms:created>
  <dcterms:modified xsi:type="dcterms:W3CDTF">2018-11-27T10:11:00Z</dcterms:modified>
</cp:coreProperties>
</file>