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1F0" w:rsidRPr="00C55BDE" w:rsidRDefault="00FA31F0" w:rsidP="00FA31F0">
      <w:pPr>
        <w:pStyle w:val="Heading1"/>
      </w:pPr>
      <w:bookmarkStart w:id="0" w:name="_GoBack"/>
      <w:bookmarkEnd w:id="0"/>
      <w:r w:rsidRPr="00C55BDE">
        <w:t>REPORT BY THE CHIEF FINANCE OFFICER TO THE ESSEX POLICE, FIRE AND CRIME COMISSIONER FIRE AND RESCUE aUTHORITY</w:t>
      </w:r>
    </w:p>
    <w:p w:rsidR="00FA31F0" w:rsidRPr="00C55BDE" w:rsidRDefault="00FA31F0" w:rsidP="00FA31F0">
      <w:pPr>
        <w:pStyle w:val="NumbList3"/>
        <w:spacing w:after="240"/>
        <w:ind w:left="357" w:hanging="357"/>
      </w:pPr>
      <w:r w:rsidRPr="00C55BDE">
        <w:t xml:space="preserve">This paper provides a report by the </w:t>
      </w:r>
      <w:r w:rsidR="006E313E">
        <w:t>Chief Finance Officer</w:t>
      </w:r>
      <w:r w:rsidRPr="00C55BDE">
        <w:t xml:space="preserve"> that reviews of the risks within the 201</w:t>
      </w:r>
      <w:r w:rsidR="006E313E">
        <w:t>9-20</w:t>
      </w:r>
      <w:r w:rsidRPr="00C55BDE">
        <w:t xml:space="preserve"> budget:</w:t>
      </w:r>
    </w:p>
    <w:p w:rsidR="00FA31F0" w:rsidRPr="00C55BDE" w:rsidRDefault="00FA31F0" w:rsidP="00FA31F0">
      <w:pPr>
        <w:pStyle w:val="Heading1"/>
      </w:pPr>
      <w:r w:rsidRPr="00C55BDE">
        <w:t>Introduction</w:t>
      </w:r>
    </w:p>
    <w:p w:rsidR="00FA31F0" w:rsidRPr="00C55BDE" w:rsidRDefault="00FA31F0" w:rsidP="00FA31F0">
      <w:pPr>
        <w:pStyle w:val="NumbList3"/>
        <w:spacing w:after="240"/>
        <w:ind w:left="357" w:hanging="357"/>
      </w:pPr>
      <w:r w:rsidRPr="00C55BDE">
        <w:t xml:space="preserve">The Local Government Act 2003 Section 25 includes a specific personal duty on the “Chief Finance Officer” to make a report to the Authority when it is considering its budget and Council Tax.  The report must deal with the robustness of the estimates included within the budget and the adequacy of reserves for which the budget provides.  The Act requires </w:t>
      </w:r>
      <w:r w:rsidR="006E313E">
        <w:t>the Authority</w:t>
      </w:r>
      <w:r w:rsidRPr="00C55BDE">
        <w:t xml:space="preserve"> to have regard to the report in making their decisions.  </w:t>
      </w:r>
    </w:p>
    <w:p w:rsidR="00FA31F0" w:rsidRPr="00C55BDE" w:rsidRDefault="00FA31F0" w:rsidP="00FA31F0">
      <w:pPr>
        <w:pStyle w:val="NumbList3"/>
        <w:spacing w:after="240"/>
        <w:ind w:left="357" w:hanging="357"/>
      </w:pPr>
      <w:r w:rsidRPr="00C55BDE">
        <w:t>Section 26 of the Act gives the Secretary of State power to set a minimum level of reserves for which an Authority must provide in setting its budget.  The Secretary of State indicated that ‘the provisions are a fall back against the circumstances in which an Authority does not act prudently, disregards the advice of its Chief Finance Officer and is heading for serious financial difficulty’.</w:t>
      </w:r>
    </w:p>
    <w:p w:rsidR="00FA31F0" w:rsidRPr="00C55BDE" w:rsidRDefault="00FA31F0" w:rsidP="00FA31F0">
      <w:pPr>
        <w:pStyle w:val="NumbList3"/>
        <w:spacing w:after="240"/>
        <w:ind w:left="357" w:hanging="357"/>
      </w:pPr>
      <w:r w:rsidRPr="00C55BDE">
        <w:t>Sections 32 and 43 of the Local Government Finance Act 1992 also require billing and precepting authorities to have regard to the level of reserves needed for meeting estimated future expenditure when calculating the net budget requirement. There is also a range of safeguards, which either are in place or are about to be introduced, to ensure local authorities do not over-commit themselves financially. These include:</w:t>
      </w:r>
    </w:p>
    <w:p w:rsidR="00FA31F0" w:rsidRPr="00C55BDE" w:rsidRDefault="00FA31F0" w:rsidP="00FA31F0">
      <w:pPr>
        <w:pStyle w:val="Bullet"/>
        <w:numPr>
          <w:ilvl w:val="0"/>
          <w:numId w:val="14"/>
        </w:numPr>
        <w:rPr>
          <w:lang w:val="en-GB"/>
        </w:rPr>
      </w:pPr>
      <w:r w:rsidRPr="00C55BDE">
        <w:rPr>
          <w:lang w:val="en-GB"/>
        </w:rPr>
        <w:t xml:space="preserve">The Chief Finance Officer’s S.114 powers, which require a report to </w:t>
      </w:r>
      <w:r w:rsidR="006E313E">
        <w:rPr>
          <w:lang w:val="en-GB"/>
        </w:rPr>
        <w:t>the Authority</w:t>
      </w:r>
      <w:r w:rsidRPr="00C55BDE">
        <w:rPr>
          <w:lang w:val="en-GB"/>
        </w:rPr>
        <w:t xml:space="preserve"> if there is or is likely to be unlawful expenditure or an unbalanced budget; and</w:t>
      </w:r>
    </w:p>
    <w:p w:rsidR="00FA31F0" w:rsidRPr="00C55BDE" w:rsidRDefault="00FA31F0" w:rsidP="00FA31F0">
      <w:pPr>
        <w:pStyle w:val="Bullet"/>
        <w:rPr>
          <w:lang w:val="en-GB"/>
        </w:rPr>
      </w:pPr>
      <w:r w:rsidRPr="00C55BDE">
        <w:rPr>
          <w:lang w:val="en-GB"/>
        </w:rPr>
        <w:t>The Capital Financing Regulations.</w:t>
      </w:r>
    </w:p>
    <w:p w:rsidR="00FA31F0" w:rsidRPr="00C55BDE" w:rsidRDefault="00FA31F0" w:rsidP="00FA31F0">
      <w:pPr>
        <w:pStyle w:val="Heading1"/>
      </w:pPr>
      <w:r w:rsidRPr="00C55BDE">
        <w:t>Risk Assessment</w:t>
      </w:r>
    </w:p>
    <w:p w:rsidR="00FA31F0" w:rsidRPr="00C55BDE" w:rsidRDefault="00FA31F0" w:rsidP="00FA31F0">
      <w:pPr>
        <w:pStyle w:val="Heading1"/>
      </w:pPr>
      <w:r w:rsidRPr="00C55BDE">
        <w:t>Local Government Act 2003</w:t>
      </w:r>
    </w:p>
    <w:p w:rsidR="00FA31F0" w:rsidRPr="00C55BDE" w:rsidRDefault="00FA31F0" w:rsidP="00FA31F0">
      <w:pPr>
        <w:pStyle w:val="NumbList3"/>
        <w:spacing w:after="240"/>
        <w:ind w:left="357" w:hanging="357"/>
      </w:pPr>
      <w:r w:rsidRPr="00C55BDE">
        <w:t xml:space="preserve">The Local Government Act does not provide any specific guidance on how to evaluate the robustness of the estimates. The explanatory notes to the act do however identify the need to allow for risks and uncertainties that might lead to expenditure exceeding budget by: </w:t>
      </w:r>
    </w:p>
    <w:p w:rsidR="00FA31F0" w:rsidRPr="00C55BDE" w:rsidRDefault="00FA31F0" w:rsidP="00FA31F0">
      <w:pPr>
        <w:pStyle w:val="Bullet"/>
        <w:numPr>
          <w:ilvl w:val="0"/>
          <w:numId w:val="15"/>
        </w:numPr>
        <w:rPr>
          <w:lang w:val="en-GB"/>
        </w:rPr>
      </w:pPr>
      <w:r w:rsidRPr="00C55BDE">
        <w:rPr>
          <w:lang w:val="en-GB"/>
        </w:rPr>
        <w:t>Making prudent allowance in the estimates; and in addition</w:t>
      </w:r>
    </w:p>
    <w:p w:rsidR="00FA31F0" w:rsidRPr="00C55BDE" w:rsidRDefault="00FA31F0" w:rsidP="00FA31F0">
      <w:pPr>
        <w:pStyle w:val="Bullet"/>
        <w:rPr>
          <w:lang w:val="en-GB"/>
        </w:rPr>
      </w:pPr>
      <w:r w:rsidRPr="00C55BDE">
        <w:rPr>
          <w:lang w:val="en-GB"/>
        </w:rPr>
        <w:t>Ensuring that there are adequate reserves to draw on if the estimates turn out to be insufficient.</w:t>
      </w:r>
    </w:p>
    <w:p w:rsidR="00FA31F0" w:rsidRPr="00C55BDE" w:rsidRDefault="00FA31F0" w:rsidP="00FA31F0">
      <w:pPr>
        <w:pStyle w:val="NumbList3"/>
        <w:spacing w:after="240"/>
        <w:ind w:left="357" w:hanging="357"/>
      </w:pPr>
      <w:r w:rsidRPr="00C55BDE">
        <w:t xml:space="preserve">It is stressed that decisions on the appropriate level of reserves should not be based on a rule of thumb but on an assessment of all the circumstances considered likely to affect the Authority. </w:t>
      </w:r>
    </w:p>
    <w:p w:rsidR="00FA31F0" w:rsidRPr="00C55BDE" w:rsidRDefault="00FA31F0" w:rsidP="00FA31F0">
      <w:pPr>
        <w:pStyle w:val="Heading1"/>
      </w:pPr>
      <w:r w:rsidRPr="00C55BDE">
        <w:t>CIPFA Guidance Note on Local Authority Reserves and Balances</w:t>
      </w:r>
    </w:p>
    <w:p w:rsidR="00FA31F0" w:rsidRPr="00C55BDE" w:rsidRDefault="00FA31F0" w:rsidP="00FA31F0">
      <w:pPr>
        <w:pStyle w:val="NumbList3"/>
        <w:spacing w:after="240"/>
        <w:ind w:left="357" w:hanging="357"/>
      </w:pPr>
      <w:r w:rsidRPr="00C55BDE">
        <w:t>The Chartered Institute of Public Finance Accountancy (CIPFA) states that the following factors should be taken into account when the Chief Finance Officer considers the overall level of reserves and balances:</w:t>
      </w:r>
    </w:p>
    <w:p w:rsidR="00FA31F0" w:rsidRPr="00C55BDE" w:rsidRDefault="00FA31F0" w:rsidP="00FA31F0">
      <w:pPr>
        <w:pStyle w:val="Bullet"/>
        <w:numPr>
          <w:ilvl w:val="0"/>
          <w:numId w:val="16"/>
        </w:numPr>
        <w:rPr>
          <w:lang w:val="en-GB"/>
        </w:rPr>
      </w:pPr>
      <w:r w:rsidRPr="00C55BDE">
        <w:rPr>
          <w:lang w:val="en-GB"/>
        </w:rPr>
        <w:t>Assumptions regarding inflation;</w:t>
      </w:r>
    </w:p>
    <w:p w:rsidR="00FA31F0" w:rsidRPr="00C55BDE" w:rsidRDefault="00FA31F0" w:rsidP="00FA31F0">
      <w:pPr>
        <w:pStyle w:val="Bullet"/>
        <w:rPr>
          <w:lang w:val="en-GB"/>
        </w:rPr>
      </w:pPr>
      <w:r w:rsidRPr="00C55BDE">
        <w:rPr>
          <w:lang w:val="en-GB"/>
        </w:rPr>
        <w:lastRenderedPageBreak/>
        <w:t>Estimates of the level and timing of capital receipts;</w:t>
      </w:r>
    </w:p>
    <w:p w:rsidR="00FA31F0" w:rsidRPr="00C55BDE" w:rsidRDefault="00FA31F0" w:rsidP="00FA31F0">
      <w:pPr>
        <w:pStyle w:val="Bullet"/>
        <w:rPr>
          <w:lang w:val="en-GB"/>
        </w:rPr>
      </w:pPr>
      <w:r w:rsidRPr="00C55BDE">
        <w:rPr>
          <w:lang w:val="en-GB"/>
        </w:rPr>
        <w:t>Treatment of demand led pressures;</w:t>
      </w:r>
    </w:p>
    <w:p w:rsidR="00FA31F0" w:rsidRPr="00C55BDE" w:rsidRDefault="00FA31F0" w:rsidP="00FA31F0">
      <w:pPr>
        <w:pStyle w:val="Bullet"/>
        <w:rPr>
          <w:lang w:val="en-GB"/>
        </w:rPr>
      </w:pPr>
      <w:r w:rsidRPr="00C55BDE">
        <w:rPr>
          <w:lang w:val="en-GB"/>
        </w:rPr>
        <w:t>Treatment of savings;</w:t>
      </w:r>
    </w:p>
    <w:p w:rsidR="00FA31F0" w:rsidRPr="00C55BDE" w:rsidRDefault="00FA31F0" w:rsidP="00FA31F0">
      <w:pPr>
        <w:pStyle w:val="Bullet"/>
        <w:rPr>
          <w:lang w:val="en-GB"/>
        </w:rPr>
      </w:pPr>
      <w:r w:rsidRPr="00C55BDE">
        <w:rPr>
          <w:lang w:val="en-GB"/>
        </w:rPr>
        <w:t>Risks inherent in any new partnerships etc.;</w:t>
      </w:r>
    </w:p>
    <w:p w:rsidR="00FA31F0" w:rsidRPr="00C55BDE" w:rsidRDefault="00FA31F0" w:rsidP="00FA31F0">
      <w:pPr>
        <w:pStyle w:val="Bullet"/>
        <w:rPr>
          <w:lang w:val="en-GB"/>
        </w:rPr>
      </w:pPr>
      <w:r w:rsidRPr="00C55BDE">
        <w:rPr>
          <w:lang w:val="en-GB"/>
        </w:rPr>
        <w:t>Financial standing of the Authority (i.e. level of borrowing, debt outstanding etc.);</w:t>
      </w:r>
    </w:p>
    <w:p w:rsidR="00FA31F0" w:rsidRPr="00C55BDE" w:rsidRDefault="00FA31F0" w:rsidP="00FA31F0">
      <w:pPr>
        <w:pStyle w:val="Bullet"/>
        <w:rPr>
          <w:lang w:val="en-GB"/>
        </w:rPr>
      </w:pPr>
      <w:r w:rsidRPr="00C55BDE">
        <w:rPr>
          <w:lang w:val="en-GB"/>
        </w:rPr>
        <w:t>The Authority’s track record in budget management;</w:t>
      </w:r>
    </w:p>
    <w:p w:rsidR="00FA31F0" w:rsidRPr="00C55BDE" w:rsidRDefault="00FA31F0" w:rsidP="00FA31F0">
      <w:pPr>
        <w:pStyle w:val="Bullet"/>
        <w:rPr>
          <w:lang w:val="en-GB"/>
        </w:rPr>
      </w:pPr>
      <w:r w:rsidRPr="00C55BDE">
        <w:rPr>
          <w:lang w:val="en-GB"/>
        </w:rPr>
        <w:t>The Authority’s capacity to manage in-year budget pressures;</w:t>
      </w:r>
    </w:p>
    <w:p w:rsidR="00FA31F0" w:rsidRPr="00C55BDE" w:rsidRDefault="00FA31F0" w:rsidP="00FA31F0">
      <w:pPr>
        <w:pStyle w:val="Bullet"/>
        <w:rPr>
          <w:lang w:val="en-GB"/>
        </w:rPr>
      </w:pPr>
      <w:r w:rsidRPr="00C55BDE">
        <w:rPr>
          <w:lang w:val="en-GB"/>
        </w:rPr>
        <w:t>The Authority’s virements and year-end procedures in relation to under and overspends;</w:t>
      </w:r>
    </w:p>
    <w:p w:rsidR="00FA31F0" w:rsidRPr="00C55BDE" w:rsidRDefault="00FA31F0" w:rsidP="00FA31F0">
      <w:pPr>
        <w:pStyle w:val="Bullet"/>
        <w:rPr>
          <w:lang w:val="en-GB"/>
        </w:rPr>
      </w:pPr>
      <w:r w:rsidRPr="00C55BDE">
        <w:rPr>
          <w:lang w:val="en-GB"/>
        </w:rPr>
        <w:t>The adequacy of insurance arrangements.</w:t>
      </w:r>
    </w:p>
    <w:p w:rsidR="00FA31F0" w:rsidRPr="00C55BDE" w:rsidRDefault="00FA31F0" w:rsidP="00FA31F0">
      <w:pPr>
        <w:pStyle w:val="BodyText2"/>
      </w:pPr>
      <w:r w:rsidRPr="00C55BDE">
        <w:t>The above are also of relevance when evaluating the robustness of the budget and the subsequent analysis includes comments on these issues.</w:t>
      </w:r>
    </w:p>
    <w:p w:rsidR="00FA31F0" w:rsidRPr="00C55BDE" w:rsidRDefault="00FA31F0" w:rsidP="00FA31F0">
      <w:pPr>
        <w:pStyle w:val="Heading1"/>
      </w:pPr>
      <w:r w:rsidRPr="00C55BDE">
        <w:t>Issues considered when evaluating the robustness of the estimates and the adequacy of the proposed financial reserves</w:t>
      </w:r>
    </w:p>
    <w:p w:rsidR="00FA31F0" w:rsidRPr="00C55BDE" w:rsidRDefault="00FA31F0" w:rsidP="00FA31F0">
      <w:pPr>
        <w:pStyle w:val="Heading1"/>
      </w:pPr>
      <w:r w:rsidRPr="00C55BDE">
        <w:t>Inflationary pressures</w:t>
      </w:r>
    </w:p>
    <w:p w:rsidR="00FA31F0" w:rsidRPr="00C55BDE" w:rsidRDefault="00FA31F0" w:rsidP="00FA31F0">
      <w:pPr>
        <w:pStyle w:val="NumbList3"/>
        <w:spacing w:after="240"/>
        <w:ind w:left="357" w:hanging="357"/>
      </w:pPr>
      <w:r w:rsidRPr="00C55BDE">
        <w:t xml:space="preserve">The background economic climate has a higher degree of uncertainty than in recent </w:t>
      </w:r>
      <w:r w:rsidR="000F26EE" w:rsidRPr="00C55BDE">
        <w:t>years</w:t>
      </w:r>
      <w:r w:rsidR="000F26EE">
        <w:t>;</w:t>
      </w:r>
      <w:r w:rsidR="00D240EB">
        <w:t xml:space="preserve"> the outlook will depend significantly on the nature of EU withdrawal.</w:t>
      </w:r>
      <w:r w:rsidRPr="00C55BDE">
        <w:t xml:space="preserve"> The outlook for inflation is above the 2% target set for the Bank of England.  The Bank of England’s November 201</w:t>
      </w:r>
      <w:r w:rsidR="00D240EB">
        <w:t>8</w:t>
      </w:r>
      <w:r w:rsidRPr="00C55BDE">
        <w:t xml:space="preserve"> inflation forecast (CPI) is shown below:</w:t>
      </w:r>
    </w:p>
    <w:p w:rsidR="00FA31F0" w:rsidRPr="00C55BDE" w:rsidRDefault="00D240EB" w:rsidP="00FA31F0">
      <w:pPr>
        <w:pStyle w:val="StyleBodyTextIndentBodyTextCentreTimesNewRoman12ptA"/>
        <w:rPr>
          <w:lang w:val="en-GB"/>
        </w:rPr>
      </w:pPr>
      <w:r>
        <w:rPr>
          <w:noProof/>
          <w:lang w:val="en-GB" w:eastAsia="en-GB"/>
        </w:rPr>
        <w:drawing>
          <wp:inline distT="0" distB="0" distL="0" distR="0" wp14:anchorId="1CCB8914" wp14:editId="5B6A83A0">
            <wp:extent cx="3486150"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6150" cy="2419350"/>
                    </a:xfrm>
                    <a:prstGeom prst="rect">
                      <a:avLst/>
                    </a:prstGeom>
                  </pic:spPr>
                </pic:pic>
              </a:graphicData>
            </a:graphic>
          </wp:inline>
        </w:drawing>
      </w:r>
    </w:p>
    <w:p w:rsidR="00FA31F0" w:rsidRPr="00C55BDE" w:rsidRDefault="00FA31F0" w:rsidP="00FA31F0">
      <w:pPr>
        <w:pStyle w:val="NumbList3"/>
        <w:spacing w:after="240"/>
        <w:ind w:left="357" w:hanging="357"/>
      </w:pPr>
      <w:r w:rsidRPr="00C55BDE">
        <w:t>A key element in the budget preparation process is building in an appropriate allowance for inflation up to 31 March 20</w:t>
      </w:r>
      <w:r w:rsidR="00E60FE0">
        <w:t>20</w:t>
      </w:r>
      <w:r w:rsidRPr="00C55BDE">
        <w:t>.  The budget assumes that fuel</w:t>
      </w:r>
      <w:r w:rsidR="00E60FE0">
        <w:t>,</w:t>
      </w:r>
      <w:r w:rsidRPr="00C55BDE">
        <w:t xml:space="preserve"> utility </w:t>
      </w:r>
      <w:r w:rsidR="00E60FE0">
        <w:t>and business rates</w:t>
      </w:r>
      <w:r w:rsidRPr="00C55BDE">
        <w:t xml:space="preserve"> will increase, no other specific allowances have been built into the budget for </w:t>
      </w:r>
      <w:r w:rsidR="004F59D5">
        <w:t xml:space="preserve">non-pay </w:t>
      </w:r>
      <w:r w:rsidRPr="00C55BDE">
        <w:t xml:space="preserve">price inflation.  </w:t>
      </w:r>
      <w:r w:rsidR="00E60FE0">
        <w:t>Pay budgets include 2% pay inflation in the year.</w:t>
      </w:r>
      <w:r w:rsidRPr="00C55BDE">
        <w:t xml:space="preserve"> If the requirement to increase cash budgets because of pay awards exceeds this provision then either offsetting savings will need to be found elsewhere in the budget, or the additional costs in 201</w:t>
      </w:r>
      <w:r w:rsidR="00E60FE0">
        <w:t>9</w:t>
      </w:r>
      <w:r w:rsidRPr="00C55BDE">
        <w:t>/</w:t>
      </w:r>
      <w:r w:rsidR="00E60FE0">
        <w:t>20</w:t>
      </w:r>
      <w:r w:rsidRPr="00C55BDE">
        <w:t xml:space="preserve"> will have to be funded from reserves.  In most cases, Budget Managers absorb</w:t>
      </w:r>
      <w:r w:rsidR="004F59D5">
        <w:t xml:space="preserve"> non-pay </w:t>
      </w:r>
      <w:r w:rsidRPr="00C55BDE">
        <w:t>inflationary pressures within their departmental budgets.</w:t>
      </w:r>
    </w:p>
    <w:p w:rsidR="00FA31F0" w:rsidRPr="00C55BDE" w:rsidRDefault="00FA31F0" w:rsidP="00FA31F0">
      <w:pPr>
        <w:pStyle w:val="NumbList3"/>
        <w:spacing w:after="240"/>
        <w:ind w:left="357" w:hanging="357"/>
      </w:pPr>
      <w:r w:rsidRPr="00C55BDE">
        <w:t xml:space="preserve">To assess whether the inflation allowance is adequate it is necessary to consider the impact of both pay and non-pay inflation pressures.  </w:t>
      </w:r>
      <w:r w:rsidR="004F59D5">
        <w:t xml:space="preserve">Any further across the board pay inflation above the 2% allowed for in the 2019-20 budget would increase the pay </w:t>
      </w:r>
      <w:r w:rsidR="004F59D5">
        <w:lastRenderedPageBreak/>
        <w:t>bill by c. £500k for each additional 1% of pay costs.</w:t>
      </w:r>
      <w:r w:rsidRPr="00C55BDE">
        <w:t xml:space="preserve"> Discussion on higher increases, linked to changes to the Firefighters role map are in progress, and the employers have indicated that any higher increase would need additional government funding or precept flexibility.  </w:t>
      </w:r>
    </w:p>
    <w:p w:rsidR="00FA31F0" w:rsidRPr="00C55BDE" w:rsidRDefault="00FA31F0" w:rsidP="00FA31F0">
      <w:pPr>
        <w:pStyle w:val="NumbList3"/>
        <w:spacing w:after="240"/>
        <w:ind w:left="357" w:hanging="357"/>
      </w:pPr>
      <w:r w:rsidRPr="00C55BDE">
        <w:t>Government expectations are that public sector pay increases will continue to be limited over the next few years.  Local government has already complied with government pressure, but future increases, perhaps linked to changes in the overall terms and conditions agreements are expected.  The main pressure within local government is for the lowest paid staff and the move towards increasing the national living wage.  These changes do not materially affect the Authority’s pay bill.</w:t>
      </w:r>
    </w:p>
    <w:p w:rsidR="00FA31F0" w:rsidRPr="00C55BDE" w:rsidRDefault="00FA31F0" w:rsidP="00FA31F0">
      <w:pPr>
        <w:pStyle w:val="NumbList3"/>
        <w:spacing w:after="240"/>
        <w:ind w:left="357" w:hanging="357"/>
      </w:pPr>
      <w:r w:rsidRPr="00C55BDE">
        <w:t xml:space="preserve">The forecast for inflation is increasing with cost pressures associated with the decline in the exchange rate future economic uncertainty.  There is a risk that </w:t>
      </w:r>
      <w:r w:rsidR="00355C60">
        <w:t>the nature of EU withdrawal and associated future trading conditions</w:t>
      </w:r>
      <w:r w:rsidRPr="00C55BDE">
        <w:t xml:space="preserve"> will flow through to the prices of goods purchased by the Authority.  An overall 4% increase in such costs could add £500k to the Authorities costs.  Existing contractual arrangements for key items including utilities and personal protective equipment means that price inflation will be limited to significantly less than this amount in 201</w:t>
      </w:r>
      <w:r w:rsidR="00355C60">
        <w:t>9</w:t>
      </w:r>
      <w:r w:rsidRPr="00C55BDE">
        <w:t>/</w:t>
      </w:r>
      <w:r w:rsidR="00355C60">
        <w:t>20</w:t>
      </w:r>
      <w:r w:rsidRPr="00C55BDE">
        <w:t xml:space="preserve">.  </w:t>
      </w:r>
    </w:p>
    <w:p w:rsidR="00FA31F0" w:rsidRPr="00C55BDE" w:rsidRDefault="00FA31F0" w:rsidP="00FA31F0">
      <w:pPr>
        <w:pStyle w:val="NumbList3"/>
        <w:spacing w:after="240"/>
        <w:ind w:left="357" w:hanging="357"/>
      </w:pPr>
      <w:r w:rsidRPr="00C55BDE">
        <w:t xml:space="preserve">In summary, inflationary pressures remain a financial risk to the Authority’s budget, but this is manageable within the overall context of the budget and level of </w:t>
      </w:r>
      <w:r w:rsidR="005129B2">
        <w:t>g</w:t>
      </w:r>
      <w:r w:rsidRPr="00C55BDE">
        <w:t xml:space="preserve">eneral </w:t>
      </w:r>
      <w:r w:rsidR="005129B2">
        <w:t>b</w:t>
      </w:r>
      <w:r w:rsidRPr="00C55BDE">
        <w:t>alances.  In addition there is potential for short term cost savings through restricting activity if necessary.</w:t>
      </w:r>
    </w:p>
    <w:p w:rsidR="00FA31F0" w:rsidRPr="00C55BDE" w:rsidRDefault="00FA31F0" w:rsidP="00FA31F0">
      <w:pPr>
        <w:pStyle w:val="Heading1"/>
      </w:pPr>
      <w:r w:rsidRPr="00C55BDE">
        <w:t>Estimates on the level and timing of capital receipts</w:t>
      </w:r>
    </w:p>
    <w:p w:rsidR="00FA31F0" w:rsidRPr="00C55BDE" w:rsidRDefault="00535276" w:rsidP="00FA31F0">
      <w:pPr>
        <w:pStyle w:val="NumbList3"/>
        <w:spacing w:after="240"/>
        <w:ind w:left="357" w:hanging="357"/>
      </w:pPr>
      <w:r>
        <w:t xml:space="preserve">A plan for the disposal of surplus day-crewed housing stock will be put forward during the early summer of 2019. No other </w:t>
      </w:r>
      <w:r w:rsidR="000F26EE">
        <w:t>material</w:t>
      </w:r>
      <w:r>
        <w:t xml:space="preserve"> capital receipts are expected in 2019-20.</w:t>
      </w:r>
    </w:p>
    <w:p w:rsidR="00FA31F0" w:rsidRPr="00C55BDE" w:rsidRDefault="00FA31F0" w:rsidP="00FA31F0">
      <w:pPr>
        <w:pStyle w:val="Heading1"/>
      </w:pPr>
      <w:r w:rsidRPr="00C55BDE">
        <w:t>Treatment of demand led pressures</w:t>
      </w:r>
    </w:p>
    <w:p w:rsidR="00FA31F0" w:rsidRPr="00C55BDE" w:rsidRDefault="00FA31F0" w:rsidP="00FA31F0">
      <w:pPr>
        <w:pStyle w:val="NumbList3"/>
        <w:spacing w:after="240"/>
        <w:ind w:left="357" w:hanging="357"/>
      </w:pPr>
      <w:r w:rsidRPr="00C55BDE">
        <w:t>The budget process has sought to identify and allow for demand led pressures. The main uncertainties relate to the following areas:-</w:t>
      </w:r>
    </w:p>
    <w:p w:rsidR="00FA31F0" w:rsidRPr="00C55BDE" w:rsidRDefault="000F26EE" w:rsidP="00FA31F0">
      <w:pPr>
        <w:pStyle w:val="Bullet"/>
        <w:numPr>
          <w:ilvl w:val="0"/>
          <w:numId w:val="17"/>
        </w:numPr>
        <w:rPr>
          <w:lang w:val="en-GB"/>
        </w:rPr>
      </w:pPr>
      <w:r w:rsidRPr="00C55BDE">
        <w:rPr>
          <w:lang w:val="en-GB"/>
        </w:rPr>
        <w:t>Whole-time</w:t>
      </w:r>
      <w:r w:rsidR="00FA31F0" w:rsidRPr="00C55BDE">
        <w:rPr>
          <w:lang w:val="en-GB"/>
        </w:rPr>
        <w:t xml:space="preserve"> Duty System Firefighter Numbers</w:t>
      </w:r>
    </w:p>
    <w:p w:rsidR="00FA31F0" w:rsidRPr="00C55BDE" w:rsidRDefault="00FA31F0" w:rsidP="00FA31F0">
      <w:pPr>
        <w:pStyle w:val="NumbList3"/>
        <w:spacing w:after="240"/>
        <w:ind w:left="357" w:hanging="357"/>
      </w:pPr>
      <w:r w:rsidRPr="00C55BDE">
        <w:t>The budget makes provision for an average of 6</w:t>
      </w:r>
      <w:r w:rsidR="00355C60">
        <w:t>66</w:t>
      </w:r>
      <w:r w:rsidRPr="00C55BDE">
        <w:t xml:space="preserve"> </w:t>
      </w:r>
      <w:r w:rsidR="000F26EE" w:rsidRPr="00C55BDE">
        <w:t>whole-time</w:t>
      </w:r>
      <w:r w:rsidRPr="00C55BDE">
        <w:t xml:space="preserve"> firefighters in 201</w:t>
      </w:r>
      <w:r w:rsidR="00355C60">
        <w:t>9</w:t>
      </w:r>
      <w:r w:rsidRPr="00C55BDE">
        <w:t>/</w:t>
      </w:r>
      <w:r w:rsidR="00355C60">
        <w:t>20</w:t>
      </w:r>
      <w:r w:rsidRPr="00C55BDE">
        <w:t>.  The staffing forecast reflects recent experience in the timing of retirement decisions by firefighters and the promotion of staff to other Services.  If firefighters chose not to retire then there is a potential risk that firefighter numbers would exceed the budgeted number.</w:t>
      </w:r>
    </w:p>
    <w:p w:rsidR="00FA31F0" w:rsidRPr="00C55BDE" w:rsidRDefault="00FA31F0" w:rsidP="00FA31F0">
      <w:pPr>
        <w:pStyle w:val="Bullet"/>
        <w:rPr>
          <w:lang w:val="en-GB"/>
        </w:rPr>
      </w:pPr>
      <w:r w:rsidRPr="00C55BDE">
        <w:rPr>
          <w:lang w:val="en-GB"/>
        </w:rPr>
        <w:t>On-Call (Retained Duty System) Firefighters</w:t>
      </w:r>
    </w:p>
    <w:p w:rsidR="00FA31F0" w:rsidRPr="00C55BDE" w:rsidRDefault="00FA31F0" w:rsidP="00FA31F0">
      <w:pPr>
        <w:pStyle w:val="NumbList3"/>
        <w:spacing w:after="240"/>
        <w:ind w:left="357" w:hanging="357"/>
      </w:pPr>
      <w:r w:rsidRPr="00C55BDE">
        <w:t>This budget has been managed within its overall cash limit in recent years as incident numbers have reduced or plateaued.  The use of these staff on a wider range of community safety and medical activities has the potential to increase the level of expenditure.  The budget for 201</w:t>
      </w:r>
      <w:r w:rsidR="00355C60">
        <w:t>9</w:t>
      </w:r>
      <w:r w:rsidRPr="00C55BDE">
        <w:t>/</w:t>
      </w:r>
      <w:r w:rsidR="00355C60">
        <w:t>20</w:t>
      </w:r>
      <w:r w:rsidRPr="00C55BDE">
        <w:t xml:space="preserve"> reflects the current level of activity.</w:t>
      </w:r>
    </w:p>
    <w:p w:rsidR="00FA31F0" w:rsidRPr="00C55BDE" w:rsidRDefault="00FA31F0" w:rsidP="00FA31F0">
      <w:pPr>
        <w:pStyle w:val="NumbList3"/>
        <w:spacing w:after="240"/>
        <w:ind w:left="357" w:hanging="357"/>
      </w:pPr>
      <w:r w:rsidRPr="00C55BDE">
        <w:t>Management controls enable the Authority to mitigate the risk and manage the level of expenditure, demand led pressure for operational activity could increase costs in this area.  There is a specific earmarked reserve to manage any major increase in the costs of on-call firefighters with an allowance of £0.</w:t>
      </w:r>
      <w:r w:rsidR="00355C60">
        <w:t>6</w:t>
      </w:r>
      <w:r w:rsidRPr="00C55BDE">
        <w:t>m proposed for any potential in-year budget pressures resulting from increased activity levels.</w:t>
      </w:r>
    </w:p>
    <w:p w:rsidR="00FA31F0" w:rsidRPr="00C55BDE" w:rsidRDefault="00FA31F0" w:rsidP="00FA31F0">
      <w:pPr>
        <w:pStyle w:val="Bullet"/>
        <w:keepNext/>
        <w:ind w:left="896" w:hanging="357"/>
        <w:rPr>
          <w:lang w:val="en-GB"/>
        </w:rPr>
      </w:pPr>
      <w:r w:rsidRPr="00C55BDE">
        <w:rPr>
          <w:lang w:val="en-GB"/>
        </w:rPr>
        <w:t>Other</w:t>
      </w:r>
    </w:p>
    <w:p w:rsidR="00FA31F0" w:rsidRPr="00C55BDE" w:rsidRDefault="00FA31F0" w:rsidP="00FA31F0">
      <w:pPr>
        <w:pStyle w:val="NumbList3"/>
        <w:spacing w:after="240"/>
        <w:ind w:left="357" w:hanging="357"/>
      </w:pPr>
      <w:r w:rsidRPr="00C55BDE">
        <w:t xml:space="preserve">Other potential expenditure pressures could result from factors such as an unanticipated need for urgent replacement of operational equipment and a need to respond to nationally driven changes in operational procedures.  Such factors are viewed by the Service as relatively low risks and while if they did materialise it could lead to additional expenditure, there would be some scope to meet such costs within the existing budget provision by re-prioritisation.  </w:t>
      </w:r>
    </w:p>
    <w:p w:rsidR="00FA31F0" w:rsidRPr="00C55BDE" w:rsidRDefault="00FA31F0" w:rsidP="00FA31F0">
      <w:pPr>
        <w:pStyle w:val="Bullet"/>
        <w:keepNext/>
        <w:ind w:left="896" w:hanging="357"/>
        <w:rPr>
          <w:lang w:val="en-GB"/>
        </w:rPr>
      </w:pPr>
      <w:r w:rsidRPr="00C55BDE">
        <w:rPr>
          <w:lang w:val="en-GB"/>
        </w:rPr>
        <w:t>Industrial Action</w:t>
      </w:r>
    </w:p>
    <w:p w:rsidR="00FA31F0" w:rsidRPr="00C55BDE" w:rsidRDefault="00FA31F0" w:rsidP="00FA31F0">
      <w:pPr>
        <w:pStyle w:val="NumbList3"/>
        <w:spacing w:after="240"/>
        <w:ind w:left="357" w:hanging="357"/>
      </w:pPr>
      <w:r w:rsidRPr="00C55BDE">
        <w:t xml:space="preserve">It should also be borne in mind that the Service is going through a time of change.  At the time of </w:t>
      </w:r>
      <w:r w:rsidR="000F26EE" w:rsidRPr="00C55BDE">
        <w:t>writing,</w:t>
      </w:r>
      <w:r w:rsidRPr="00C55BDE">
        <w:t xml:space="preserve"> this paper there is one </w:t>
      </w:r>
      <w:r w:rsidR="000F26EE" w:rsidRPr="00C55BDE">
        <w:t>long-standing</w:t>
      </w:r>
      <w:r w:rsidRPr="00C55BDE">
        <w:t xml:space="preserve"> national dispute affecting the Authority on pensions and the potential for a further dispute if agreement is not reached on</w:t>
      </w:r>
      <w:r w:rsidR="00D858CB">
        <w:t xml:space="preserve"> ongoing firefighter pay negotiations.</w:t>
      </w:r>
      <w:r w:rsidRPr="00C55BDE">
        <w:t xml:space="preserve"> </w:t>
      </w:r>
      <w:r w:rsidR="00D858CB">
        <w:t>T</w:t>
      </w:r>
      <w:r w:rsidRPr="00C55BDE">
        <w:t xml:space="preserve">here is potential for these to result in </w:t>
      </w:r>
      <w:r w:rsidR="00D858CB">
        <w:t>industrial</w:t>
      </w:r>
      <w:r w:rsidRPr="00C55BDE">
        <w:t xml:space="preserve"> action.  The present resilience arrangements have a fixed (and budgeted) cost of £0.4m.  The implementation of these resilience arrangements costs depends on the nature of the strike action taken.    </w:t>
      </w:r>
    </w:p>
    <w:p w:rsidR="00FA31F0" w:rsidRPr="00C55BDE" w:rsidRDefault="00FA31F0" w:rsidP="00FA31F0">
      <w:pPr>
        <w:pStyle w:val="Heading1"/>
      </w:pPr>
      <w:r w:rsidRPr="00C55BDE">
        <w:t>Risks inherent in partnership arrangements etc</w:t>
      </w:r>
    </w:p>
    <w:p w:rsidR="00FA31F0" w:rsidRPr="00C55BDE" w:rsidRDefault="00FA31F0" w:rsidP="00FA31F0">
      <w:pPr>
        <w:pStyle w:val="NumbList3"/>
        <w:spacing w:after="240"/>
        <w:ind w:left="357" w:hanging="357"/>
      </w:pPr>
      <w:r w:rsidRPr="00C55BDE">
        <w:t xml:space="preserve">The Authority is involved in a range of partnership arrangements mainly in the area of community safety.  The financial risks from these partnerships could lead to lower levels of income and partnership funding.  A partnership policy is in place, all partnerships are actively managed to mitigate this risk.  </w:t>
      </w:r>
    </w:p>
    <w:p w:rsidR="00FA31F0" w:rsidRPr="00C55BDE" w:rsidRDefault="00FA31F0" w:rsidP="00FA31F0">
      <w:pPr>
        <w:pStyle w:val="Heading1"/>
      </w:pPr>
      <w:r w:rsidRPr="00C55BDE">
        <w:t>Financial standing of the Authority (level of borrowing, debt outstanding etc.)</w:t>
      </w:r>
    </w:p>
    <w:p w:rsidR="00FA31F0" w:rsidRPr="00C55BDE" w:rsidRDefault="00FA31F0" w:rsidP="00FA31F0">
      <w:pPr>
        <w:pStyle w:val="NumbList3"/>
        <w:spacing w:after="240"/>
        <w:ind w:left="357" w:hanging="357"/>
      </w:pPr>
      <w:r w:rsidRPr="00C55BDE">
        <w:t>At 31 March 201</w:t>
      </w:r>
      <w:r w:rsidR="00745909">
        <w:t>8</w:t>
      </w:r>
      <w:r w:rsidRPr="00C55BDE">
        <w:t>, the Authority had £2</w:t>
      </w:r>
      <w:r w:rsidR="00745909">
        <w:t>7</w:t>
      </w:r>
      <w:r w:rsidRPr="00C55BDE">
        <w:t xml:space="preserve">.0m of </w:t>
      </w:r>
      <w:r w:rsidR="000F26EE" w:rsidRPr="00C55BDE">
        <w:t>long-term</w:t>
      </w:r>
      <w:r w:rsidRPr="00C55BDE">
        <w:t xml:space="preserve"> debt to fund capital expenditure and a further £0.</w:t>
      </w:r>
      <w:r w:rsidR="00745909">
        <w:t>1</w:t>
      </w:r>
      <w:r w:rsidRPr="00C55BDE">
        <w:t xml:space="preserve">m of finance lease obligations. </w:t>
      </w:r>
      <w:r w:rsidR="00535276">
        <w:t xml:space="preserve">The affordability of the capital programme will be a key factor for the Authority over the next few years. Only if the overall capital programme can deliver financial benefits to offset the additional revenue burden of its financing costs will projects be initiated. </w:t>
      </w:r>
      <w:r w:rsidRPr="00C55BDE">
        <w:t>The revenue impact of the planned spend for 201</w:t>
      </w:r>
      <w:r w:rsidR="00745909">
        <w:t>9</w:t>
      </w:r>
      <w:r w:rsidR="000C3486">
        <w:t>-</w:t>
      </w:r>
      <w:r w:rsidR="00745909">
        <w:t>20</w:t>
      </w:r>
      <w:r w:rsidRPr="00C55BDE">
        <w:t xml:space="preserve"> is included within the budget, and the level of borrowing is within the limits set as part of the bi-annual review of capital financing.  </w:t>
      </w:r>
    </w:p>
    <w:p w:rsidR="00FA31F0" w:rsidRPr="00C55BDE" w:rsidRDefault="00FA31F0" w:rsidP="00FA31F0">
      <w:pPr>
        <w:pStyle w:val="NumbList3"/>
        <w:spacing w:after="240"/>
        <w:ind w:left="357" w:hanging="357"/>
      </w:pPr>
      <w:r w:rsidRPr="00C55BDE">
        <w:t>At 3</w:t>
      </w:r>
      <w:r w:rsidR="00745909">
        <w:t>1</w:t>
      </w:r>
      <w:r w:rsidRPr="00C55BDE">
        <w:t xml:space="preserve"> </w:t>
      </w:r>
      <w:r w:rsidR="00745909">
        <w:t>March</w:t>
      </w:r>
      <w:r w:rsidRPr="00C55BDE">
        <w:t xml:space="preserve"> 201</w:t>
      </w:r>
      <w:r w:rsidR="00745909">
        <w:t>9</w:t>
      </w:r>
      <w:r w:rsidRPr="00C55BDE">
        <w:t>, the cash balance is projected to be £</w:t>
      </w:r>
      <w:r w:rsidR="00745909">
        <w:t>8.1m</w:t>
      </w:r>
      <w:r w:rsidRPr="00C55BDE">
        <w:t>.</w:t>
      </w:r>
      <w:r w:rsidR="00535276">
        <w:t xml:space="preserve"> There is potential for the Authorities cash balances to become depleted </w:t>
      </w:r>
      <w:r w:rsidR="000F26EE">
        <w:t>because</w:t>
      </w:r>
      <w:r w:rsidR="00535276">
        <w:t xml:space="preserve"> of ongoing</w:t>
      </w:r>
      <w:r w:rsidR="00C81135">
        <w:t xml:space="preserve"> needs to use reserves to balance the budget.</w:t>
      </w:r>
      <w:r w:rsidR="00535276">
        <w:t xml:space="preserve"> </w:t>
      </w:r>
      <w:r w:rsidR="00C81135">
        <w:t>T</w:t>
      </w:r>
      <w:r w:rsidR="00535276">
        <w:t>his will need to be considered as the Authority prepares its medium term plan 2020 to 2024.</w:t>
      </w:r>
      <w:r w:rsidR="000C3486">
        <w:t xml:space="preserve"> In addition, the budget is prepared on the basis that a plan is prepared to balance the budget</w:t>
      </w:r>
      <w:r w:rsidR="00C81135">
        <w:t xml:space="preserve"> without the use of reserves</w:t>
      </w:r>
      <w:r w:rsidR="000C3486">
        <w:t xml:space="preserve"> by the 2021-22 financial year.</w:t>
      </w:r>
      <w:r w:rsidR="00535276">
        <w:t xml:space="preserve"> </w:t>
      </w:r>
      <w:r w:rsidRPr="00C55BDE">
        <w:t xml:space="preserve">  </w:t>
      </w:r>
    </w:p>
    <w:p w:rsidR="00FA31F0" w:rsidRPr="00C55BDE" w:rsidRDefault="00FA31F0" w:rsidP="00FA31F0">
      <w:pPr>
        <w:pStyle w:val="Heading1"/>
      </w:pPr>
      <w:r w:rsidRPr="00C55BDE">
        <w:t>The Authority’s track record in budget management, including its ability to manage in-year budget pressures</w:t>
      </w:r>
    </w:p>
    <w:p w:rsidR="00FA31F0" w:rsidRPr="00C55BDE" w:rsidRDefault="00FA31F0" w:rsidP="00FA31F0">
      <w:pPr>
        <w:pStyle w:val="NumbList3"/>
        <w:spacing w:after="240"/>
        <w:ind w:left="357" w:hanging="357"/>
      </w:pPr>
      <w:r w:rsidRPr="00C55BDE">
        <w:t>The Authority has a proven track record in financial management and has been able to restrict expenditure to keep within the overall budget.   The most recent</w:t>
      </w:r>
      <w:r w:rsidR="000F26EE">
        <w:t xml:space="preserve"> independent</w:t>
      </w:r>
      <w:r w:rsidRPr="00C55BDE">
        <w:t xml:space="preserve"> </w:t>
      </w:r>
      <w:r w:rsidR="000F26EE" w:rsidRPr="00C55BDE">
        <w:t>internal audit</w:t>
      </w:r>
      <w:r w:rsidR="000F26EE">
        <w:t xml:space="preserve"> </w:t>
      </w:r>
      <w:r w:rsidRPr="00C55BDE">
        <w:t>report</w:t>
      </w:r>
      <w:r w:rsidR="00745909">
        <w:t xml:space="preserve"> published in February 2018</w:t>
      </w:r>
      <w:r w:rsidRPr="00C55BDE">
        <w:t xml:space="preserve"> confirmed that the Fire Authority </w:t>
      </w:r>
      <w:r w:rsidR="000F26EE" w:rsidRPr="00C55BDE">
        <w:t>could</w:t>
      </w:r>
      <w:r w:rsidRPr="00C55BDE">
        <w:t xml:space="preserve"> take substantial assurance from the budgetary controls in place.  </w:t>
      </w:r>
    </w:p>
    <w:p w:rsidR="00FA31F0" w:rsidRPr="00C55BDE" w:rsidRDefault="00FA31F0" w:rsidP="00FA31F0">
      <w:pPr>
        <w:pStyle w:val="NumbList3"/>
        <w:spacing w:after="240"/>
        <w:ind w:left="357" w:hanging="357"/>
      </w:pPr>
      <w:r w:rsidRPr="00C55BDE">
        <w:t xml:space="preserve">However, the discipline of Financial Regulations – not incurring spending without the necessary budget provision – must be rigidly observed and the monitoring of the riskier budgets must be given priority.  It remains of paramount importance that regular reports continue to be produced on all budgets throughout the year to identify emerging problems at the earliest opportunity.  This will allow maximum benefit to be accrued from any corrective action taken.  </w:t>
      </w:r>
    </w:p>
    <w:p w:rsidR="00FA31F0" w:rsidRPr="00C55BDE" w:rsidRDefault="00FA31F0" w:rsidP="00FA31F0">
      <w:pPr>
        <w:pStyle w:val="NumbList3"/>
        <w:spacing w:after="240"/>
        <w:ind w:left="357" w:hanging="357"/>
      </w:pPr>
      <w:r w:rsidRPr="00C55BDE">
        <w:t xml:space="preserve">Incremental improvements to financial processes to ensure that all orders and commitments are captured have been made and an Authority wide Contracts Register is in place.  There is a high degree of visibility in the level of financial commitments and expenditure for managers who control budgets and their Directors.  Management accounts are produced on an accruals basis to ensure that all expenditure incurred is included.  </w:t>
      </w:r>
    </w:p>
    <w:p w:rsidR="00FA31F0" w:rsidRPr="00C55BDE" w:rsidRDefault="00FA31F0" w:rsidP="00FA31F0">
      <w:pPr>
        <w:pStyle w:val="NumbList3"/>
        <w:spacing w:after="240"/>
        <w:ind w:left="357" w:hanging="357"/>
      </w:pPr>
      <w:r w:rsidRPr="00C55BDE">
        <w:t>The Authority has managed to restrict expenditure in advance of the expected cuts in government funding and achieved significant efficiency savings over the past few years.  We have an excellent track record in anticipating and preparing for significant change, and on delivering planned budget savings.</w:t>
      </w:r>
    </w:p>
    <w:p w:rsidR="00FA31F0" w:rsidRPr="00C55BDE" w:rsidRDefault="00FA31F0" w:rsidP="00FA31F0">
      <w:pPr>
        <w:pStyle w:val="Heading1"/>
      </w:pPr>
      <w:r w:rsidRPr="00C55BDE">
        <w:t>The Authority’s virement and year-end procedures in relation to under and overspends</w:t>
      </w:r>
    </w:p>
    <w:p w:rsidR="00FA31F0" w:rsidRPr="00C55BDE" w:rsidRDefault="00FA31F0" w:rsidP="00FA31F0">
      <w:pPr>
        <w:pStyle w:val="NumbList3"/>
        <w:spacing w:after="240"/>
        <w:ind w:left="357" w:hanging="357"/>
      </w:pPr>
      <w:r w:rsidRPr="00C55BDE">
        <w:t>The Authority has embedded virement procedures that require senior approval to allow funds to be moved to areas of pressure.  Budgeted expenditure is only transferred from one budget year to the next with the agreement of the Authority.</w:t>
      </w:r>
    </w:p>
    <w:p w:rsidR="00FA31F0" w:rsidRPr="00C55BDE" w:rsidRDefault="00FA31F0" w:rsidP="00FA31F0">
      <w:pPr>
        <w:pStyle w:val="Heading1"/>
      </w:pPr>
      <w:r w:rsidRPr="00C55BDE">
        <w:t>The adequacy of risk protection arrangements</w:t>
      </w:r>
    </w:p>
    <w:p w:rsidR="00FA31F0" w:rsidRPr="00C55BDE" w:rsidRDefault="00FA31F0" w:rsidP="00FA31F0">
      <w:pPr>
        <w:pStyle w:val="NumbList3"/>
        <w:spacing w:after="240"/>
        <w:ind w:left="357" w:hanging="357"/>
      </w:pPr>
      <w:r w:rsidRPr="00C55BDE">
        <w:t xml:space="preserve">Current risk protection arrangements are through a company created in partnership with a consortium of nine fire and rescue authorities.  The Authority is one of the larger Authorities in the group (along with Devon &amp; Somerset, Hampshire and Kent) who bear the first part of each loss.  These limits are £50k for motor claims (own damage only), £25k for public and employers liability and £5k for property.  In addition, the Authority maintains a provision for the value of unsettled and unknown claims.  These arrangements have delivered significant savings to the Authority over recent years and are providing stability in risk protection costs,  </w:t>
      </w:r>
    </w:p>
    <w:p w:rsidR="00FA31F0" w:rsidRPr="00C55BDE" w:rsidRDefault="00FA31F0" w:rsidP="00FA31F0">
      <w:pPr>
        <w:pStyle w:val="NumbList3"/>
        <w:spacing w:after="240"/>
        <w:ind w:left="357" w:hanging="357"/>
      </w:pPr>
      <w:r w:rsidRPr="00C55BDE">
        <w:t>There is a potential risk that this will expose the Authority to an increase in costs if consortium members experience a high level of claims.  To reflect this potential risk the level of reserves held for risk protection related costs has been set at £</w:t>
      </w:r>
      <w:r w:rsidR="009255AA">
        <w:t>2</w:t>
      </w:r>
      <w:r w:rsidRPr="00C55BDE">
        <w:t>50k.  This is the amount of a potential call on the Authority for funding for FRIC.  The consortium continues to work together on benchmarking and improving risk management to help to mitigate this risk, and FRIC now has more than £500k of reserves and as a result the likelihood of the risk occurring has reduced.</w:t>
      </w:r>
    </w:p>
    <w:p w:rsidR="00FA31F0" w:rsidRPr="00C55BDE" w:rsidRDefault="00FA31F0" w:rsidP="00FA31F0">
      <w:pPr>
        <w:pStyle w:val="Heading1"/>
      </w:pPr>
      <w:r w:rsidRPr="00C55BDE">
        <w:t>Pension liabilities</w:t>
      </w:r>
    </w:p>
    <w:p w:rsidR="00FA31F0" w:rsidRPr="00C55BDE" w:rsidRDefault="00FA31F0" w:rsidP="00FA31F0">
      <w:pPr>
        <w:pStyle w:val="Bullet"/>
        <w:numPr>
          <w:ilvl w:val="0"/>
          <w:numId w:val="18"/>
        </w:numPr>
        <w:rPr>
          <w:lang w:val="en-GB"/>
        </w:rPr>
      </w:pPr>
      <w:r w:rsidRPr="00C55BDE">
        <w:rPr>
          <w:lang w:val="en-GB"/>
        </w:rPr>
        <w:t>Fire-fighters</w:t>
      </w:r>
    </w:p>
    <w:p w:rsidR="00FA31F0" w:rsidRPr="009255AA" w:rsidRDefault="00FA31F0" w:rsidP="00FA31F0">
      <w:pPr>
        <w:pStyle w:val="NumbList3"/>
        <w:spacing w:after="240"/>
        <w:ind w:left="357" w:hanging="357"/>
      </w:pPr>
      <w:r w:rsidRPr="009255AA">
        <w:t xml:space="preserve">The liability for firefighter pensions, whilst remaining with the Authority has been transferred to a separate account funded by government grants.  </w:t>
      </w:r>
      <w:r w:rsidR="009255AA">
        <w:br/>
      </w:r>
      <w:r w:rsidR="009255AA">
        <w:rPr>
          <w:lang w:eastAsia="en-GB"/>
        </w:rPr>
        <w:t>National c</w:t>
      </w:r>
      <w:r w:rsidR="009255AA" w:rsidRPr="009255AA">
        <w:rPr>
          <w:lang w:eastAsia="en-GB"/>
        </w:rPr>
        <w:t>hanges in</w:t>
      </w:r>
      <w:r w:rsidR="009255AA">
        <w:rPr>
          <w:lang w:eastAsia="en-GB"/>
        </w:rPr>
        <w:t xml:space="preserve"> employer</w:t>
      </w:r>
      <w:r w:rsidR="009255AA" w:rsidRPr="009255AA">
        <w:rPr>
          <w:lang w:eastAsia="en-GB"/>
        </w:rPr>
        <w:t xml:space="preserve"> contribution rates for firefighters pension schemes are due to come into effect from April 2019. Following a revaluation of </w:t>
      </w:r>
      <w:r w:rsidR="000F26EE" w:rsidRPr="009255AA">
        <w:rPr>
          <w:lang w:eastAsia="en-GB"/>
        </w:rPr>
        <w:t>Firefighters,</w:t>
      </w:r>
      <w:r w:rsidR="009255AA" w:rsidRPr="009255AA">
        <w:rPr>
          <w:lang w:eastAsia="en-GB"/>
        </w:rPr>
        <w:t xml:space="preserve"> pension schemes the national average increase is material at 12.6% of pensionable pay. </w:t>
      </w:r>
      <w:r w:rsidR="009255AA" w:rsidRPr="009255AA">
        <w:rPr>
          <w:lang w:eastAsia="en-GB"/>
        </w:rPr>
        <w:br/>
        <w:t>This would equate to an additional cost burden</w:t>
      </w:r>
      <w:r w:rsidR="009255AA">
        <w:rPr>
          <w:lang w:eastAsia="en-GB"/>
        </w:rPr>
        <w:t xml:space="preserve"> to the Authority</w:t>
      </w:r>
      <w:r w:rsidR="009255AA" w:rsidRPr="009255AA">
        <w:rPr>
          <w:lang w:eastAsia="en-GB"/>
        </w:rPr>
        <w:t xml:space="preserve"> of c. £3.3m</w:t>
      </w:r>
      <w:r w:rsidR="009255AA">
        <w:rPr>
          <w:lang w:eastAsia="en-GB"/>
        </w:rPr>
        <w:t xml:space="preserve"> pa, this</w:t>
      </w:r>
      <w:r w:rsidR="009255AA" w:rsidRPr="009255AA">
        <w:rPr>
          <w:lang w:eastAsia="en-GB"/>
        </w:rPr>
        <w:t xml:space="preserve"> is not allowed for in the draft budget</w:t>
      </w:r>
      <w:r w:rsidR="009255AA">
        <w:rPr>
          <w:lang w:eastAsia="en-GB"/>
        </w:rPr>
        <w:t xml:space="preserve"> as</w:t>
      </w:r>
      <w:r w:rsidR="009255AA" w:rsidRPr="009255AA">
        <w:rPr>
          <w:lang w:eastAsia="en-GB"/>
        </w:rPr>
        <w:t xml:space="preserve"> </w:t>
      </w:r>
      <w:r w:rsidR="009255AA">
        <w:rPr>
          <w:lang w:eastAsia="en-GB"/>
        </w:rPr>
        <w:t>g</w:t>
      </w:r>
      <w:r w:rsidR="009255AA" w:rsidRPr="009255AA">
        <w:rPr>
          <w:lang w:eastAsia="en-GB"/>
        </w:rPr>
        <w:t xml:space="preserve">overnment has indicated that for 2019-20 this additional cost burden </w:t>
      </w:r>
      <w:r w:rsidR="00C81135">
        <w:rPr>
          <w:lang w:eastAsia="en-GB"/>
        </w:rPr>
        <w:t>88%</w:t>
      </w:r>
      <w:r w:rsidR="009255AA" w:rsidRPr="009255AA">
        <w:rPr>
          <w:lang w:eastAsia="en-GB"/>
        </w:rPr>
        <w:t xml:space="preserve"> funded” by a separate grant.</w:t>
      </w:r>
      <w:r w:rsidR="009255AA">
        <w:rPr>
          <w:lang w:eastAsia="en-GB"/>
        </w:rPr>
        <w:br/>
      </w:r>
      <w:r w:rsidR="00C81135">
        <w:rPr>
          <w:lang w:eastAsia="en-GB"/>
        </w:rPr>
        <w:t>Provision has been made in the 2019-20 for the additional cost burden of £0.3m to be borne by the Authority</w:t>
      </w:r>
      <w:r w:rsidR="00217D37">
        <w:rPr>
          <w:lang w:eastAsia="en-GB"/>
        </w:rPr>
        <w:t>.</w:t>
      </w:r>
      <w:r w:rsidR="009255AA">
        <w:rPr>
          <w:lang w:eastAsia="en-GB"/>
        </w:rPr>
        <w:t xml:space="preserve">  </w:t>
      </w:r>
      <w:r w:rsidR="009255AA" w:rsidRPr="009255AA">
        <w:rPr>
          <w:lang w:eastAsia="en-GB"/>
        </w:rPr>
        <w:t xml:space="preserve"> </w:t>
      </w:r>
      <w:r w:rsidR="009255AA" w:rsidRPr="009255AA">
        <w:rPr>
          <w:lang w:eastAsia="en-GB"/>
        </w:rPr>
        <w:br/>
      </w:r>
      <w:r w:rsidR="009255AA" w:rsidRPr="009255AA">
        <w:rPr>
          <w:lang w:eastAsia="en-GB"/>
        </w:rPr>
        <w:br/>
        <w:t xml:space="preserve"> From 2020-21 it is expected this will be allowed for in the funding settlement although the methodology and transparency of this</w:t>
      </w:r>
      <w:r w:rsidR="00C81135">
        <w:rPr>
          <w:lang w:eastAsia="en-GB"/>
        </w:rPr>
        <w:t xml:space="preserve"> has not yet been announced.</w:t>
      </w:r>
      <w:r w:rsidR="009255AA" w:rsidRPr="009255AA">
        <w:rPr>
          <w:lang w:eastAsia="en-GB"/>
        </w:rPr>
        <w:t xml:space="preserve"> </w:t>
      </w:r>
      <w:r w:rsidR="009255AA" w:rsidRPr="009255AA">
        <w:rPr>
          <w:lang w:eastAsia="en-GB"/>
        </w:rPr>
        <w:br/>
      </w:r>
      <w:r w:rsidRPr="009255AA">
        <w:t xml:space="preserve">  </w:t>
      </w:r>
    </w:p>
    <w:p w:rsidR="00FA31F0" w:rsidRPr="00C55BDE" w:rsidRDefault="00FA31F0" w:rsidP="00FA31F0">
      <w:pPr>
        <w:pStyle w:val="Bullet"/>
        <w:rPr>
          <w:lang w:val="en-GB"/>
        </w:rPr>
      </w:pPr>
      <w:r w:rsidRPr="00C55BDE">
        <w:rPr>
          <w:lang w:val="en-GB"/>
        </w:rPr>
        <w:t>Support staff</w:t>
      </w:r>
    </w:p>
    <w:p w:rsidR="00FA31F0" w:rsidRPr="00C55BDE" w:rsidRDefault="00FA31F0" w:rsidP="00FA31F0">
      <w:pPr>
        <w:pStyle w:val="NumbList3"/>
        <w:spacing w:after="240"/>
        <w:ind w:left="357" w:hanging="357"/>
      </w:pPr>
      <w:r w:rsidRPr="00C55BDE">
        <w:t>The Authority contributes to the Essex County Council Local Government Pension Fund in respect of its control and support staff, which are invested in order to meet its liability to provide for the benefits provided to past employees and future benefits for existing employees.  The Fund is valued every three years with the most recent valuation based on the position as at 31 March 2016.  The level of contributions by the Authority is fully reflected in the 201</w:t>
      </w:r>
      <w:r w:rsidR="009255AA">
        <w:t>9-20</w:t>
      </w:r>
      <w:r w:rsidRPr="00C55BDE">
        <w:t xml:space="preserve"> budget and these rates will be fixed until March 2020.  </w:t>
      </w:r>
    </w:p>
    <w:p w:rsidR="00FA31F0" w:rsidRPr="00C55BDE" w:rsidRDefault="00FA31F0" w:rsidP="00FA31F0">
      <w:pPr>
        <w:pStyle w:val="Heading1"/>
      </w:pPr>
      <w:r w:rsidRPr="00C55BDE">
        <w:t>Reserves</w:t>
      </w:r>
    </w:p>
    <w:p w:rsidR="000C3486" w:rsidRPr="00675C8F" w:rsidRDefault="000C3486" w:rsidP="000C3486">
      <w:pPr>
        <w:pStyle w:val="NumbList3"/>
      </w:pPr>
      <w:r w:rsidRPr="00DC5BB2">
        <w:t>At 31 March 201</w:t>
      </w:r>
      <w:r>
        <w:t>8</w:t>
      </w:r>
      <w:r w:rsidRPr="00675C8F">
        <w:t>, the Authority had £</w:t>
      </w:r>
      <w:r>
        <w:t>20</w:t>
      </w:r>
      <w:r w:rsidRPr="00675C8F">
        <w:t>.</w:t>
      </w:r>
      <w:r>
        <w:t>4</w:t>
      </w:r>
      <w:r w:rsidRPr="00675C8F">
        <w:t>m of usable reserves. This is made up of earmarked reserves (£5.</w:t>
      </w:r>
      <w:r>
        <w:t>8</w:t>
      </w:r>
      <w:r w:rsidRPr="00675C8F">
        <w:t>m), capital receipts reserve (£7.</w:t>
      </w:r>
      <w:r>
        <w:t>8</w:t>
      </w:r>
      <w:r w:rsidRPr="00675C8F">
        <w:t>m) and general reserve (£6.</w:t>
      </w:r>
      <w:r>
        <w:t>8</w:t>
      </w:r>
      <w:r w:rsidRPr="00675C8F">
        <w:t>m)</w:t>
      </w:r>
      <w:r>
        <w:t>. A re-allocation of earmarked reserves forms part of the 2019-20 budget process.</w:t>
      </w:r>
      <w:r>
        <w:br/>
        <w:t>Although useable reserves were £20.4m at 31</w:t>
      </w:r>
      <w:r w:rsidRPr="00292522">
        <w:rPr>
          <w:vertAlign w:val="superscript"/>
        </w:rPr>
        <w:t>st</w:t>
      </w:r>
      <w:r>
        <w:t xml:space="preserve"> March 2018 the cash balances of the Authority were £10.1m at 31</w:t>
      </w:r>
      <w:r w:rsidRPr="00292522">
        <w:rPr>
          <w:vertAlign w:val="superscript"/>
        </w:rPr>
        <w:t>st</w:t>
      </w:r>
      <w:r>
        <w:t xml:space="preserve"> March 2018. The main reason for this is that cash balances have been used to fund past capital expenditure in order to avoid additional borrowing costs for the Authority.  </w:t>
      </w:r>
      <w:r w:rsidRPr="00675C8F">
        <w:t xml:space="preserve">  </w:t>
      </w:r>
    </w:p>
    <w:p w:rsidR="00FA31F0" w:rsidRPr="00C55BDE" w:rsidRDefault="00FA31F0" w:rsidP="000C3486">
      <w:pPr>
        <w:pStyle w:val="NumbList3"/>
        <w:numPr>
          <w:ilvl w:val="0"/>
          <w:numId w:val="0"/>
        </w:numPr>
        <w:spacing w:after="240"/>
        <w:ind w:left="360" w:hanging="360"/>
      </w:pPr>
    </w:p>
    <w:p w:rsidR="00FA31F0" w:rsidRPr="00C55BDE" w:rsidRDefault="00FA31F0" w:rsidP="00FA31F0">
      <w:pPr>
        <w:pStyle w:val="Heading1"/>
      </w:pPr>
      <w:r w:rsidRPr="00C55BDE">
        <w:t>Earmarked Reserves</w:t>
      </w:r>
    </w:p>
    <w:p w:rsidR="00FA31F0" w:rsidRPr="00C55BDE" w:rsidRDefault="00FA31F0" w:rsidP="00FA31F0">
      <w:pPr>
        <w:pStyle w:val="NumbList3"/>
        <w:spacing w:after="240"/>
        <w:ind w:left="357" w:hanging="357"/>
      </w:pPr>
      <w:r w:rsidRPr="00C55BDE">
        <w:t>The Authority has established specific reserves to manage key financial risks</w:t>
      </w:r>
      <w:r w:rsidR="00C81135">
        <w:t xml:space="preserve"> and provide funding for specific projects.</w:t>
      </w:r>
      <w:r w:rsidRPr="00C55BDE">
        <w:t xml:space="preserve">  Movements between these specific reserves are determined by the Treasurer and</w:t>
      </w:r>
      <w:r w:rsidR="00C81135">
        <w:t xml:space="preserve"> require approval from the </w:t>
      </w:r>
      <w:r w:rsidR="00217D37">
        <w:t>Commissioner</w:t>
      </w:r>
      <w:r w:rsidRPr="00C55BDE">
        <w:t>.  The table below considers the specific reserves planned and the timetable for their review:</w:t>
      </w:r>
    </w:p>
    <w:p w:rsidR="00FA31F0" w:rsidRPr="00C55BDE" w:rsidRDefault="00C81135" w:rsidP="00FA31F0">
      <w:pPr>
        <w:pStyle w:val="BodyText2"/>
      </w:pPr>
      <w:r w:rsidRPr="00C81135">
        <w:rPr>
          <w:noProof/>
          <w:lang w:eastAsia="en-GB"/>
        </w:rPr>
        <w:drawing>
          <wp:inline distT="0" distB="0" distL="0" distR="0">
            <wp:extent cx="5939790" cy="372011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720119"/>
                    </a:xfrm>
                    <a:prstGeom prst="rect">
                      <a:avLst/>
                    </a:prstGeom>
                    <a:noFill/>
                    <a:ln>
                      <a:noFill/>
                    </a:ln>
                  </pic:spPr>
                </pic:pic>
              </a:graphicData>
            </a:graphic>
          </wp:inline>
        </w:drawing>
      </w:r>
    </w:p>
    <w:p w:rsidR="00FA31F0" w:rsidRPr="000F26EE" w:rsidRDefault="000F26EE" w:rsidP="00FA31F0">
      <w:pPr>
        <w:pStyle w:val="NumbList3"/>
        <w:spacing w:after="240"/>
        <w:ind w:left="357" w:hanging="357"/>
        <w:rPr>
          <w:i/>
        </w:rPr>
      </w:pPr>
      <w:r w:rsidRPr="000F26EE">
        <w:rPr>
          <w:i/>
        </w:rPr>
        <w:t>The table above assumes that the forecast budget deficit of £987k in 2018-19 will be funded by a reduction in the capital receipts reserve. In addition, a number of earmarked reserves have been reallocated. These changes will require the approval of the Police, Fire and Cr</w:t>
      </w:r>
      <w:r>
        <w:rPr>
          <w:i/>
        </w:rPr>
        <w:t>i</w:t>
      </w:r>
      <w:r w:rsidRPr="000F26EE">
        <w:rPr>
          <w:i/>
        </w:rPr>
        <w:t>me Commissioner</w:t>
      </w:r>
      <w:r w:rsidR="00C81135">
        <w:rPr>
          <w:i/>
        </w:rPr>
        <w:t xml:space="preserve"> and agreement with our auditors</w:t>
      </w:r>
      <w:r w:rsidR="00217D37">
        <w:rPr>
          <w:i/>
        </w:rPr>
        <w:t>.</w:t>
      </w:r>
    </w:p>
    <w:p w:rsidR="00FA31F0" w:rsidRPr="00C55BDE" w:rsidRDefault="00FA31F0" w:rsidP="00FA31F0">
      <w:pPr>
        <w:pStyle w:val="NumbList3"/>
        <w:spacing w:after="240"/>
        <w:ind w:left="357" w:hanging="357"/>
      </w:pPr>
      <w:r w:rsidRPr="00C55BDE">
        <w:t>The assessment of the general level of reserves takes into account the factors noted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3874"/>
        <w:gridCol w:w="1194"/>
        <w:gridCol w:w="1326"/>
      </w:tblGrid>
      <w:tr w:rsidR="00FA31F0" w:rsidRPr="00C55BDE" w:rsidTr="00FA31F0">
        <w:trPr>
          <w:cantSplit/>
          <w:tblHeader/>
          <w:jc w:val="center"/>
        </w:trPr>
        <w:tc>
          <w:tcPr>
            <w:tcW w:w="2426" w:type="dxa"/>
            <w:shd w:val="clear" w:color="auto" w:fill="auto"/>
          </w:tcPr>
          <w:p w:rsidR="00FA31F0" w:rsidRPr="00C55BDE" w:rsidRDefault="00FA31F0" w:rsidP="00FA31F0">
            <w:pPr>
              <w:pStyle w:val="BodyText2"/>
            </w:pPr>
            <w:r w:rsidRPr="00C55BDE">
              <w:t>Factor</w:t>
            </w:r>
          </w:p>
        </w:tc>
        <w:tc>
          <w:tcPr>
            <w:tcW w:w="3874" w:type="dxa"/>
            <w:shd w:val="clear" w:color="auto" w:fill="auto"/>
          </w:tcPr>
          <w:p w:rsidR="00FA31F0" w:rsidRPr="00C55BDE" w:rsidRDefault="00FA31F0" w:rsidP="00FA31F0">
            <w:pPr>
              <w:pStyle w:val="BodyText2"/>
            </w:pPr>
            <w:r w:rsidRPr="00C55BDE">
              <w:t>Comment</w:t>
            </w:r>
          </w:p>
        </w:tc>
        <w:tc>
          <w:tcPr>
            <w:tcW w:w="1194" w:type="dxa"/>
            <w:shd w:val="clear" w:color="auto" w:fill="auto"/>
          </w:tcPr>
          <w:p w:rsidR="00FA31F0" w:rsidRPr="00C55BDE" w:rsidRDefault="00FA31F0" w:rsidP="00FA31F0">
            <w:pPr>
              <w:pStyle w:val="BodyText2"/>
            </w:pPr>
            <w:r w:rsidRPr="00C55BDE">
              <w:t>Lower Limit</w:t>
            </w:r>
          </w:p>
        </w:tc>
        <w:tc>
          <w:tcPr>
            <w:tcW w:w="1326" w:type="dxa"/>
            <w:shd w:val="clear" w:color="auto" w:fill="auto"/>
          </w:tcPr>
          <w:p w:rsidR="00FA31F0" w:rsidRPr="00C55BDE" w:rsidRDefault="00FA31F0" w:rsidP="00FA31F0">
            <w:pPr>
              <w:pStyle w:val="BodyText2"/>
            </w:pPr>
            <w:r w:rsidRPr="00C55BDE">
              <w:t>Upper Limit</w:t>
            </w:r>
          </w:p>
        </w:tc>
      </w:tr>
      <w:tr w:rsidR="00FA31F0" w:rsidRPr="00C55BDE" w:rsidTr="00FA31F0">
        <w:trPr>
          <w:cantSplit/>
          <w:jc w:val="center"/>
        </w:trPr>
        <w:tc>
          <w:tcPr>
            <w:tcW w:w="2426" w:type="dxa"/>
            <w:shd w:val="clear" w:color="auto" w:fill="auto"/>
          </w:tcPr>
          <w:p w:rsidR="00FA31F0" w:rsidRPr="00C55BDE" w:rsidRDefault="00FA31F0" w:rsidP="00FA31F0">
            <w:pPr>
              <w:jc w:val="both"/>
              <w:rPr>
                <w:b/>
              </w:rPr>
            </w:pPr>
            <w:r w:rsidRPr="00C55BDE">
              <w:t>Inflation and interest rates</w:t>
            </w:r>
          </w:p>
        </w:tc>
        <w:tc>
          <w:tcPr>
            <w:tcW w:w="3874" w:type="dxa"/>
            <w:shd w:val="clear" w:color="auto" w:fill="auto"/>
          </w:tcPr>
          <w:p w:rsidR="00FA31F0" w:rsidRPr="00C55BDE" w:rsidRDefault="00FA31F0" w:rsidP="00FA31F0">
            <w:pPr>
              <w:jc w:val="both"/>
              <w:rPr>
                <w:b/>
              </w:rPr>
            </w:pPr>
            <w:r w:rsidRPr="00C55BDE">
              <w:t>The increase in the overall level of borrowing exposes the Authority to a degree of risk in the future if loans cannot be replaced at a similar interest rate.  An increase of 2% on a loan of £20m would add £0.4m of costs equivalent to 0.6%</w:t>
            </w:r>
          </w:p>
        </w:tc>
        <w:tc>
          <w:tcPr>
            <w:tcW w:w="1194" w:type="dxa"/>
            <w:shd w:val="clear" w:color="auto" w:fill="auto"/>
          </w:tcPr>
          <w:p w:rsidR="00FA31F0" w:rsidRPr="00C55BDE" w:rsidRDefault="00FA31F0" w:rsidP="00FA31F0">
            <w:pPr>
              <w:jc w:val="both"/>
              <w:rPr>
                <w:b/>
                <w:szCs w:val="22"/>
              </w:rPr>
            </w:pPr>
            <w:r w:rsidRPr="00C55BDE">
              <w:rPr>
                <w:szCs w:val="22"/>
              </w:rPr>
              <w:t>0.6%</w:t>
            </w:r>
          </w:p>
        </w:tc>
        <w:tc>
          <w:tcPr>
            <w:tcW w:w="1326" w:type="dxa"/>
            <w:shd w:val="clear" w:color="auto" w:fill="auto"/>
          </w:tcPr>
          <w:p w:rsidR="00FA31F0" w:rsidRPr="00C55BDE" w:rsidRDefault="00FA31F0" w:rsidP="00FA31F0">
            <w:pPr>
              <w:jc w:val="both"/>
              <w:rPr>
                <w:b/>
                <w:szCs w:val="22"/>
              </w:rPr>
            </w:pPr>
            <w:r w:rsidRPr="00C55BDE">
              <w:rPr>
                <w:szCs w:val="22"/>
              </w:rPr>
              <w:t>1.5%</w:t>
            </w:r>
          </w:p>
        </w:tc>
      </w:tr>
      <w:tr w:rsidR="00FA31F0" w:rsidRPr="00C55BDE" w:rsidTr="00FA31F0">
        <w:trPr>
          <w:cantSplit/>
          <w:jc w:val="center"/>
        </w:trPr>
        <w:tc>
          <w:tcPr>
            <w:tcW w:w="2426" w:type="dxa"/>
            <w:shd w:val="clear" w:color="auto" w:fill="auto"/>
          </w:tcPr>
          <w:p w:rsidR="00FA31F0" w:rsidRPr="00C55BDE" w:rsidRDefault="00FA31F0" w:rsidP="00FA31F0">
            <w:pPr>
              <w:jc w:val="both"/>
              <w:rPr>
                <w:b/>
              </w:rPr>
            </w:pPr>
            <w:r w:rsidRPr="00C55BDE">
              <w:t>Level and timing of capital receipts</w:t>
            </w:r>
          </w:p>
        </w:tc>
        <w:tc>
          <w:tcPr>
            <w:tcW w:w="3874" w:type="dxa"/>
            <w:shd w:val="clear" w:color="auto" w:fill="auto"/>
          </w:tcPr>
          <w:p w:rsidR="00FA31F0" w:rsidRPr="00C55BDE" w:rsidRDefault="00FA31F0" w:rsidP="00665CDB">
            <w:pPr>
              <w:jc w:val="both"/>
              <w:rPr>
                <w:b/>
              </w:rPr>
            </w:pPr>
            <w:r w:rsidRPr="00C55BDE">
              <w:t>At present, the Authority is funding a significant capital programme with a gap before capital receipts will be realised.  This risk is offset by high cash balances which eliminate the need for borrowing in 201</w:t>
            </w:r>
            <w:r w:rsidR="00665CDB">
              <w:t>8</w:t>
            </w:r>
            <w:r w:rsidRPr="00C55BDE">
              <w:t>/1</w:t>
            </w:r>
            <w:r w:rsidR="00665CDB">
              <w:t>9</w:t>
            </w:r>
          </w:p>
        </w:tc>
        <w:tc>
          <w:tcPr>
            <w:tcW w:w="1194" w:type="dxa"/>
            <w:shd w:val="clear" w:color="auto" w:fill="auto"/>
          </w:tcPr>
          <w:p w:rsidR="00FA31F0" w:rsidRPr="00C55BDE" w:rsidRDefault="00FA31F0" w:rsidP="00FA31F0">
            <w:pPr>
              <w:jc w:val="both"/>
              <w:rPr>
                <w:b/>
                <w:szCs w:val="22"/>
              </w:rPr>
            </w:pPr>
            <w:r w:rsidRPr="00C55BDE">
              <w:rPr>
                <w:szCs w:val="22"/>
              </w:rPr>
              <w:t>0.2%</w:t>
            </w:r>
          </w:p>
        </w:tc>
        <w:tc>
          <w:tcPr>
            <w:tcW w:w="1326" w:type="dxa"/>
            <w:shd w:val="clear" w:color="auto" w:fill="auto"/>
          </w:tcPr>
          <w:p w:rsidR="00FA31F0" w:rsidRPr="00C55BDE" w:rsidRDefault="00FA31F0" w:rsidP="00FA31F0">
            <w:pPr>
              <w:jc w:val="both"/>
              <w:rPr>
                <w:b/>
                <w:szCs w:val="22"/>
              </w:rPr>
            </w:pPr>
            <w:r w:rsidRPr="00C55BDE">
              <w:rPr>
                <w:szCs w:val="22"/>
              </w:rPr>
              <w:t>0.5%</w:t>
            </w:r>
          </w:p>
        </w:tc>
      </w:tr>
      <w:tr w:rsidR="00FA31F0" w:rsidRPr="00C55BDE" w:rsidTr="00FA31F0">
        <w:trPr>
          <w:cantSplit/>
          <w:jc w:val="center"/>
        </w:trPr>
        <w:tc>
          <w:tcPr>
            <w:tcW w:w="2426" w:type="dxa"/>
            <w:shd w:val="clear" w:color="auto" w:fill="auto"/>
          </w:tcPr>
          <w:p w:rsidR="00FA31F0" w:rsidRPr="00C55BDE" w:rsidRDefault="00FA31F0" w:rsidP="00FA31F0">
            <w:pPr>
              <w:jc w:val="both"/>
              <w:rPr>
                <w:b/>
              </w:rPr>
            </w:pPr>
            <w:r w:rsidRPr="00C55BDE">
              <w:t>Savings</w:t>
            </w:r>
          </w:p>
          <w:p w:rsidR="00FA31F0" w:rsidRPr="00C55BDE" w:rsidRDefault="00FA31F0" w:rsidP="00FA31F0">
            <w:pPr>
              <w:jc w:val="both"/>
              <w:rPr>
                <w:b/>
              </w:rPr>
            </w:pPr>
            <w:r w:rsidRPr="00C55BDE">
              <w:t xml:space="preserve">Track Record in Budget Management </w:t>
            </w:r>
          </w:p>
          <w:p w:rsidR="00FA31F0" w:rsidRPr="00C55BDE" w:rsidRDefault="00FA31F0" w:rsidP="00FA31F0">
            <w:pPr>
              <w:jc w:val="both"/>
              <w:rPr>
                <w:b/>
              </w:rPr>
            </w:pPr>
            <w:r w:rsidRPr="00C55BDE">
              <w:t>Capacity to Manage in Year Budget pressure</w:t>
            </w:r>
          </w:p>
        </w:tc>
        <w:tc>
          <w:tcPr>
            <w:tcW w:w="3874" w:type="dxa"/>
            <w:shd w:val="clear" w:color="auto" w:fill="auto"/>
          </w:tcPr>
          <w:p w:rsidR="00FA31F0" w:rsidRPr="00C55BDE" w:rsidRDefault="00FA31F0" w:rsidP="00FA31F0">
            <w:pPr>
              <w:jc w:val="both"/>
              <w:rPr>
                <w:b/>
              </w:rPr>
            </w:pPr>
            <w:r w:rsidRPr="00C55BDE">
              <w:t xml:space="preserve">Good track record of delivering savings identified.  </w:t>
            </w:r>
          </w:p>
        </w:tc>
        <w:tc>
          <w:tcPr>
            <w:tcW w:w="1194" w:type="dxa"/>
            <w:shd w:val="clear" w:color="auto" w:fill="auto"/>
          </w:tcPr>
          <w:p w:rsidR="00FA31F0" w:rsidRPr="00C55BDE" w:rsidRDefault="00FA31F0" w:rsidP="00FA31F0">
            <w:pPr>
              <w:jc w:val="both"/>
              <w:rPr>
                <w:b/>
                <w:szCs w:val="22"/>
              </w:rPr>
            </w:pPr>
            <w:r w:rsidRPr="00C55BDE">
              <w:rPr>
                <w:szCs w:val="22"/>
              </w:rPr>
              <w:t>1.5%</w:t>
            </w:r>
          </w:p>
        </w:tc>
        <w:tc>
          <w:tcPr>
            <w:tcW w:w="1326" w:type="dxa"/>
            <w:shd w:val="clear" w:color="auto" w:fill="auto"/>
          </w:tcPr>
          <w:p w:rsidR="00FA31F0" w:rsidRPr="00C55BDE" w:rsidRDefault="00FA31F0" w:rsidP="00FA31F0">
            <w:pPr>
              <w:jc w:val="both"/>
              <w:rPr>
                <w:b/>
                <w:szCs w:val="22"/>
              </w:rPr>
            </w:pPr>
            <w:r w:rsidRPr="00C55BDE">
              <w:rPr>
                <w:szCs w:val="22"/>
              </w:rPr>
              <w:t>5.0%</w:t>
            </w:r>
          </w:p>
        </w:tc>
      </w:tr>
      <w:tr w:rsidR="00FA31F0" w:rsidRPr="00C55BDE" w:rsidTr="00FA31F0">
        <w:trPr>
          <w:cantSplit/>
          <w:jc w:val="center"/>
        </w:trPr>
        <w:tc>
          <w:tcPr>
            <w:tcW w:w="2426" w:type="dxa"/>
            <w:shd w:val="clear" w:color="auto" w:fill="auto"/>
          </w:tcPr>
          <w:p w:rsidR="00FA31F0" w:rsidRPr="00C55BDE" w:rsidRDefault="00FA31F0" w:rsidP="00FA31F0">
            <w:pPr>
              <w:jc w:val="both"/>
              <w:rPr>
                <w:b/>
              </w:rPr>
            </w:pPr>
            <w:r w:rsidRPr="00C55BDE">
              <w:t>Partnerships</w:t>
            </w:r>
          </w:p>
        </w:tc>
        <w:tc>
          <w:tcPr>
            <w:tcW w:w="3874" w:type="dxa"/>
            <w:shd w:val="clear" w:color="auto" w:fill="auto"/>
          </w:tcPr>
          <w:p w:rsidR="00FA31F0" w:rsidRPr="00C55BDE" w:rsidRDefault="00FA31F0" w:rsidP="00FA31F0">
            <w:pPr>
              <w:jc w:val="both"/>
              <w:rPr>
                <w:b/>
              </w:rPr>
            </w:pPr>
            <w:r w:rsidRPr="00C55BDE">
              <w:t>Increased risks associated with Community Budgets.  Limited partnership funding of £0.2m pa</w:t>
            </w:r>
          </w:p>
        </w:tc>
        <w:tc>
          <w:tcPr>
            <w:tcW w:w="1194" w:type="dxa"/>
            <w:shd w:val="clear" w:color="auto" w:fill="auto"/>
          </w:tcPr>
          <w:p w:rsidR="00FA31F0" w:rsidRPr="00C55BDE" w:rsidRDefault="00FA31F0" w:rsidP="00FA31F0">
            <w:pPr>
              <w:jc w:val="both"/>
              <w:rPr>
                <w:b/>
                <w:szCs w:val="22"/>
              </w:rPr>
            </w:pPr>
            <w:r w:rsidRPr="00C55BDE">
              <w:rPr>
                <w:szCs w:val="22"/>
              </w:rPr>
              <w:t>0.2%</w:t>
            </w:r>
          </w:p>
        </w:tc>
        <w:tc>
          <w:tcPr>
            <w:tcW w:w="1326" w:type="dxa"/>
            <w:shd w:val="clear" w:color="auto" w:fill="auto"/>
          </w:tcPr>
          <w:p w:rsidR="00FA31F0" w:rsidRPr="00C55BDE" w:rsidRDefault="00FA31F0" w:rsidP="00FA31F0">
            <w:pPr>
              <w:jc w:val="both"/>
              <w:rPr>
                <w:b/>
                <w:szCs w:val="22"/>
              </w:rPr>
            </w:pPr>
            <w:r w:rsidRPr="00C55BDE">
              <w:rPr>
                <w:szCs w:val="22"/>
              </w:rPr>
              <w:t>1.0%</w:t>
            </w:r>
          </w:p>
        </w:tc>
      </w:tr>
      <w:tr w:rsidR="00FA31F0" w:rsidRPr="00C55BDE" w:rsidTr="00FA31F0">
        <w:trPr>
          <w:cantSplit/>
          <w:jc w:val="center"/>
        </w:trPr>
        <w:tc>
          <w:tcPr>
            <w:tcW w:w="2426" w:type="dxa"/>
            <w:shd w:val="clear" w:color="auto" w:fill="auto"/>
          </w:tcPr>
          <w:p w:rsidR="00FA31F0" w:rsidRPr="00C55BDE" w:rsidRDefault="00FA31F0" w:rsidP="00FA31F0">
            <w:pPr>
              <w:jc w:val="both"/>
              <w:rPr>
                <w:b/>
              </w:rPr>
            </w:pPr>
            <w:r w:rsidRPr="00C55BDE">
              <w:t>Financial Standing</w:t>
            </w:r>
          </w:p>
        </w:tc>
        <w:tc>
          <w:tcPr>
            <w:tcW w:w="3874" w:type="dxa"/>
            <w:shd w:val="clear" w:color="auto" w:fill="auto"/>
          </w:tcPr>
          <w:p w:rsidR="00FA31F0" w:rsidRPr="00C55BDE" w:rsidRDefault="00FA31F0" w:rsidP="00FA31F0">
            <w:pPr>
              <w:jc w:val="both"/>
              <w:rPr>
                <w:b/>
              </w:rPr>
            </w:pPr>
            <w:r w:rsidRPr="00C55BDE">
              <w:t>Increasing level of borrowing limits future flexibility.  Separate provision for future years.</w:t>
            </w:r>
          </w:p>
        </w:tc>
        <w:tc>
          <w:tcPr>
            <w:tcW w:w="1194" w:type="dxa"/>
            <w:shd w:val="clear" w:color="auto" w:fill="auto"/>
          </w:tcPr>
          <w:p w:rsidR="00FA31F0" w:rsidRPr="00C55BDE" w:rsidRDefault="00FA31F0" w:rsidP="00FA31F0">
            <w:pPr>
              <w:jc w:val="both"/>
              <w:rPr>
                <w:b/>
                <w:szCs w:val="22"/>
              </w:rPr>
            </w:pPr>
            <w:r w:rsidRPr="00C55BDE">
              <w:rPr>
                <w:szCs w:val="22"/>
              </w:rPr>
              <w:t>0.5%</w:t>
            </w:r>
          </w:p>
        </w:tc>
        <w:tc>
          <w:tcPr>
            <w:tcW w:w="1326" w:type="dxa"/>
            <w:shd w:val="clear" w:color="auto" w:fill="auto"/>
          </w:tcPr>
          <w:p w:rsidR="00FA31F0" w:rsidRPr="00C55BDE" w:rsidRDefault="00FA31F0" w:rsidP="00FA31F0">
            <w:pPr>
              <w:jc w:val="both"/>
              <w:rPr>
                <w:b/>
                <w:szCs w:val="22"/>
              </w:rPr>
            </w:pPr>
            <w:r w:rsidRPr="00C55BDE">
              <w:rPr>
                <w:szCs w:val="22"/>
              </w:rPr>
              <w:t>2.0%</w:t>
            </w:r>
          </w:p>
        </w:tc>
      </w:tr>
      <w:tr w:rsidR="00FA31F0" w:rsidRPr="00C55BDE" w:rsidTr="00FA31F0">
        <w:trPr>
          <w:cantSplit/>
          <w:jc w:val="center"/>
        </w:trPr>
        <w:tc>
          <w:tcPr>
            <w:tcW w:w="2426" w:type="dxa"/>
            <w:shd w:val="clear" w:color="auto" w:fill="auto"/>
          </w:tcPr>
          <w:p w:rsidR="00FA31F0" w:rsidRPr="00C55BDE" w:rsidRDefault="00FA31F0" w:rsidP="00FA31F0">
            <w:pPr>
              <w:jc w:val="both"/>
            </w:pPr>
            <w:r w:rsidRPr="00C55BDE">
              <w:t>Total</w:t>
            </w:r>
          </w:p>
        </w:tc>
        <w:tc>
          <w:tcPr>
            <w:tcW w:w="3874" w:type="dxa"/>
            <w:shd w:val="clear" w:color="auto" w:fill="auto"/>
          </w:tcPr>
          <w:p w:rsidR="00FA31F0" w:rsidRPr="00C55BDE" w:rsidRDefault="00FA31F0" w:rsidP="00FA31F0">
            <w:pPr>
              <w:jc w:val="both"/>
            </w:pPr>
          </w:p>
        </w:tc>
        <w:tc>
          <w:tcPr>
            <w:tcW w:w="1194" w:type="dxa"/>
            <w:shd w:val="clear" w:color="auto" w:fill="auto"/>
          </w:tcPr>
          <w:p w:rsidR="00FA31F0" w:rsidRPr="00C55BDE" w:rsidRDefault="00FA31F0" w:rsidP="00FA31F0">
            <w:pPr>
              <w:jc w:val="both"/>
              <w:rPr>
                <w:szCs w:val="22"/>
              </w:rPr>
            </w:pPr>
            <w:r w:rsidRPr="00C55BDE">
              <w:rPr>
                <w:szCs w:val="22"/>
              </w:rPr>
              <w:t>3.0%</w:t>
            </w:r>
          </w:p>
        </w:tc>
        <w:tc>
          <w:tcPr>
            <w:tcW w:w="1326" w:type="dxa"/>
            <w:shd w:val="clear" w:color="auto" w:fill="auto"/>
          </w:tcPr>
          <w:p w:rsidR="00FA31F0" w:rsidRPr="00C55BDE" w:rsidRDefault="00FA31F0" w:rsidP="00FA31F0">
            <w:pPr>
              <w:jc w:val="both"/>
              <w:rPr>
                <w:szCs w:val="22"/>
              </w:rPr>
            </w:pPr>
            <w:r w:rsidRPr="00C55BDE">
              <w:rPr>
                <w:szCs w:val="22"/>
              </w:rPr>
              <w:t>10.0%</w:t>
            </w:r>
          </w:p>
        </w:tc>
      </w:tr>
    </w:tbl>
    <w:p w:rsidR="00FA31F0" w:rsidRPr="00C55BDE" w:rsidRDefault="00FA31F0" w:rsidP="00FA31F0">
      <w:pPr>
        <w:pStyle w:val="BodyText2"/>
      </w:pPr>
    </w:p>
    <w:p w:rsidR="00FA31F0" w:rsidRPr="00C55BDE" w:rsidRDefault="00FA31F0" w:rsidP="00FA31F0">
      <w:pPr>
        <w:pStyle w:val="NumbList3"/>
        <w:spacing w:after="240"/>
        <w:ind w:left="357" w:hanging="357"/>
      </w:pPr>
      <w:r w:rsidRPr="00C55BDE">
        <w:t xml:space="preserve">The lower limit of 3.0% of turnover equates to £2.1m and the upper limit of 10.0% of turnover equates to £7.0m. The Authority is close to the upper point of this range.  </w:t>
      </w:r>
    </w:p>
    <w:p w:rsidR="00FA31F0" w:rsidRPr="00C55BDE" w:rsidRDefault="00FA31F0" w:rsidP="00FA31F0">
      <w:pPr>
        <w:pStyle w:val="Heading1"/>
      </w:pPr>
      <w:r w:rsidRPr="00C55BDE">
        <w:t>Conclusion</w:t>
      </w:r>
    </w:p>
    <w:p w:rsidR="00FA31F0" w:rsidRPr="00C55BDE" w:rsidRDefault="00FA31F0" w:rsidP="00FA31F0">
      <w:pPr>
        <w:pStyle w:val="NumbList3"/>
        <w:spacing w:after="240"/>
        <w:ind w:left="357" w:hanging="357"/>
      </w:pPr>
      <w:r w:rsidRPr="00C55BDE">
        <w:t>Given the level of total usable reserves available in 201</w:t>
      </w:r>
      <w:r w:rsidR="00665CDB">
        <w:t>9</w:t>
      </w:r>
      <w:r w:rsidRPr="00C55BDE">
        <w:t>/</w:t>
      </w:r>
      <w:r w:rsidR="00665CDB">
        <w:t>20</w:t>
      </w:r>
      <w:r w:rsidRPr="00C55BDE">
        <w:t xml:space="preserve"> of £1</w:t>
      </w:r>
      <w:r w:rsidR="00665CDB">
        <w:t>8</w:t>
      </w:r>
      <w:r w:rsidRPr="00C55BDE">
        <w:t>.</w:t>
      </w:r>
      <w:r w:rsidR="00665CDB">
        <w:t>9</w:t>
      </w:r>
      <w:r w:rsidRPr="00C55BDE">
        <w:t>m; the prudent approach to the budget setting process for next financial year; and the Authority’s good past record of budget management, it is my conclusion that there is sufficient capacity in the budget to cope with the financial risks the Authority faces in 201</w:t>
      </w:r>
      <w:r w:rsidR="00665CDB">
        <w:t xml:space="preserve">9-20. </w:t>
      </w:r>
      <w:r w:rsidR="00217D37">
        <w:t>As the Authority is required to balance its budget, it is recommended</w:t>
      </w:r>
      <w:r w:rsidR="001C41D7">
        <w:t xml:space="preserve"> that the </w:t>
      </w:r>
      <w:r w:rsidR="000F26EE">
        <w:t>Commissioner</w:t>
      </w:r>
      <w:r w:rsidR="001C41D7">
        <w:t xml:space="preserve"> </w:t>
      </w:r>
      <w:r w:rsidR="00217D37">
        <w:t>instruct</w:t>
      </w:r>
      <w:r w:rsidR="001C41D7">
        <w:t xml:space="preserve"> the Chief Executive/Chief Fire Officer to prepare a </w:t>
      </w:r>
      <w:r w:rsidR="000F26EE">
        <w:t>p</w:t>
      </w:r>
      <w:r w:rsidR="001C41D7">
        <w:t>la</w:t>
      </w:r>
      <w:r w:rsidR="000F26EE">
        <w:t>n</w:t>
      </w:r>
      <w:r w:rsidR="001C41D7">
        <w:t xml:space="preserve"> to </w:t>
      </w:r>
      <w:r w:rsidR="000F26EE">
        <w:t>achieve</w:t>
      </w:r>
      <w:r w:rsidR="001C41D7">
        <w:t xml:space="preserve"> a balanced budget</w:t>
      </w:r>
      <w:r w:rsidR="00C81135">
        <w:t>, without using reserves</w:t>
      </w:r>
      <w:r w:rsidR="001C41D7">
        <w:t xml:space="preserve"> by the 2021-22 financial year. This will </w:t>
      </w:r>
      <w:r w:rsidR="000F26EE">
        <w:t>en</w:t>
      </w:r>
      <w:r w:rsidR="001C41D7">
        <w:t>sure that the Authority remains financially sustainable</w:t>
      </w:r>
      <w:r w:rsidR="00C81135">
        <w:t xml:space="preserve"> in the medium term</w:t>
      </w:r>
      <w:r w:rsidR="000F26EE">
        <w:t>.</w:t>
      </w:r>
    </w:p>
    <w:p w:rsidR="00FA31F0" w:rsidRPr="00C55BDE" w:rsidRDefault="001C41D7" w:rsidP="00FA31F0">
      <w:pPr>
        <w:pStyle w:val="BodyText2"/>
        <w:spacing w:after="0"/>
        <w:jc w:val="left"/>
      </w:pPr>
      <w:r>
        <w:t>G</w:t>
      </w:r>
      <w:r w:rsidR="00FA31F0" w:rsidRPr="00C55BDE">
        <w:t xml:space="preserve"> </w:t>
      </w:r>
      <w:r>
        <w:t>McGuinness</w:t>
      </w:r>
    </w:p>
    <w:p w:rsidR="002F45F7" w:rsidRPr="00C55BDE" w:rsidRDefault="001C41D7" w:rsidP="00FA31F0">
      <w:pPr>
        <w:pStyle w:val="BodyText2"/>
        <w:spacing w:after="0"/>
        <w:jc w:val="left"/>
      </w:pPr>
      <w:r>
        <w:t xml:space="preserve">Acting </w:t>
      </w:r>
      <w:r w:rsidR="00FC306C">
        <w:t xml:space="preserve">Chief </w:t>
      </w:r>
      <w:r w:rsidR="00FA31F0" w:rsidRPr="00C55BDE">
        <w:t>Finance</w:t>
      </w:r>
      <w:r w:rsidR="00FC306C">
        <w:t xml:space="preserve"> Officer</w:t>
      </w:r>
    </w:p>
    <w:sectPr w:rsidR="002F45F7" w:rsidRPr="00C55BDE" w:rsidSect="00956FCC">
      <w:headerReference w:type="default" r:id="rId10"/>
      <w:headerReference w:type="first" r:id="rId11"/>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32" w:rsidRDefault="00352532">
      <w:r>
        <w:separator/>
      </w:r>
    </w:p>
  </w:endnote>
  <w:endnote w:type="continuationSeparator" w:id="0">
    <w:p w:rsidR="00352532" w:rsidRDefault="0035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32" w:rsidRDefault="00352532">
      <w:r>
        <w:separator/>
      </w:r>
    </w:p>
  </w:footnote>
  <w:footnote w:type="continuationSeparator" w:id="0">
    <w:p w:rsidR="00352532" w:rsidRDefault="00352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CC" w:rsidRPr="00956FCC" w:rsidRDefault="00956FCC" w:rsidP="00956FCC">
    <w:pPr>
      <w:pStyle w:val="Header"/>
      <w:jc w:val="right"/>
    </w:pPr>
    <w:r>
      <w:t>Appendix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CC" w:rsidRDefault="00956FCC" w:rsidP="00956FCC">
    <w:pPr>
      <w:pStyle w:val="Header"/>
      <w:jc w:val="right"/>
    </w:pPr>
    <w: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9C4"/>
    <w:multiLevelType w:val="hybridMultilevel"/>
    <w:tmpl w:val="DEBA0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E35E3"/>
    <w:multiLevelType w:val="hybridMultilevel"/>
    <w:tmpl w:val="05980A86"/>
    <w:lvl w:ilvl="0" w:tplc="809EA13E">
      <w:start w:val="1"/>
      <w:numFmt w:val="decimal"/>
      <w:pStyle w:val="NumberedIndent"/>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DE0181"/>
    <w:multiLevelType w:val="multilevel"/>
    <w:tmpl w:val="71EE5842"/>
    <w:lvl w:ilvl="0">
      <w:start w:val="1"/>
      <w:numFmt w:val="decimal"/>
      <w:lvlText w:val="%1"/>
      <w:lvlJc w:val="left"/>
      <w:pPr>
        <w:ind w:left="432" w:hanging="432"/>
      </w:pPr>
      <w:rPr>
        <w:rFonts w:hint="default"/>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193082B"/>
    <w:multiLevelType w:val="hybridMultilevel"/>
    <w:tmpl w:val="B70CD2FA"/>
    <w:lvl w:ilvl="0" w:tplc="7C066B52">
      <w:start w:val="1"/>
      <w:numFmt w:val="decimal"/>
      <w:pStyle w:val="Bullet"/>
      <w:lvlText w:val="%1."/>
      <w:lvlJc w:val="left"/>
      <w:pPr>
        <w:tabs>
          <w:tab w:val="num" w:pos="900"/>
        </w:tabs>
        <w:ind w:left="90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4EC739B"/>
    <w:multiLevelType w:val="hybridMultilevel"/>
    <w:tmpl w:val="97BC964E"/>
    <w:lvl w:ilvl="0" w:tplc="D41A62D0">
      <w:start w:val="1"/>
      <w:numFmt w:val="decimal"/>
      <w:pStyle w:val="NumbList3"/>
      <w:lvlText w:val="%1."/>
      <w:lvlJc w:val="left"/>
      <w:pPr>
        <w:ind w:left="360" w:hanging="360"/>
      </w:pPr>
      <w:rPr>
        <w:rFonts w:hint="default"/>
        <w:color w:val="000000" w:themeColor="text1"/>
      </w:rPr>
    </w:lvl>
    <w:lvl w:ilvl="1" w:tplc="08090019">
      <w:start w:val="1"/>
      <w:numFmt w:val="lowerLetter"/>
      <w:lvlText w:val="%2."/>
      <w:lvlJc w:val="left"/>
      <w:pPr>
        <w:ind w:left="1637"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560BA7"/>
    <w:multiLevelType w:val="hybridMultilevel"/>
    <w:tmpl w:val="89EC9C26"/>
    <w:lvl w:ilvl="0" w:tplc="D41A62D0">
      <w:start w:val="1"/>
      <w:numFmt w:val="decimal"/>
      <w:lvlText w:val="%1."/>
      <w:lvlJc w:val="left"/>
      <w:pPr>
        <w:ind w:left="360" w:hanging="360"/>
      </w:pPr>
      <w:rPr>
        <w:rFonts w:hint="default"/>
        <w:color w:val="000000" w:themeColor="text1"/>
      </w:rPr>
    </w:lvl>
    <w:lvl w:ilvl="1" w:tplc="08090019">
      <w:start w:val="1"/>
      <w:numFmt w:val="lowerLetter"/>
      <w:lvlText w:val="%2."/>
      <w:lvlJc w:val="left"/>
      <w:pPr>
        <w:ind w:left="1637"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C17973"/>
    <w:multiLevelType w:val="multilevel"/>
    <w:tmpl w:val="F75E52BC"/>
    <w:lvl w:ilvl="0">
      <w:start w:val="1"/>
      <w:numFmt w:val="decimal"/>
      <w:lvlText w:val="%1."/>
      <w:lvlJc w:val="left"/>
      <w:pPr>
        <w:ind w:left="720" w:hanging="360"/>
      </w:pPr>
      <w:rPr>
        <w:rFonts w:hint="default"/>
        <w:b/>
      </w:rPr>
    </w:lvl>
    <w:lvl w:ilvl="1">
      <w:start w:val="1"/>
      <w:numFmt w:val="decimal"/>
      <w:isLgl/>
      <w:lvlText w:val="%1.%2"/>
      <w:lvlJc w:val="left"/>
      <w:pPr>
        <w:ind w:left="973"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5"/>
  </w:num>
  <w:num w:numId="4">
    <w:abstractNumId w:val="0"/>
  </w:num>
  <w:num w:numId="5">
    <w:abstractNumId w:val="1"/>
  </w:num>
  <w:num w:numId="6">
    <w:abstractNumId w:val="5"/>
  </w:num>
  <w:num w:numId="7">
    <w:abstractNumId w:val="5"/>
  </w:num>
  <w:num w:numId="8">
    <w:abstractNumId w:val="6"/>
  </w:num>
  <w:num w:numId="9">
    <w:abstractNumId w:val="5"/>
  </w:num>
  <w:num w:numId="10">
    <w:abstractNumId w:val="3"/>
  </w:num>
  <w:num w:numId="11">
    <w:abstractNumId w:val="5"/>
  </w:num>
  <w:num w:numId="12">
    <w:abstractNumId w:val="5"/>
  </w:num>
  <w:num w:numId="13">
    <w:abstractNumId w:val="4"/>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484C"/>
    <w:rsid w:val="000049D1"/>
    <w:rsid w:val="00006B4F"/>
    <w:rsid w:val="00006C81"/>
    <w:rsid w:val="00007F2F"/>
    <w:rsid w:val="000127F2"/>
    <w:rsid w:val="000129FE"/>
    <w:rsid w:val="00014B58"/>
    <w:rsid w:val="0001605A"/>
    <w:rsid w:val="00016E9E"/>
    <w:rsid w:val="000172A6"/>
    <w:rsid w:val="00017E73"/>
    <w:rsid w:val="00021C6E"/>
    <w:rsid w:val="00022849"/>
    <w:rsid w:val="000232BD"/>
    <w:rsid w:val="00023305"/>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7123"/>
    <w:rsid w:val="00047E0B"/>
    <w:rsid w:val="00050A61"/>
    <w:rsid w:val="00050FB5"/>
    <w:rsid w:val="000562DA"/>
    <w:rsid w:val="00057E76"/>
    <w:rsid w:val="000609B3"/>
    <w:rsid w:val="00061F0C"/>
    <w:rsid w:val="00062965"/>
    <w:rsid w:val="000640DB"/>
    <w:rsid w:val="000640F3"/>
    <w:rsid w:val="000649BD"/>
    <w:rsid w:val="000651F2"/>
    <w:rsid w:val="000655B3"/>
    <w:rsid w:val="000660B2"/>
    <w:rsid w:val="00067B17"/>
    <w:rsid w:val="000708BF"/>
    <w:rsid w:val="00070919"/>
    <w:rsid w:val="00074824"/>
    <w:rsid w:val="0007685A"/>
    <w:rsid w:val="0007715F"/>
    <w:rsid w:val="0007728B"/>
    <w:rsid w:val="00077D61"/>
    <w:rsid w:val="000816CB"/>
    <w:rsid w:val="00081A13"/>
    <w:rsid w:val="00082A0E"/>
    <w:rsid w:val="0008484A"/>
    <w:rsid w:val="00085616"/>
    <w:rsid w:val="00085759"/>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6A"/>
    <w:rsid w:val="000B0FF6"/>
    <w:rsid w:val="000B3154"/>
    <w:rsid w:val="000B3582"/>
    <w:rsid w:val="000B42D8"/>
    <w:rsid w:val="000B4668"/>
    <w:rsid w:val="000B48BC"/>
    <w:rsid w:val="000B7DB2"/>
    <w:rsid w:val="000B7ECF"/>
    <w:rsid w:val="000C21A3"/>
    <w:rsid w:val="000C3486"/>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E7D05"/>
    <w:rsid w:val="000F1BFE"/>
    <w:rsid w:val="000F24CB"/>
    <w:rsid w:val="000F26EE"/>
    <w:rsid w:val="000F2F6E"/>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094"/>
    <w:rsid w:val="00126B19"/>
    <w:rsid w:val="0012725A"/>
    <w:rsid w:val="00127D18"/>
    <w:rsid w:val="00127ED9"/>
    <w:rsid w:val="00131182"/>
    <w:rsid w:val="00131632"/>
    <w:rsid w:val="001323A9"/>
    <w:rsid w:val="00133CC7"/>
    <w:rsid w:val="00134004"/>
    <w:rsid w:val="001359B3"/>
    <w:rsid w:val="00136449"/>
    <w:rsid w:val="00136873"/>
    <w:rsid w:val="00136ED5"/>
    <w:rsid w:val="00141BAD"/>
    <w:rsid w:val="00141D9F"/>
    <w:rsid w:val="001430F8"/>
    <w:rsid w:val="00145602"/>
    <w:rsid w:val="00145D73"/>
    <w:rsid w:val="0014714B"/>
    <w:rsid w:val="00151327"/>
    <w:rsid w:val="00153361"/>
    <w:rsid w:val="00154087"/>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77933"/>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3D34"/>
    <w:rsid w:val="001B47AD"/>
    <w:rsid w:val="001B4A01"/>
    <w:rsid w:val="001B4C05"/>
    <w:rsid w:val="001B7629"/>
    <w:rsid w:val="001C2A15"/>
    <w:rsid w:val="001C38A3"/>
    <w:rsid w:val="001C41D7"/>
    <w:rsid w:val="001C474C"/>
    <w:rsid w:val="001C558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99F"/>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D37"/>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4DD"/>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51A0"/>
    <w:rsid w:val="00276428"/>
    <w:rsid w:val="002764BA"/>
    <w:rsid w:val="002766D2"/>
    <w:rsid w:val="0028061A"/>
    <w:rsid w:val="00280A2B"/>
    <w:rsid w:val="00280D92"/>
    <w:rsid w:val="00280DCB"/>
    <w:rsid w:val="00281A3E"/>
    <w:rsid w:val="00281EF4"/>
    <w:rsid w:val="00283429"/>
    <w:rsid w:val="00283D27"/>
    <w:rsid w:val="00283D6E"/>
    <w:rsid w:val="002844D3"/>
    <w:rsid w:val="00285409"/>
    <w:rsid w:val="00285B53"/>
    <w:rsid w:val="00286926"/>
    <w:rsid w:val="0028722A"/>
    <w:rsid w:val="00287AF0"/>
    <w:rsid w:val="0029042F"/>
    <w:rsid w:val="0029107F"/>
    <w:rsid w:val="002911D7"/>
    <w:rsid w:val="002912D6"/>
    <w:rsid w:val="002919BB"/>
    <w:rsid w:val="00292719"/>
    <w:rsid w:val="00293E36"/>
    <w:rsid w:val="002A0622"/>
    <w:rsid w:val="002A10AF"/>
    <w:rsid w:val="002A1C38"/>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C7CF3"/>
    <w:rsid w:val="002D1648"/>
    <w:rsid w:val="002D24A7"/>
    <w:rsid w:val="002D2AAD"/>
    <w:rsid w:val="002D377E"/>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512E"/>
    <w:rsid w:val="002F634D"/>
    <w:rsid w:val="002F6550"/>
    <w:rsid w:val="00303742"/>
    <w:rsid w:val="00304F86"/>
    <w:rsid w:val="003065F9"/>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5B4F"/>
    <w:rsid w:val="0034796C"/>
    <w:rsid w:val="00347FCD"/>
    <w:rsid w:val="00350E86"/>
    <w:rsid w:val="00351CEC"/>
    <w:rsid w:val="0035223F"/>
    <w:rsid w:val="00352532"/>
    <w:rsid w:val="003528A1"/>
    <w:rsid w:val="00353461"/>
    <w:rsid w:val="00354DCE"/>
    <w:rsid w:val="00355C60"/>
    <w:rsid w:val="00356339"/>
    <w:rsid w:val="00356C2D"/>
    <w:rsid w:val="0035798A"/>
    <w:rsid w:val="003606A2"/>
    <w:rsid w:val="00360A3A"/>
    <w:rsid w:val="0036149C"/>
    <w:rsid w:val="00364850"/>
    <w:rsid w:val="003650E4"/>
    <w:rsid w:val="003659E9"/>
    <w:rsid w:val="00365FBE"/>
    <w:rsid w:val="003660C3"/>
    <w:rsid w:val="00367B21"/>
    <w:rsid w:val="003703D3"/>
    <w:rsid w:val="00371982"/>
    <w:rsid w:val="00371DD3"/>
    <w:rsid w:val="003724D0"/>
    <w:rsid w:val="003727BC"/>
    <w:rsid w:val="0037618E"/>
    <w:rsid w:val="00380585"/>
    <w:rsid w:val="00380A82"/>
    <w:rsid w:val="00380FE4"/>
    <w:rsid w:val="00381AE9"/>
    <w:rsid w:val="00382B0F"/>
    <w:rsid w:val="00387CB2"/>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62EB"/>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3EED"/>
    <w:rsid w:val="003D5E8A"/>
    <w:rsid w:val="003E0237"/>
    <w:rsid w:val="003E23C5"/>
    <w:rsid w:val="003E2B63"/>
    <w:rsid w:val="003E3748"/>
    <w:rsid w:val="003E4A0C"/>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2FD3"/>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0C91"/>
    <w:rsid w:val="00471E19"/>
    <w:rsid w:val="004724B0"/>
    <w:rsid w:val="00473409"/>
    <w:rsid w:val="00473927"/>
    <w:rsid w:val="00474F6A"/>
    <w:rsid w:val="00475CA4"/>
    <w:rsid w:val="00476300"/>
    <w:rsid w:val="00480728"/>
    <w:rsid w:val="00480C49"/>
    <w:rsid w:val="004819E5"/>
    <w:rsid w:val="00482623"/>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129"/>
    <w:rsid w:val="004F23CA"/>
    <w:rsid w:val="004F2C41"/>
    <w:rsid w:val="004F32A9"/>
    <w:rsid w:val="004F3A47"/>
    <w:rsid w:val="004F550C"/>
    <w:rsid w:val="004F59D5"/>
    <w:rsid w:val="004F7179"/>
    <w:rsid w:val="00500754"/>
    <w:rsid w:val="00502356"/>
    <w:rsid w:val="0050277E"/>
    <w:rsid w:val="00502ADB"/>
    <w:rsid w:val="00503D85"/>
    <w:rsid w:val="00503DB3"/>
    <w:rsid w:val="00505420"/>
    <w:rsid w:val="005063F1"/>
    <w:rsid w:val="0050677A"/>
    <w:rsid w:val="005103A0"/>
    <w:rsid w:val="00510C59"/>
    <w:rsid w:val="00511043"/>
    <w:rsid w:val="005129B2"/>
    <w:rsid w:val="005131D1"/>
    <w:rsid w:val="00515AC9"/>
    <w:rsid w:val="0051689E"/>
    <w:rsid w:val="00517DE4"/>
    <w:rsid w:val="00520A8B"/>
    <w:rsid w:val="00521BBE"/>
    <w:rsid w:val="0052597D"/>
    <w:rsid w:val="00526681"/>
    <w:rsid w:val="00531668"/>
    <w:rsid w:val="00534B30"/>
    <w:rsid w:val="00535276"/>
    <w:rsid w:val="005357B0"/>
    <w:rsid w:val="00535F5C"/>
    <w:rsid w:val="00536540"/>
    <w:rsid w:val="00543DC6"/>
    <w:rsid w:val="005461F6"/>
    <w:rsid w:val="00550384"/>
    <w:rsid w:val="005509FE"/>
    <w:rsid w:val="005525B4"/>
    <w:rsid w:val="0055273B"/>
    <w:rsid w:val="00552EF2"/>
    <w:rsid w:val="00552FA4"/>
    <w:rsid w:val="0055352B"/>
    <w:rsid w:val="00555BA5"/>
    <w:rsid w:val="00562129"/>
    <w:rsid w:val="005647DD"/>
    <w:rsid w:val="00564FA8"/>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1DDA"/>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41C8"/>
    <w:rsid w:val="005B55EA"/>
    <w:rsid w:val="005B6366"/>
    <w:rsid w:val="005B7713"/>
    <w:rsid w:val="005C1EC5"/>
    <w:rsid w:val="005C1F3B"/>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6EF3"/>
    <w:rsid w:val="006071D7"/>
    <w:rsid w:val="00612012"/>
    <w:rsid w:val="00613206"/>
    <w:rsid w:val="006138CD"/>
    <w:rsid w:val="0061459E"/>
    <w:rsid w:val="0061598E"/>
    <w:rsid w:val="006167A7"/>
    <w:rsid w:val="006236EB"/>
    <w:rsid w:val="00626166"/>
    <w:rsid w:val="006265EC"/>
    <w:rsid w:val="006275AD"/>
    <w:rsid w:val="00627EF4"/>
    <w:rsid w:val="00632B60"/>
    <w:rsid w:val="00632F6F"/>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CDB"/>
    <w:rsid w:val="00665ED6"/>
    <w:rsid w:val="0066631D"/>
    <w:rsid w:val="00666D7B"/>
    <w:rsid w:val="0066769F"/>
    <w:rsid w:val="0067032E"/>
    <w:rsid w:val="00670BC3"/>
    <w:rsid w:val="006729AD"/>
    <w:rsid w:val="00672A97"/>
    <w:rsid w:val="006741F0"/>
    <w:rsid w:val="00674926"/>
    <w:rsid w:val="006759F4"/>
    <w:rsid w:val="00675C8F"/>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3F3B"/>
    <w:rsid w:val="006A0DC2"/>
    <w:rsid w:val="006A10FC"/>
    <w:rsid w:val="006A2B71"/>
    <w:rsid w:val="006A3E36"/>
    <w:rsid w:val="006A4DED"/>
    <w:rsid w:val="006A5076"/>
    <w:rsid w:val="006A54CE"/>
    <w:rsid w:val="006A7058"/>
    <w:rsid w:val="006A7F0D"/>
    <w:rsid w:val="006A7F27"/>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1802"/>
    <w:rsid w:val="006C2B32"/>
    <w:rsid w:val="006C312B"/>
    <w:rsid w:val="006C32F8"/>
    <w:rsid w:val="006C3A34"/>
    <w:rsid w:val="006C4A58"/>
    <w:rsid w:val="006C797E"/>
    <w:rsid w:val="006C7C78"/>
    <w:rsid w:val="006C7D76"/>
    <w:rsid w:val="006D1066"/>
    <w:rsid w:val="006D1EC8"/>
    <w:rsid w:val="006D34AC"/>
    <w:rsid w:val="006D351B"/>
    <w:rsid w:val="006D430F"/>
    <w:rsid w:val="006D50F9"/>
    <w:rsid w:val="006D6C74"/>
    <w:rsid w:val="006E096D"/>
    <w:rsid w:val="006E0BE4"/>
    <w:rsid w:val="006E16C8"/>
    <w:rsid w:val="006E313E"/>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2E4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909"/>
    <w:rsid w:val="00745AB8"/>
    <w:rsid w:val="00747F33"/>
    <w:rsid w:val="00750E84"/>
    <w:rsid w:val="00751B64"/>
    <w:rsid w:val="00753119"/>
    <w:rsid w:val="00753280"/>
    <w:rsid w:val="0075540C"/>
    <w:rsid w:val="00755F67"/>
    <w:rsid w:val="00756E48"/>
    <w:rsid w:val="00757835"/>
    <w:rsid w:val="00757DB2"/>
    <w:rsid w:val="007607AD"/>
    <w:rsid w:val="0076087E"/>
    <w:rsid w:val="00760CBC"/>
    <w:rsid w:val="00760E86"/>
    <w:rsid w:val="0076152E"/>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49C6"/>
    <w:rsid w:val="00784AA4"/>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D4320"/>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0E7A"/>
    <w:rsid w:val="0080243D"/>
    <w:rsid w:val="00802EC1"/>
    <w:rsid w:val="00803C2F"/>
    <w:rsid w:val="00804AF8"/>
    <w:rsid w:val="00805EAE"/>
    <w:rsid w:val="00806198"/>
    <w:rsid w:val="00807BE2"/>
    <w:rsid w:val="00807CA6"/>
    <w:rsid w:val="00810876"/>
    <w:rsid w:val="00810E1C"/>
    <w:rsid w:val="008124C0"/>
    <w:rsid w:val="0081434B"/>
    <w:rsid w:val="00815866"/>
    <w:rsid w:val="00815C39"/>
    <w:rsid w:val="00815FD5"/>
    <w:rsid w:val="0081625D"/>
    <w:rsid w:val="00821BE4"/>
    <w:rsid w:val="00821E36"/>
    <w:rsid w:val="00822BE4"/>
    <w:rsid w:val="0082306B"/>
    <w:rsid w:val="0082524E"/>
    <w:rsid w:val="00826291"/>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42E3"/>
    <w:rsid w:val="008553DC"/>
    <w:rsid w:val="00855A08"/>
    <w:rsid w:val="00855FB4"/>
    <w:rsid w:val="00857107"/>
    <w:rsid w:val="00857B2B"/>
    <w:rsid w:val="008623B8"/>
    <w:rsid w:val="00862A58"/>
    <w:rsid w:val="00862D2D"/>
    <w:rsid w:val="00863127"/>
    <w:rsid w:val="008631E0"/>
    <w:rsid w:val="00863323"/>
    <w:rsid w:val="00863324"/>
    <w:rsid w:val="00864C4D"/>
    <w:rsid w:val="00865829"/>
    <w:rsid w:val="00866711"/>
    <w:rsid w:val="00866C48"/>
    <w:rsid w:val="008675C2"/>
    <w:rsid w:val="00871C9B"/>
    <w:rsid w:val="00873B81"/>
    <w:rsid w:val="00873CB7"/>
    <w:rsid w:val="008740D6"/>
    <w:rsid w:val="00874C99"/>
    <w:rsid w:val="0087716D"/>
    <w:rsid w:val="00877F83"/>
    <w:rsid w:val="00880FE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07CA"/>
    <w:rsid w:val="008C133A"/>
    <w:rsid w:val="008C1EC1"/>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55AA"/>
    <w:rsid w:val="00927693"/>
    <w:rsid w:val="00927A9D"/>
    <w:rsid w:val="00927FD4"/>
    <w:rsid w:val="00931CFF"/>
    <w:rsid w:val="00932949"/>
    <w:rsid w:val="00933D7D"/>
    <w:rsid w:val="0094057A"/>
    <w:rsid w:val="0094425A"/>
    <w:rsid w:val="009445A2"/>
    <w:rsid w:val="009467F1"/>
    <w:rsid w:val="00946F65"/>
    <w:rsid w:val="00947245"/>
    <w:rsid w:val="0094797F"/>
    <w:rsid w:val="00947F59"/>
    <w:rsid w:val="00950021"/>
    <w:rsid w:val="00950F46"/>
    <w:rsid w:val="00951D63"/>
    <w:rsid w:val="00952CE8"/>
    <w:rsid w:val="00953214"/>
    <w:rsid w:val="0095507F"/>
    <w:rsid w:val="00955A8F"/>
    <w:rsid w:val="00956FCC"/>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77B09"/>
    <w:rsid w:val="009801E7"/>
    <w:rsid w:val="009805C6"/>
    <w:rsid w:val="009815D0"/>
    <w:rsid w:val="00981A18"/>
    <w:rsid w:val="009829E6"/>
    <w:rsid w:val="00982F32"/>
    <w:rsid w:val="00983A23"/>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349"/>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071D3"/>
    <w:rsid w:val="00A1212A"/>
    <w:rsid w:val="00A12468"/>
    <w:rsid w:val="00A12928"/>
    <w:rsid w:val="00A155D9"/>
    <w:rsid w:val="00A15D23"/>
    <w:rsid w:val="00A1720F"/>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4C3"/>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66D"/>
    <w:rsid w:val="00AA4FD7"/>
    <w:rsid w:val="00AA55F8"/>
    <w:rsid w:val="00AA60E6"/>
    <w:rsid w:val="00AA7578"/>
    <w:rsid w:val="00AB04EA"/>
    <w:rsid w:val="00AB1894"/>
    <w:rsid w:val="00AB26DE"/>
    <w:rsid w:val="00AB4895"/>
    <w:rsid w:val="00AB5A86"/>
    <w:rsid w:val="00AB5CD3"/>
    <w:rsid w:val="00AB6645"/>
    <w:rsid w:val="00AB6B22"/>
    <w:rsid w:val="00AB6C3E"/>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AF75B8"/>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66CE5"/>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09AB"/>
    <w:rsid w:val="00BA1EC3"/>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1CE3"/>
    <w:rsid w:val="00BC4FE7"/>
    <w:rsid w:val="00BC5B27"/>
    <w:rsid w:val="00BC6161"/>
    <w:rsid w:val="00BC69EA"/>
    <w:rsid w:val="00BC727F"/>
    <w:rsid w:val="00BD119A"/>
    <w:rsid w:val="00BD131B"/>
    <w:rsid w:val="00BD2672"/>
    <w:rsid w:val="00BD2F89"/>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645F"/>
    <w:rsid w:val="00C07636"/>
    <w:rsid w:val="00C10661"/>
    <w:rsid w:val="00C13C66"/>
    <w:rsid w:val="00C13C80"/>
    <w:rsid w:val="00C15D9E"/>
    <w:rsid w:val="00C16202"/>
    <w:rsid w:val="00C20A32"/>
    <w:rsid w:val="00C20BF4"/>
    <w:rsid w:val="00C2318C"/>
    <w:rsid w:val="00C24B29"/>
    <w:rsid w:val="00C26A9F"/>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8BB"/>
    <w:rsid w:val="00C42CE9"/>
    <w:rsid w:val="00C43C8B"/>
    <w:rsid w:val="00C43DFB"/>
    <w:rsid w:val="00C50BC6"/>
    <w:rsid w:val="00C52977"/>
    <w:rsid w:val="00C52C63"/>
    <w:rsid w:val="00C54051"/>
    <w:rsid w:val="00C54620"/>
    <w:rsid w:val="00C55BDE"/>
    <w:rsid w:val="00C55D33"/>
    <w:rsid w:val="00C56B48"/>
    <w:rsid w:val="00C60A6F"/>
    <w:rsid w:val="00C611CC"/>
    <w:rsid w:val="00C6150B"/>
    <w:rsid w:val="00C641CF"/>
    <w:rsid w:val="00C644D9"/>
    <w:rsid w:val="00C64C60"/>
    <w:rsid w:val="00C6506C"/>
    <w:rsid w:val="00C658B8"/>
    <w:rsid w:val="00C65E58"/>
    <w:rsid w:val="00C66931"/>
    <w:rsid w:val="00C66A98"/>
    <w:rsid w:val="00C710D2"/>
    <w:rsid w:val="00C71416"/>
    <w:rsid w:val="00C714DC"/>
    <w:rsid w:val="00C7267F"/>
    <w:rsid w:val="00C74107"/>
    <w:rsid w:val="00C745DA"/>
    <w:rsid w:val="00C75910"/>
    <w:rsid w:val="00C76237"/>
    <w:rsid w:val="00C76E2F"/>
    <w:rsid w:val="00C77B97"/>
    <w:rsid w:val="00C77C83"/>
    <w:rsid w:val="00C801D6"/>
    <w:rsid w:val="00C80554"/>
    <w:rsid w:val="00C81135"/>
    <w:rsid w:val="00C81193"/>
    <w:rsid w:val="00C81A89"/>
    <w:rsid w:val="00C81E79"/>
    <w:rsid w:val="00C833E6"/>
    <w:rsid w:val="00C839B4"/>
    <w:rsid w:val="00C83E1E"/>
    <w:rsid w:val="00C85192"/>
    <w:rsid w:val="00C854DB"/>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6981"/>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4595"/>
    <w:rsid w:val="00D152A1"/>
    <w:rsid w:val="00D15D8A"/>
    <w:rsid w:val="00D1630E"/>
    <w:rsid w:val="00D208D4"/>
    <w:rsid w:val="00D21753"/>
    <w:rsid w:val="00D220EB"/>
    <w:rsid w:val="00D22C40"/>
    <w:rsid w:val="00D23485"/>
    <w:rsid w:val="00D240EB"/>
    <w:rsid w:val="00D244D6"/>
    <w:rsid w:val="00D24B27"/>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1CED"/>
    <w:rsid w:val="00D42385"/>
    <w:rsid w:val="00D462D4"/>
    <w:rsid w:val="00D51500"/>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0AA0"/>
    <w:rsid w:val="00D812DF"/>
    <w:rsid w:val="00D858CB"/>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5BB2"/>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3788"/>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4A69"/>
    <w:rsid w:val="00E07B4F"/>
    <w:rsid w:val="00E10049"/>
    <w:rsid w:val="00E105A9"/>
    <w:rsid w:val="00E10CCF"/>
    <w:rsid w:val="00E12382"/>
    <w:rsid w:val="00E12C10"/>
    <w:rsid w:val="00E13A7A"/>
    <w:rsid w:val="00E14EEF"/>
    <w:rsid w:val="00E15C45"/>
    <w:rsid w:val="00E163BA"/>
    <w:rsid w:val="00E1711B"/>
    <w:rsid w:val="00E21494"/>
    <w:rsid w:val="00E21E60"/>
    <w:rsid w:val="00E2357A"/>
    <w:rsid w:val="00E24EC7"/>
    <w:rsid w:val="00E2542A"/>
    <w:rsid w:val="00E273A4"/>
    <w:rsid w:val="00E2761E"/>
    <w:rsid w:val="00E306B7"/>
    <w:rsid w:val="00E30F51"/>
    <w:rsid w:val="00E31F5D"/>
    <w:rsid w:val="00E34C86"/>
    <w:rsid w:val="00E376B2"/>
    <w:rsid w:val="00E37FEE"/>
    <w:rsid w:val="00E40A7D"/>
    <w:rsid w:val="00E40F6A"/>
    <w:rsid w:val="00E4173D"/>
    <w:rsid w:val="00E42B27"/>
    <w:rsid w:val="00E437DF"/>
    <w:rsid w:val="00E47909"/>
    <w:rsid w:val="00E47EEE"/>
    <w:rsid w:val="00E5009F"/>
    <w:rsid w:val="00E51102"/>
    <w:rsid w:val="00E52332"/>
    <w:rsid w:val="00E536CD"/>
    <w:rsid w:val="00E541DC"/>
    <w:rsid w:val="00E54349"/>
    <w:rsid w:val="00E5538B"/>
    <w:rsid w:val="00E55B4F"/>
    <w:rsid w:val="00E55E5C"/>
    <w:rsid w:val="00E55F09"/>
    <w:rsid w:val="00E60FE0"/>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3356"/>
    <w:rsid w:val="00ED5808"/>
    <w:rsid w:val="00ED66EC"/>
    <w:rsid w:val="00EE0677"/>
    <w:rsid w:val="00EE09C8"/>
    <w:rsid w:val="00EE3C72"/>
    <w:rsid w:val="00EE5E4B"/>
    <w:rsid w:val="00EF156D"/>
    <w:rsid w:val="00EF1941"/>
    <w:rsid w:val="00EF1FF1"/>
    <w:rsid w:val="00EF24DB"/>
    <w:rsid w:val="00EF3AB3"/>
    <w:rsid w:val="00EF3D08"/>
    <w:rsid w:val="00EF4C06"/>
    <w:rsid w:val="00EF4C36"/>
    <w:rsid w:val="00EF5325"/>
    <w:rsid w:val="00EF586B"/>
    <w:rsid w:val="00EF7C9F"/>
    <w:rsid w:val="00F00D53"/>
    <w:rsid w:val="00F0161B"/>
    <w:rsid w:val="00F0423C"/>
    <w:rsid w:val="00F06218"/>
    <w:rsid w:val="00F06772"/>
    <w:rsid w:val="00F06BD8"/>
    <w:rsid w:val="00F078F5"/>
    <w:rsid w:val="00F07D10"/>
    <w:rsid w:val="00F12759"/>
    <w:rsid w:val="00F12FB2"/>
    <w:rsid w:val="00F13663"/>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37E04"/>
    <w:rsid w:val="00F407E3"/>
    <w:rsid w:val="00F41DD3"/>
    <w:rsid w:val="00F4348C"/>
    <w:rsid w:val="00F434B6"/>
    <w:rsid w:val="00F447C8"/>
    <w:rsid w:val="00F44D20"/>
    <w:rsid w:val="00F4500D"/>
    <w:rsid w:val="00F47869"/>
    <w:rsid w:val="00F50246"/>
    <w:rsid w:val="00F51F63"/>
    <w:rsid w:val="00F53333"/>
    <w:rsid w:val="00F53E6A"/>
    <w:rsid w:val="00F5462B"/>
    <w:rsid w:val="00F6019E"/>
    <w:rsid w:val="00F60A50"/>
    <w:rsid w:val="00F60FF2"/>
    <w:rsid w:val="00F6145A"/>
    <w:rsid w:val="00F61792"/>
    <w:rsid w:val="00F624C4"/>
    <w:rsid w:val="00F63445"/>
    <w:rsid w:val="00F641B7"/>
    <w:rsid w:val="00F666C2"/>
    <w:rsid w:val="00F6693C"/>
    <w:rsid w:val="00F71767"/>
    <w:rsid w:val="00F725D3"/>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2510"/>
    <w:rsid w:val="00F966B7"/>
    <w:rsid w:val="00FA0BA1"/>
    <w:rsid w:val="00FA152D"/>
    <w:rsid w:val="00FA1C37"/>
    <w:rsid w:val="00FA31F0"/>
    <w:rsid w:val="00FA4E4E"/>
    <w:rsid w:val="00FA50D9"/>
    <w:rsid w:val="00FA5772"/>
    <w:rsid w:val="00FA5D7D"/>
    <w:rsid w:val="00FA61F8"/>
    <w:rsid w:val="00FA650E"/>
    <w:rsid w:val="00FA77BC"/>
    <w:rsid w:val="00FB059A"/>
    <w:rsid w:val="00FB3385"/>
    <w:rsid w:val="00FB3D49"/>
    <w:rsid w:val="00FB63D8"/>
    <w:rsid w:val="00FB6648"/>
    <w:rsid w:val="00FB6DE4"/>
    <w:rsid w:val="00FB71A7"/>
    <w:rsid w:val="00FB75C1"/>
    <w:rsid w:val="00FC1447"/>
    <w:rsid w:val="00FC165B"/>
    <w:rsid w:val="00FC1B03"/>
    <w:rsid w:val="00FC1D6B"/>
    <w:rsid w:val="00FC1FB0"/>
    <w:rsid w:val="00FC26B0"/>
    <w:rsid w:val="00FC2D2F"/>
    <w:rsid w:val="00FC306C"/>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B45"/>
    <w:rsid w:val="00FE1EC6"/>
    <w:rsid w:val="00FE218A"/>
    <w:rsid w:val="00FE349E"/>
    <w:rsid w:val="00FE4B8B"/>
    <w:rsid w:val="00FE58DE"/>
    <w:rsid w:val="00FE644E"/>
    <w:rsid w:val="00FE6E64"/>
    <w:rsid w:val="00FE7491"/>
    <w:rsid w:val="00FE7EC2"/>
    <w:rsid w:val="00FF3C98"/>
    <w:rsid w:val="00FF4FC8"/>
    <w:rsid w:val="00FF51FF"/>
    <w:rsid w:val="00FF55C3"/>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722E45"/>
    <w:pPr>
      <w:keepNext/>
      <w:keepLines/>
      <w:spacing w:after="240"/>
      <w:outlineLvl w:val="0"/>
    </w:pPr>
    <w:rPr>
      <w:rFonts w:eastAsiaTheme="majorEastAsia" w:cstheme="majorBidi"/>
      <w:b/>
      <w:caps/>
      <w:color w:val="000000" w:themeColor="text1"/>
      <w:szCs w:val="32"/>
    </w:rPr>
  </w:style>
  <w:style w:type="paragraph" w:styleId="Heading2">
    <w:name w:val="heading 2"/>
    <w:basedOn w:val="Normal"/>
    <w:link w:val="Heading2Char"/>
    <w:unhideWhenUsed/>
    <w:qFormat/>
    <w:rsid w:val="0076152E"/>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570C22"/>
    <w:pPr>
      <w:keepNext/>
      <w:numPr>
        <w:ilvl w:val="2"/>
        <w:numId w:val="2"/>
      </w:numPr>
      <w:spacing w:before="240" w:after="60"/>
      <w:outlineLvl w:val="2"/>
    </w:pPr>
    <w:rPr>
      <w:b/>
      <w:bCs/>
      <w:sz w:val="26"/>
      <w:szCs w:val="26"/>
    </w:rPr>
  </w:style>
  <w:style w:type="paragraph" w:styleId="Heading4">
    <w:name w:val="heading 4"/>
    <w:basedOn w:val="Normal"/>
    <w:next w:val="Normal"/>
    <w:link w:val="Heading4Char"/>
    <w:semiHidden/>
    <w:unhideWhenUsed/>
    <w:qFormat/>
    <w:rsid w:val="0076152E"/>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76152E"/>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76152E"/>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6152E"/>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6152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6152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3"/>
      </w:numPr>
    </w:pPr>
  </w:style>
  <w:style w:type="character" w:customStyle="1" w:styleId="Heading2Char">
    <w:name w:val="Heading 2 Char"/>
    <w:basedOn w:val="DefaultParagraphFont"/>
    <w:link w:val="Heading2"/>
    <w:rsid w:val="0076152E"/>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semiHidden/>
    <w:rsid w:val="0076152E"/>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rsid w:val="0076152E"/>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rsid w:val="0076152E"/>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rsid w:val="0076152E"/>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rsid w:val="0076152E"/>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76152E"/>
    <w:rPr>
      <w:rFonts w:asciiTheme="majorHAnsi" w:eastAsiaTheme="majorEastAsia" w:hAnsiTheme="majorHAnsi" w:cstheme="majorBidi"/>
      <w:i/>
      <w:iCs/>
      <w:color w:val="272727" w:themeColor="text1" w:themeTint="D8"/>
      <w:sz w:val="21"/>
      <w:szCs w:val="21"/>
      <w:lang w:eastAsia="en-US"/>
    </w:rPr>
  </w:style>
  <w:style w:type="paragraph" w:styleId="BodyText2">
    <w:name w:val="Body Text 2"/>
    <w:basedOn w:val="Normal"/>
    <w:link w:val="BodyText2Char"/>
    <w:autoRedefine/>
    <w:rsid w:val="00047E0B"/>
    <w:pPr>
      <w:tabs>
        <w:tab w:val="left" w:pos="851"/>
        <w:tab w:val="left" w:pos="9639"/>
      </w:tabs>
      <w:autoSpaceDE w:val="0"/>
      <w:autoSpaceDN w:val="0"/>
      <w:adjustRightInd w:val="0"/>
      <w:spacing w:after="220"/>
      <w:jc w:val="center"/>
    </w:pPr>
    <w:rPr>
      <w:color w:val="000000"/>
      <w:sz w:val="22"/>
    </w:rPr>
  </w:style>
  <w:style w:type="character" w:customStyle="1" w:styleId="BodyText2Char">
    <w:name w:val="Body Text 2 Char"/>
    <w:basedOn w:val="DefaultParagraphFont"/>
    <w:link w:val="BodyText2"/>
    <w:rsid w:val="00047E0B"/>
    <w:rPr>
      <w:rFonts w:ascii="Arial" w:hAnsi="Arial" w:cs="Arial"/>
      <w:color w:val="000000"/>
      <w:sz w:val="22"/>
      <w:szCs w:val="24"/>
      <w:lang w:eastAsia="en-US"/>
    </w:rPr>
  </w:style>
  <w:style w:type="paragraph" w:styleId="BodyTextIndent">
    <w:name w:val="Body Text Indent"/>
    <w:aliases w:val="Body Text Centre"/>
    <w:basedOn w:val="Normal"/>
    <w:next w:val="BodyText2"/>
    <w:link w:val="BodyTextIndentChar"/>
    <w:autoRedefine/>
    <w:rsid w:val="00722E45"/>
    <w:pPr>
      <w:tabs>
        <w:tab w:val="left" w:pos="113"/>
      </w:tabs>
      <w:autoSpaceDE w:val="0"/>
      <w:autoSpaceDN w:val="0"/>
      <w:adjustRightInd w:val="0"/>
      <w:spacing w:after="240"/>
      <w:jc w:val="center"/>
    </w:pPr>
    <w:rPr>
      <w:color w:val="000000"/>
      <w:sz w:val="22"/>
      <w:lang w:val="en-US"/>
    </w:rPr>
  </w:style>
  <w:style w:type="character" w:customStyle="1" w:styleId="BodyTextIndentChar">
    <w:name w:val="Body Text Indent Char"/>
    <w:aliases w:val="Body Text Centre Char"/>
    <w:basedOn w:val="DefaultParagraphFont"/>
    <w:link w:val="BodyTextIndent"/>
    <w:rsid w:val="00722E45"/>
    <w:rPr>
      <w:rFonts w:ascii="Arial" w:hAnsi="Arial" w:cs="Arial"/>
      <w:color w:val="000000"/>
      <w:sz w:val="22"/>
      <w:szCs w:val="24"/>
      <w:lang w:val="en-US" w:eastAsia="en-US"/>
    </w:rPr>
  </w:style>
  <w:style w:type="paragraph" w:styleId="Caption">
    <w:name w:val="caption"/>
    <w:basedOn w:val="Normal"/>
    <w:next w:val="Normal"/>
    <w:qFormat/>
    <w:rsid w:val="00722E45"/>
    <w:pPr>
      <w:spacing w:before="120" w:after="240"/>
    </w:pPr>
    <w:rPr>
      <w:rFonts w:ascii="Times New Roman" w:hAnsi="Times New Roman" w:cs="Times New Roman"/>
      <w:i/>
      <w:szCs w:val="20"/>
    </w:rPr>
  </w:style>
  <w:style w:type="paragraph" w:customStyle="1" w:styleId="StyleBodyTextIndentBodyTextCentreTimesNewRoman12ptA">
    <w:name w:val="Style Body Text IndentBody Text Centre + Times New Roman 12 pt A..."/>
    <w:basedOn w:val="BodyTextIndent"/>
    <w:link w:val="StyleBodyTextIndentBodyTextCentreTimesNewRoman12ptAChar"/>
    <w:autoRedefine/>
    <w:rsid w:val="00722E45"/>
  </w:style>
  <w:style w:type="character" w:customStyle="1" w:styleId="StyleBodyTextIndentBodyTextCentreTimesNewRoman12ptAChar">
    <w:name w:val="Style Body Text IndentBody Text Centre + Times New Roman 12 pt A... Char"/>
    <w:basedOn w:val="BodyTextIndentChar"/>
    <w:link w:val="StyleBodyTextIndentBodyTextCentreTimesNewRoman12ptA"/>
    <w:rsid w:val="00722E45"/>
    <w:rPr>
      <w:rFonts w:ascii="Arial" w:hAnsi="Arial" w:cs="Arial"/>
      <w:color w:val="000000"/>
      <w:sz w:val="22"/>
      <w:szCs w:val="24"/>
      <w:lang w:val="en-US" w:eastAsia="en-US"/>
    </w:rPr>
  </w:style>
  <w:style w:type="paragraph" w:customStyle="1" w:styleId="NumberedIndent">
    <w:name w:val="Numbered Indent"/>
    <w:basedOn w:val="Normal"/>
    <w:qFormat/>
    <w:rsid w:val="003065F9"/>
    <w:pPr>
      <w:numPr>
        <w:numId w:val="5"/>
      </w:numPr>
      <w:spacing w:after="240"/>
    </w:pPr>
    <w:rPr>
      <w:noProof/>
      <w:color w:val="000000" w:themeColor="text1"/>
    </w:rPr>
  </w:style>
  <w:style w:type="character" w:styleId="CommentReference">
    <w:name w:val="annotation reference"/>
    <w:basedOn w:val="DefaultParagraphFont"/>
    <w:rsid w:val="000F2F6E"/>
    <w:rPr>
      <w:sz w:val="16"/>
      <w:szCs w:val="16"/>
    </w:rPr>
  </w:style>
  <w:style w:type="paragraph" w:styleId="CommentText">
    <w:name w:val="annotation text"/>
    <w:basedOn w:val="Normal"/>
    <w:link w:val="CommentTextChar"/>
    <w:rsid w:val="000F2F6E"/>
    <w:rPr>
      <w:sz w:val="20"/>
      <w:szCs w:val="20"/>
    </w:rPr>
  </w:style>
  <w:style w:type="character" w:customStyle="1" w:styleId="CommentTextChar">
    <w:name w:val="Comment Text Char"/>
    <w:basedOn w:val="DefaultParagraphFont"/>
    <w:link w:val="CommentText"/>
    <w:rsid w:val="000F2F6E"/>
    <w:rPr>
      <w:rFonts w:ascii="Arial" w:hAnsi="Arial" w:cs="Arial"/>
      <w:lang w:eastAsia="en-US"/>
    </w:rPr>
  </w:style>
  <w:style w:type="paragraph" w:styleId="CommentSubject">
    <w:name w:val="annotation subject"/>
    <w:basedOn w:val="CommentText"/>
    <w:next w:val="CommentText"/>
    <w:link w:val="CommentSubjectChar"/>
    <w:rsid w:val="000F2F6E"/>
    <w:rPr>
      <w:b/>
      <w:bCs/>
    </w:rPr>
  </w:style>
  <w:style w:type="character" w:customStyle="1" w:styleId="CommentSubjectChar">
    <w:name w:val="Comment Subject Char"/>
    <w:basedOn w:val="CommentTextChar"/>
    <w:link w:val="CommentSubject"/>
    <w:rsid w:val="000F2F6E"/>
    <w:rPr>
      <w:rFonts w:ascii="Arial" w:hAnsi="Arial" w:cs="Arial"/>
      <w:b/>
      <w:bCs/>
      <w:lang w:eastAsia="en-US"/>
    </w:rPr>
  </w:style>
  <w:style w:type="paragraph" w:customStyle="1" w:styleId="Bullet">
    <w:name w:val="Bullet"/>
    <w:basedOn w:val="Normal"/>
    <w:autoRedefine/>
    <w:rsid w:val="00FA31F0"/>
    <w:pPr>
      <w:numPr>
        <w:numId w:val="13"/>
      </w:numPr>
      <w:tabs>
        <w:tab w:val="left" w:pos="113"/>
      </w:tabs>
      <w:overflowPunct w:val="0"/>
      <w:autoSpaceDE w:val="0"/>
      <w:autoSpaceDN w:val="0"/>
      <w:adjustRightInd w:val="0"/>
      <w:spacing w:after="120"/>
      <w:jc w:val="both"/>
      <w:textAlignment w:val="baseline"/>
    </w:pPr>
    <w:rPr>
      <w:color w:val="000000"/>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3F67-8B94-4309-AA6E-5240A442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2937</Words>
  <Characters>15357</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Glykeria Anyfanti 42079187</cp:lastModifiedBy>
  <cp:revision>2</cp:revision>
  <cp:lastPrinted>2018-12-03T16:09:00Z</cp:lastPrinted>
  <dcterms:created xsi:type="dcterms:W3CDTF">2018-12-19T16:27:00Z</dcterms:created>
  <dcterms:modified xsi:type="dcterms:W3CDTF">2018-12-19T16:27:00Z</dcterms:modified>
</cp:coreProperties>
</file>