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C22" w:rsidRDefault="002F45F7" w:rsidP="00732032">
      <w:r>
        <w:rPr>
          <w:noProof/>
          <w:lang w:eastAsia="en-GB"/>
        </w:rPr>
        <mc:AlternateContent>
          <mc:Choice Requires="wps">
            <w:drawing>
              <wp:anchor distT="0" distB="0" distL="114300" distR="114300" simplePos="0" relativeHeight="251659776" behindDoc="0" locked="0" layoutInCell="1" allowOverlap="1" wp14:anchorId="7C23ACF1" wp14:editId="7FAE867E">
                <wp:simplePos x="0" y="0"/>
                <wp:positionH relativeFrom="column">
                  <wp:posOffset>-9525</wp:posOffset>
                </wp:positionH>
                <wp:positionV relativeFrom="paragraph">
                  <wp:posOffset>-1024255</wp:posOffset>
                </wp:positionV>
                <wp:extent cx="4352290" cy="781685"/>
                <wp:effectExtent l="635"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290" cy="781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0416" w:rsidRPr="002F45F7" w:rsidRDefault="000A0416"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rsidR="000A0416" w:rsidRPr="002F45F7" w:rsidRDefault="000A0416" w:rsidP="00B15F8B">
                            <w:pPr>
                              <w:rPr>
                                <w:rFonts w:ascii="Arial Narrow" w:hAnsi="Arial Narrow"/>
                                <w:sz w:val="32"/>
                                <w:szCs w:val="32"/>
                              </w:rPr>
                            </w:pPr>
                            <w:r w:rsidRPr="002F45F7">
                              <w:rPr>
                                <w:rFonts w:ascii="Arial Narrow" w:hAnsi="Arial Narrow"/>
                                <w:sz w:val="32"/>
                                <w:szCs w:val="32"/>
                              </w:rPr>
                              <w:t>Essex County Fire &amp; Rescue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3ACF1" id="_x0000_t202" coordsize="21600,21600" o:spt="202" path="m,l,21600r21600,l21600,xe">
                <v:stroke joinstyle="miter"/>
                <v:path gradientshapeok="t" o:connecttype="rect"/>
              </v:shapetype>
              <v:shape id="Text Box 18" o:spid="_x0000_s1026" type="#_x0000_t202" style="position:absolute;margin-left:-.75pt;margin-top:-80.65pt;width:342.7pt;height:6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" stroked="f">
                <v:textbox>
                  <w:txbxContent>
                    <w:p w:rsidR="000A0416" w:rsidRPr="002F45F7" w:rsidRDefault="000A0416"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rsidR="000A0416" w:rsidRPr="002F45F7" w:rsidRDefault="000A0416" w:rsidP="00B15F8B">
                      <w:pPr>
                        <w:rPr>
                          <w:rFonts w:ascii="Arial Narrow" w:hAnsi="Arial Narrow"/>
                          <w:sz w:val="32"/>
                          <w:szCs w:val="32"/>
                        </w:rPr>
                      </w:pPr>
                      <w:r w:rsidRPr="002F45F7">
                        <w:rPr>
                          <w:rFonts w:ascii="Arial Narrow" w:hAnsi="Arial Narrow"/>
                          <w:sz w:val="32"/>
                          <w:szCs w:val="32"/>
                        </w:rPr>
                        <w:t>Essex County Fire &amp; Rescue Service</w:t>
                      </w:r>
                    </w:p>
                  </w:txbxContent>
                </v:textbox>
              </v:shape>
            </w:pict>
          </mc:Fallback>
        </mc:AlternateContent>
      </w:r>
      <w:r>
        <w:rPr>
          <w:noProof/>
          <w:lang w:eastAsia="en-GB"/>
        </w:rPr>
        <w:drawing>
          <wp:anchor distT="0" distB="0" distL="114300" distR="114300" simplePos="0" relativeHeight="251658752" behindDoc="0" locked="0" layoutInCell="1" allowOverlap="1" wp14:anchorId="656A942B" wp14:editId="44C33453">
            <wp:simplePos x="0" y="0"/>
            <wp:positionH relativeFrom="column">
              <wp:posOffset>-447040</wp:posOffset>
            </wp:positionH>
            <wp:positionV relativeFrom="paragraph">
              <wp:posOffset>-1593215</wp:posOffset>
            </wp:positionV>
            <wp:extent cx="6946900" cy="1572895"/>
            <wp:effectExtent l="0" t="0" r="0" b="0"/>
            <wp:wrapNone/>
            <wp:docPr id="10" name="Picture 17" descr="RH_A4+stripcrest_bor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RH_A4+stripcrest_border"/>
                    <pic:cNvPicPr>
                      <a:picLocks noChangeArrowheads="1"/>
                    </pic:cNvPicPr>
                  </pic:nvPicPr>
                  <pic:blipFill>
                    <a:blip r:embed="rId8">
                      <a:extLst>
                        <a:ext uri="{28A0092B-C50C-407E-A947-70E740481C1C}">
                          <a14:useLocalDpi xmlns:a14="http://schemas.microsoft.com/office/drawing/2010/main" val="0"/>
                        </a:ext>
                      </a:extLst>
                    </a:blip>
                    <a:srcRect b="4181"/>
                    <a:stretch>
                      <a:fillRect/>
                    </a:stretch>
                  </pic:blipFill>
                  <pic:spPr bwMode="auto">
                    <a:xfrm>
                      <a:off x="0" y="0"/>
                      <a:ext cx="6946900" cy="15728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614"/>
        <w:gridCol w:w="2056"/>
        <w:gridCol w:w="1559"/>
      </w:tblGrid>
      <w:tr w:rsidR="00B15F8B" w:rsidRPr="009E572F" w:rsidTr="00B15F8B">
        <w:trPr>
          <w:trHeight w:val="557"/>
        </w:trPr>
        <w:tc>
          <w:tcPr>
            <w:tcW w:w="2518" w:type="dxa"/>
          </w:tcPr>
          <w:p w:rsidR="00B15F8B"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Meeting</w:t>
            </w:r>
          </w:p>
        </w:tc>
        <w:tc>
          <w:tcPr>
            <w:tcW w:w="3614" w:type="dxa"/>
          </w:tcPr>
          <w:p w:rsidR="00B15F8B" w:rsidRPr="00B15F8B" w:rsidRDefault="000A0416" w:rsidP="009E572F">
            <w:pPr>
              <w:spacing w:before="120" w:after="120"/>
              <w:rPr>
                <w:rFonts w:cs="Times New Roman"/>
                <w:b/>
                <w:szCs w:val="20"/>
              </w:rPr>
            </w:pPr>
            <w:r>
              <w:rPr>
                <w:rFonts w:cs="Times New Roman"/>
                <w:b/>
                <w:szCs w:val="20"/>
              </w:rPr>
              <w:t>Performance and Resources Board</w:t>
            </w:r>
          </w:p>
        </w:tc>
        <w:tc>
          <w:tcPr>
            <w:tcW w:w="2056" w:type="dxa"/>
          </w:tcPr>
          <w:p w:rsidR="00B15F8B" w:rsidRPr="009E572F" w:rsidRDefault="00B15F8B" w:rsidP="009E572F">
            <w:pPr>
              <w:spacing w:before="120" w:after="120"/>
              <w:rPr>
                <w:rFonts w:cs="Times New Roman"/>
                <w:szCs w:val="20"/>
              </w:rPr>
            </w:pPr>
            <w:r>
              <w:rPr>
                <w:rFonts w:cs="Times New Roman"/>
                <w:szCs w:val="20"/>
              </w:rPr>
              <w:t>Agenda Item</w:t>
            </w:r>
          </w:p>
        </w:tc>
        <w:tc>
          <w:tcPr>
            <w:tcW w:w="1559" w:type="dxa"/>
          </w:tcPr>
          <w:p w:rsidR="00B15F8B" w:rsidRPr="00B15F8B" w:rsidRDefault="00B15F8B" w:rsidP="000A0416">
            <w:pPr>
              <w:spacing w:before="120" w:after="120"/>
              <w:rPr>
                <w:rFonts w:cs="Times New Roman"/>
                <w:sz w:val="32"/>
                <w:szCs w:val="32"/>
              </w:rPr>
            </w:pPr>
          </w:p>
        </w:tc>
      </w:tr>
      <w:tr w:rsidR="0084294A" w:rsidRPr="009E572F" w:rsidTr="00B15F8B">
        <w:tc>
          <w:tcPr>
            <w:tcW w:w="2518" w:type="dxa"/>
          </w:tcPr>
          <w:p w:rsidR="0084294A" w:rsidRPr="009E572F" w:rsidRDefault="0084294A" w:rsidP="0084294A">
            <w:pPr>
              <w:spacing w:before="120" w:after="120"/>
              <w:rPr>
                <w:rFonts w:ascii="Arial Rounded MT Bold" w:hAnsi="Arial Rounded MT Bold" w:cs="Times New Roman"/>
                <w:szCs w:val="20"/>
              </w:rPr>
            </w:pPr>
            <w:r>
              <w:rPr>
                <w:rFonts w:ascii="Arial Rounded MT Bold" w:hAnsi="Arial Rounded MT Bold" w:cs="Times New Roman"/>
                <w:szCs w:val="20"/>
              </w:rPr>
              <w:t>Meeting Date</w:t>
            </w:r>
          </w:p>
        </w:tc>
        <w:tc>
          <w:tcPr>
            <w:tcW w:w="3614" w:type="dxa"/>
          </w:tcPr>
          <w:p w:rsidR="0084294A" w:rsidRPr="009E572F" w:rsidRDefault="000A0416" w:rsidP="0084294A">
            <w:pPr>
              <w:spacing w:before="120" w:after="120"/>
              <w:rPr>
                <w:rFonts w:cs="Times New Roman"/>
                <w:szCs w:val="20"/>
              </w:rPr>
            </w:pPr>
            <w:r>
              <w:rPr>
                <w:rFonts w:cs="Times New Roman"/>
                <w:b/>
                <w:szCs w:val="20"/>
              </w:rPr>
              <w:t>30 October</w:t>
            </w:r>
            <w:r w:rsidR="0084294A">
              <w:rPr>
                <w:rFonts w:cs="Times New Roman"/>
                <w:b/>
                <w:szCs w:val="20"/>
              </w:rPr>
              <w:t xml:space="preserve"> 2018</w:t>
            </w:r>
          </w:p>
        </w:tc>
        <w:tc>
          <w:tcPr>
            <w:tcW w:w="2056" w:type="dxa"/>
          </w:tcPr>
          <w:p w:rsidR="0084294A" w:rsidRPr="009E572F" w:rsidRDefault="0084294A" w:rsidP="0084294A">
            <w:pPr>
              <w:spacing w:before="120" w:after="120"/>
              <w:rPr>
                <w:rFonts w:cs="Times New Roman"/>
                <w:szCs w:val="20"/>
              </w:rPr>
            </w:pPr>
            <w:r>
              <w:rPr>
                <w:rFonts w:cs="Times New Roman"/>
                <w:szCs w:val="20"/>
              </w:rPr>
              <w:t>Report Number</w:t>
            </w:r>
          </w:p>
        </w:tc>
        <w:tc>
          <w:tcPr>
            <w:tcW w:w="1559" w:type="dxa"/>
          </w:tcPr>
          <w:p w:rsidR="0084294A" w:rsidRPr="00B15F8B" w:rsidRDefault="0084294A" w:rsidP="0084294A">
            <w:pPr>
              <w:spacing w:before="120" w:after="120"/>
              <w:rPr>
                <w:rFonts w:cs="Times New Roman"/>
                <w:b/>
                <w:szCs w:val="20"/>
              </w:rPr>
            </w:pPr>
          </w:p>
        </w:tc>
      </w:tr>
      <w:tr w:rsidR="0084294A" w:rsidRPr="009E572F" w:rsidTr="00B15F8B">
        <w:tc>
          <w:tcPr>
            <w:tcW w:w="2518" w:type="dxa"/>
          </w:tcPr>
          <w:p w:rsidR="0084294A" w:rsidRPr="009E572F" w:rsidRDefault="0084294A" w:rsidP="0084294A">
            <w:pPr>
              <w:spacing w:before="120" w:after="120"/>
              <w:rPr>
                <w:rFonts w:ascii="Arial Rounded MT Bold" w:hAnsi="Arial Rounded MT Bold" w:cs="Times New Roman"/>
                <w:szCs w:val="20"/>
              </w:rPr>
            </w:pPr>
            <w:r w:rsidRPr="009E572F">
              <w:rPr>
                <w:rFonts w:ascii="Arial Rounded MT Bold" w:hAnsi="Arial Rounded MT Bold" w:cs="Times New Roman"/>
                <w:szCs w:val="20"/>
              </w:rPr>
              <w:t>Report Author:</w:t>
            </w:r>
          </w:p>
        </w:tc>
        <w:tc>
          <w:tcPr>
            <w:tcW w:w="7229" w:type="dxa"/>
            <w:gridSpan w:val="3"/>
          </w:tcPr>
          <w:p w:rsidR="0084294A" w:rsidRPr="00B15F8B" w:rsidRDefault="0084294A" w:rsidP="00FE75BA">
            <w:pPr>
              <w:spacing w:before="120" w:after="120"/>
              <w:rPr>
                <w:rFonts w:cs="Times New Roman"/>
                <w:szCs w:val="20"/>
              </w:rPr>
            </w:pPr>
            <w:r>
              <w:rPr>
                <w:rFonts w:cs="Times New Roman"/>
                <w:szCs w:val="20"/>
              </w:rPr>
              <w:t>Colette Black with input from Mark Huggins, Claire Budgen</w:t>
            </w:r>
            <w:r w:rsidR="003E09E5">
              <w:rPr>
                <w:rFonts w:cs="Times New Roman"/>
                <w:szCs w:val="20"/>
              </w:rPr>
              <w:t>,</w:t>
            </w:r>
            <w:r>
              <w:rPr>
                <w:rFonts w:cs="Times New Roman"/>
                <w:szCs w:val="20"/>
              </w:rPr>
              <w:t xml:space="preserve"> Vicki Howells</w:t>
            </w:r>
            <w:r w:rsidR="00FE75BA">
              <w:rPr>
                <w:rFonts w:cs="Times New Roman"/>
                <w:szCs w:val="20"/>
              </w:rPr>
              <w:t xml:space="preserve">, </w:t>
            </w:r>
            <w:r w:rsidR="003E09E5">
              <w:rPr>
                <w:rFonts w:cs="Times New Roman"/>
                <w:szCs w:val="20"/>
              </w:rPr>
              <w:t>Al Green</w:t>
            </w:r>
            <w:r w:rsidR="00FE75BA">
              <w:rPr>
                <w:rFonts w:cs="Times New Roman"/>
                <w:szCs w:val="20"/>
              </w:rPr>
              <w:t xml:space="preserve"> and Paul Fenwick</w:t>
            </w:r>
          </w:p>
        </w:tc>
      </w:tr>
      <w:tr w:rsidR="0084294A" w:rsidRPr="009E572F" w:rsidTr="00B15F8B">
        <w:tc>
          <w:tcPr>
            <w:tcW w:w="2518" w:type="dxa"/>
            <w:tcBorders>
              <w:top w:val="single" w:sz="6" w:space="0" w:color="auto"/>
              <w:left w:val="single" w:sz="6" w:space="0" w:color="auto"/>
              <w:bottom w:val="single" w:sz="6" w:space="0" w:color="auto"/>
              <w:right w:val="single" w:sz="6" w:space="0" w:color="auto"/>
            </w:tcBorders>
          </w:tcPr>
          <w:p w:rsidR="0084294A" w:rsidRPr="009E572F" w:rsidRDefault="0084294A" w:rsidP="0084294A">
            <w:pPr>
              <w:spacing w:before="120" w:after="120"/>
              <w:rPr>
                <w:rFonts w:ascii="Arial Rounded MT Bold" w:hAnsi="Arial Rounded MT Bold" w:cs="Times New Roman"/>
                <w:szCs w:val="20"/>
              </w:rPr>
            </w:pPr>
            <w:r>
              <w:rPr>
                <w:rFonts w:ascii="Arial Rounded MT Bold" w:hAnsi="Arial Rounded MT Bold" w:cs="Times New Roman"/>
                <w:szCs w:val="20"/>
              </w:rPr>
              <w:t>Presented By</w:t>
            </w:r>
          </w:p>
        </w:tc>
        <w:tc>
          <w:tcPr>
            <w:tcW w:w="7229" w:type="dxa"/>
            <w:gridSpan w:val="3"/>
            <w:tcBorders>
              <w:top w:val="single" w:sz="6" w:space="0" w:color="auto"/>
              <w:left w:val="single" w:sz="6" w:space="0" w:color="auto"/>
              <w:bottom w:val="single" w:sz="6" w:space="0" w:color="auto"/>
              <w:right w:val="single" w:sz="6" w:space="0" w:color="auto"/>
            </w:tcBorders>
          </w:tcPr>
          <w:p w:rsidR="0084294A" w:rsidRPr="009E572F" w:rsidRDefault="0084294A" w:rsidP="0084294A">
            <w:pPr>
              <w:spacing w:before="120" w:after="120"/>
              <w:rPr>
                <w:rFonts w:cs="Times New Roman"/>
                <w:szCs w:val="20"/>
              </w:rPr>
            </w:pPr>
            <w:r>
              <w:rPr>
                <w:rFonts w:cs="Times New Roman"/>
                <w:szCs w:val="20"/>
              </w:rPr>
              <w:t>Colette Black</w:t>
            </w:r>
          </w:p>
        </w:tc>
      </w:tr>
      <w:tr w:rsidR="0084294A" w:rsidRPr="009E572F" w:rsidTr="00B15F8B">
        <w:tc>
          <w:tcPr>
            <w:tcW w:w="2518" w:type="dxa"/>
          </w:tcPr>
          <w:p w:rsidR="0084294A" w:rsidRPr="009E572F" w:rsidRDefault="0084294A" w:rsidP="0084294A">
            <w:pPr>
              <w:spacing w:before="120" w:after="120"/>
              <w:rPr>
                <w:rFonts w:ascii="Arial Rounded MT Bold" w:hAnsi="Arial Rounded MT Bold" w:cs="Times New Roman"/>
                <w:szCs w:val="20"/>
              </w:rPr>
            </w:pPr>
            <w:r>
              <w:rPr>
                <w:rFonts w:ascii="Arial Rounded MT Bold" w:hAnsi="Arial Rounded MT Bold" w:cs="Times New Roman"/>
                <w:szCs w:val="20"/>
              </w:rPr>
              <w:t>Subject</w:t>
            </w:r>
          </w:p>
        </w:tc>
        <w:tc>
          <w:tcPr>
            <w:tcW w:w="7229" w:type="dxa"/>
            <w:gridSpan w:val="3"/>
          </w:tcPr>
          <w:p w:rsidR="0084294A" w:rsidRPr="003A46D1" w:rsidRDefault="0084294A" w:rsidP="0084294A">
            <w:pPr>
              <w:spacing w:before="120" w:after="120"/>
              <w:rPr>
                <w:rFonts w:cs="Times New Roman"/>
                <w:b/>
                <w:szCs w:val="20"/>
              </w:rPr>
            </w:pPr>
            <w:r>
              <w:rPr>
                <w:rFonts w:cs="Times New Roman"/>
                <w:b/>
                <w:szCs w:val="20"/>
              </w:rPr>
              <w:t>Learning and Development – Next Steps</w:t>
            </w:r>
          </w:p>
        </w:tc>
      </w:tr>
      <w:tr w:rsidR="0084294A" w:rsidRPr="009E572F" w:rsidTr="00B15F8B">
        <w:tc>
          <w:tcPr>
            <w:tcW w:w="2518" w:type="dxa"/>
          </w:tcPr>
          <w:p w:rsidR="0084294A" w:rsidRPr="009E572F" w:rsidRDefault="0084294A" w:rsidP="0084294A">
            <w:pPr>
              <w:spacing w:before="120" w:after="120"/>
              <w:rPr>
                <w:rFonts w:ascii="Arial Rounded MT Bold" w:hAnsi="Arial Rounded MT Bold" w:cs="Times New Roman"/>
                <w:szCs w:val="20"/>
              </w:rPr>
            </w:pPr>
            <w:r w:rsidRPr="009E572F">
              <w:rPr>
                <w:rFonts w:ascii="Arial Rounded MT Bold" w:hAnsi="Arial Rounded MT Bold" w:cs="Times New Roman"/>
                <w:szCs w:val="20"/>
              </w:rPr>
              <w:t>Type of Report:</w:t>
            </w:r>
          </w:p>
        </w:tc>
        <w:tc>
          <w:tcPr>
            <w:tcW w:w="7229" w:type="dxa"/>
            <w:gridSpan w:val="3"/>
          </w:tcPr>
          <w:p w:rsidR="0084294A" w:rsidRPr="009E572F" w:rsidRDefault="0084294A" w:rsidP="000A0416">
            <w:pPr>
              <w:tabs>
                <w:tab w:val="num" w:pos="567"/>
              </w:tabs>
              <w:spacing w:before="120" w:after="120"/>
              <w:rPr>
                <w:rFonts w:cs="Times New Roman"/>
                <w:szCs w:val="20"/>
              </w:rPr>
            </w:pPr>
            <w:r>
              <w:rPr>
                <w:rFonts w:cs="Times New Roman"/>
                <w:szCs w:val="20"/>
              </w:rPr>
              <w:t>Information</w:t>
            </w:r>
          </w:p>
        </w:tc>
      </w:tr>
    </w:tbl>
    <w:p w:rsidR="002F45F7" w:rsidRDefault="002F45F7" w:rsidP="009E572F">
      <w:pPr>
        <w:tabs>
          <w:tab w:val="num" w:pos="567"/>
        </w:tabs>
        <w:spacing w:after="120"/>
        <w:rPr>
          <w:rFonts w:cs="Times New Roman"/>
          <w:szCs w:val="20"/>
        </w:rPr>
        <w:sectPr w:rsidR="002F45F7" w:rsidSect="002F45F7">
          <w:footerReference w:type="first" r:id="rId9"/>
          <w:pgSz w:w="11906" w:h="16838" w:code="9"/>
          <w:pgMar w:top="2977" w:right="1134" w:bottom="244" w:left="1276" w:header="709" w:footer="709" w:gutter="0"/>
          <w:cols w:space="708"/>
          <w:titlePg/>
          <w:docGrid w:linePitch="360"/>
        </w:sectPr>
      </w:pPr>
    </w:p>
    <w:p w:rsidR="00A20145" w:rsidRDefault="00C0492F" w:rsidP="00F64805">
      <w:pPr>
        <w:pStyle w:val="Heading1"/>
        <w:spacing w:after="0" w:line="600" w:lineRule="auto"/>
      </w:pPr>
      <w:r w:rsidRPr="00C0492F">
        <w:t>Recommendations</w:t>
      </w:r>
    </w:p>
    <w:p w:rsidR="002A26B2" w:rsidRDefault="000A0416" w:rsidP="002A26B2">
      <w:r>
        <w:t xml:space="preserve">This paper was present to </w:t>
      </w:r>
      <w:r w:rsidR="002A26B2">
        <w:t xml:space="preserve">SLT </w:t>
      </w:r>
      <w:r>
        <w:t xml:space="preserve">on 19 September 2018; it is now being presented to the Performance and Resources Board for noting.  </w:t>
      </w:r>
    </w:p>
    <w:p w:rsidR="002A26B2" w:rsidRDefault="002A26B2" w:rsidP="002A26B2"/>
    <w:p w:rsidR="006E188C" w:rsidRPr="008A2CB1" w:rsidRDefault="006E188C" w:rsidP="006E188C">
      <w:pPr>
        <w:pStyle w:val="ListParagraph"/>
        <w:numPr>
          <w:ilvl w:val="0"/>
          <w:numId w:val="24"/>
        </w:numPr>
      </w:pPr>
      <w:r>
        <w:t xml:space="preserve">The commitments and principles of our L&amp;D Service to the </w:t>
      </w:r>
      <w:r w:rsidRPr="008A2CB1">
        <w:t>Service (set out in appendix 1).</w:t>
      </w:r>
    </w:p>
    <w:p w:rsidR="006E188C" w:rsidRPr="008A2CB1" w:rsidRDefault="006E188C" w:rsidP="006E188C">
      <w:pPr>
        <w:pStyle w:val="ListParagraph"/>
        <w:numPr>
          <w:ilvl w:val="0"/>
          <w:numId w:val="24"/>
        </w:numPr>
      </w:pPr>
      <w:r w:rsidRPr="008A2CB1">
        <w:t>The summary of our L&amp;D Service (set out in Options section below).</w:t>
      </w:r>
    </w:p>
    <w:p w:rsidR="00187A4A" w:rsidRDefault="002A26B2" w:rsidP="00187A4A">
      <w:pPr>
        <w:pStyle w:val="ListParagraph"/>
        <w:numPr>
          <w:ilvl w:val="0"/>
          <w:numId w:val="24"/>
        </w:numPr>
      </w:pPr>
      <w:r w:rsidRPr="008A2CB1">
        <w:t xml:space="preserve">The identified Learning and Development (L&amp;D) </w:t>
      </w:r>
      <w:r w:rsidR="00187A4A">
        <w:t>Priorities (set out in appendix</w:t>
      </w:r>
      <w:r w:rsidR="00167C02">
        <w:t xml:space="preserve"> 2)</w:t>
      </w:r>
    </w:p>
    <w:p w:rsidR="00187A4A" w:rsidRDefault="00CC2F7F" w:rsidP="00187A4A">
      <w:pPr>
        <w:pStyle w:val="ListParagraph"/>
        <w:numPr>
          <w:ilvl w:val="0"/>
          <w:numId w:val="24"/>
        </w:numPr>
      </w:pPr>
      <w:r>
        <w:t xml:space="preserve">Reporting </w:t>
      </w:r>
      <w:r w:rsidR="0016231C">
        <w:t xml:space="preserve">(appendix </w:t>
      </w:r>
      <w:r w:rsidR="00167C02">
        <w:t>3</w:t>
      </w:r>
      <w:r w:rsidR="00187A4A">
        <w:t>)</w:t>
      </w:r>
    </w:p>
    <w:p w:rsidR="00CC2F7F" w:rsidRDefault="00CC2F7F" w:rsidP="00187A4A">
      <w:pPr>
        <w:pStyle w:val="ListParagraph"/>
        <w:numPr>
          <w:ilvl w:val="0"/>
          <w:numId w:val="24"/>
        </w:numPr>
      </w:pPr>
      <w:r>
        <w:t>Apprenticeship</w:t>
      </w:r>
    </w:p>
    <w:p w:rsidR="00CC2F7F" w:rsidRPr="003E09E5" w:rsidRDefault="00E846B9" w:rsidP="002A26B2">
      <w:pPr>
        <w:pStyle w:val="ListParagraph"/>
        <w:numPr>
          <w:ilvl w:val="0"/>
          <w:numId w:val="24"/>
        </w:numPr>
      </w:pPr>
      <w:r w:rsidRPr="003E09E5">
        <w:t>Financial Implications of proposals</w:t>
      </w:r>
    </w:p>
    <w:p w:rsidR="002A26B2" w:rsidRDefault="002A26B2" w:rsidP="002A26B2"/>
    <w:p w:rsidR="00C0492F" w:rsidRDefault="00C0492F" w:rsidP="00F64805">
      <w:pPr>
        <w:pStyle w:val="Heading1"/>
        <w:spacing w:after="0" w:line="600" w:lineRule="auto"/>
      </w:pPr>
      <w:r>
        <w:t>BACKGROUND</w:t>
      </w:r>
    </w:p>
    <w:p w:rsidR="003E09E5" w:rsidRPr="003E09E5" w:rsidRDefault="003E09E5" w:rsidP="003E09E5">
      <w:r>
        <w:t xml:space="preserve">The service provided by the learning and development team is ready to move into its next phase in order to meet the needs of the Service and to ensure that our people have the </w:t>
      </w:r>
      <w:r w:rsidRPr="003E09E5">
        <w:t>knowledge, skills and attitudes needed now and to meet anticipated future needs.</w:t>
      </w:r>
    </w:p>
    <w:p w:rsidR="003E09E5" w:rsidRDefault="003E09E5" w:rsidP="003E09E5"/>
    <w:p w:rsidR="003E09E5" w:rsidRPr="003E09E5" w:rsidRDefault="003E09E5" w:rsidP="003E09E5"/>
    <w:p w:rsidR="00A20145" w:rsidRDefault="00C0492F" w:rsidP="00F64805">
      <w:pPr>
        <w:pStyle w:val="Heading1"/>
        <w:spacing w:after="0" w:line="600" w:lineRule="auto"/>
      </w:pPr>
      <w:r>
        <w:t>Options and Analysis</w:t>
      </w:r>
    </w:p>
    <w:p w:rsidR="00BD2B47" w:rsidRDefault="00BD2B47" w:rsidP="00BD2B47">
      <w:pPr>
        <w:rPr>
          <w:b/>
        </w:rPr>
      </w:pPr>
      <w:r w:rsidRPr="000737A1">
        <w:rPr>
          <w:b/>
        </w:rPr>
        <w:t>L&amp;D Commitments</w:t>
      </w:r>
      <w:r w:rsidR="000737A1">
        <w:rPr>
          <w:b/>
        </w:rPr>
        <w:t xml:space="preserve"> and Principles</w:t>
      </w:r>
    </w:p>
    <w:p w:rsidR="000737A1" w:rsidRDefault="000737A1" w:rsidP="000737A1">
      <w:r>
        <w:t>These are in draft form (appendix 1)</w:t>
      </w:r>
      <w:r w:rsidR="002501DF">
        <w:t xml:space="preserve"> and</w:t>
      </w:r>
      <w:r>
        <w:t xml:space="preserve"> have been identified in consultation with the </w:t>
      </w:r>
      <w:r w:rsidR="002501DF">
        <w:t xml:space="preserve">senior </w:t>
      </w:r>
      <w:r>
        <w:t xml:space="preserve">L&amp;D team.  </w:t>
      </w:r>
      <w:r w:rsidR="000A0416">
        <w:t>The</w:t>
      </w:r>
      <w:r>
        <w:t xml:space="preserve"> SLT </w:t>
      </w:r>
      <w:r w:rsidR="000A0416">
        <w:t xml:space="preserve">have </w:t>
      </w:r>
      <w:r w:rsidR="00135A17">
        <w:t>agree</w:t>
      </w:r>
      <w:r w:rsidR="003123B7">
        <w:t>d</w:t>
      </w:r>
      <w:r>
        <w:t xml:space="preserve"> that these </w:t>
      </w:r>
      <w:r w:rsidR="002501DF">
        <w:t xml:space="preserve">commitments and principles meet our </w:t>
      </w:r>
      <w:r w:rsidR="003123B7">
        <w:t>needs;</w:t>
      </w:r>
      <w:r w:rsidR="002501DF">
        <w:t xml:space="preserve"> we </w:t>
      </w:r>
      <w:r w:rsidR="003123B7">
        <w:t>are now</w:t>
      </w:r>
      <w:r w:rsidR="002501DF">
        <w:t xml:space="preserve"> consult</w:t>
      </w:r>
      <w:r w:rsidR="003123B7">
        <w:t>ing</w:t>
      </w:r>
      <w:r w:rsidR="002501DF">
        <w:t xml:space="preserve"> on them more widely before finalising.  We then anticipate using them at a basis for much of our future communication. </w:t>
      </w:r>
    </w:p>
    <w:p w:rsidR="000737A1" w:rsidRPr="000737A1" w:rsidRDefault="000737A1" w:rsidP="00BD2B47">
      <w:pPr>
        <w:rPr>
          <w:b/>
        </w:rPr>
      </w:pPr>
    </w:p>
    <w:p w:rsidR="00596CC4" w:rsidRDefault="002501DF" w:rsidP="002A26B2">
      <w:pPr>
        <w:rPr>
          <w:b/>
        </w:rPr>
      </w:pPr>
      <w:r>
        <w:rPr>
          <w:b/>
        </w:rPr>
        <w:t>L&amp;D Strategy and s</w:t>
      </w:r>
      <w:r w:rsidR="00CC2F7F" w:rsidRPr="00596CC4">
        <w:rPr>
          <w:b/>
        </w:rPr>
        <w:t xml:space="preserve">ummary of </w:t>
      </w:r>
      <w:r>
        <w:rPr>
          <w:b/>
        </w:rPr>
        <w:t>the s</w:t>
      </w:r>
      <w:r w:rsidR="00CC2F7F" w:rsidRPr="00596CC4">
        <w:rPr>
          <w:b/>
        </w:rPr>
        <w:t>ervice</w:t>
      </w:r>
      <w:r>
        <w:rPr>
          <w:b/>
        </w:rPr>
        <w:t xml:space="preserve"> we offer</w:t>
      </w:r>
    </w:p>
    <w:p w:rsidR="00596CC4" w:rsidRPr="00596CC4" w:rsidRDefault="00596CC4" w:rsidP="002A26B2">
      <w:r w:rsidRPr="00596CC4">
        <w:t>I have reviewed our current People Strategy and have incorporated L&amp;D into this so that we have one s</w:t>
      </w:r>
      <w:r w:rsidR="00135A17">
        <w:t>trategy that describes the next phase of valuing and developing</w:t>
      </w:r>
      <w:r w:rsidRPr="00596CC4">
        <w:t xml:space="preserve"> our people so that we have the right people in the right place at the right time</w:t>
      </w:r>
      <w:r w:rsidR="002501DF">
        <w:t xml:space="preserve"> both now and in the future</w:t>
      </w:r>
      <w:r w:rsidRPr="00596CC4">
        <w:t xml:space="preserve">.  </w:t>
      </w:r>
    </w:p>
    <w:p w:rsidR="00596CC4" w:rsidRPr="00596CC4" w:rsidRDefault="00596CC4" w:rsidP="002A26B2"/>
    <w:p w:rsidR="00596CC4" w:rsidRPr="00596CC4" w:rsidRDefault="00596CC4" w:rsidP="002A26B2">
      <w:r w:rsidRPr="00596CC4">
        <w:t>The People Strategy needs to describe the next</w:t>
      </w:r>
      <w:r w:rsidR="00135A17">
        <w:t xml:space="preserve"> phase our cultural development.  This </w:t>
      </w:r>
      <w:r w:rsidRPr="00596CC4">
        <w:t>is currently being discussed by SLT. With this in mind, I will bring the proposed updated People Strategy to a future SLT meeting</w:t>
      </w:r>
      <w:r w:rsidR="00BB6EFF">
        <w:t xml:space="preserve"> after our ‘culture next steps’ have been agre</w:t>
      </w:r>
      <w:r w:rsidR="00135A17">
        <w:t>ed so that they can be included in the strategy</w:t>
      </w:r>
      <w:r w:rsidRPr="00596CC4">
        <w:t>.</w:t>
      </w:r>
    </w:p>
    <w:p w:rsidR="00596CC4" w:rsidRPr="00596CC4" w:rsidRDefault="00596CC4" w:rsidP="002A26B2"/>
    <w:p w:rsidR="00596CC4" w:rsidRPr="00596CC4" w:rsidRDefault="00596CC4" w:rsidP="002A26B2">
      <w:r w:rsidRPr="00596CC4">
        <w:t xml:space="preserve">The extract of the </w:t>
      </w:r>
      <w:r w:rsidR="00135A17">
        <w:t>revised People S</w:t>
      </w:r>
      <w:r w:rsidR="00BD2B47" w:rsidRPr="00596CC4">
        <w:t>trategy that</w:t>
      </w:r>
      <w:r w:rsidRPr="00596CC4">
        <w:t xml:space="preserve"> sums up the proposed approach to delivery of L&amp;D is:</w:t>
      </w:r>
    </w:p>
    <w:p w:rsidR="005A568A" w:rsidRDefault="005A568A" w:rsidP="00596CC4">
      <w:pPr>
        <w:spacing w:after="200" w:line="276" w:lineRule="auto"/>
        <w:rPr>
          <w:i/>
        </w:rPr>
      </w:pPr>
    </w:p>
    <w:p w:rsidR="00596CC4" w:rsidRPr="00E42466" w:rsidRDefault="00E42466" w:rsidP="00596CC4">
      <w:pPr>
        <w:spacing w:after="200" w:line="276" w:lineRule="auto"/>
        <w:rPr>
          <w:i/>
        </w:rPr>
      </w:pPr>
      <w:r>
        <w:rPr>
          <w:i/>
        </w:rPr>
        <w:t>‘</w:t>
      </w:r>
      <w:r w:rsidR="00596CC4" w:rsidRPr="00E42466">
        <w:rPr>
          <w:i/>
        </w:rPr>
        <w:t>In order to enable delivery of this strategy the Learning and Development (L&amp;D) department will provide services that support all parts of the organisation.  These are outlined in detail within the L&amp;D business plan but are summarised as ensuring the right knowledge, skills and attitudes are in the right place at the right time now and to meet anticipated future needs.  This is achieved through three areas of work:</w:t>
      </w:r>
    </w:p>
    <w:p w:rsidR="00596CC4" w:rsidRPr="00E42466" w:rsidRDefault="00596CC4" w:rsidP="00596CC4">
      <w:pPr>
        <w:numPr>
          <w:ilvl w:val="0"/>
          <w:numId w:val="25"/>
        </w:numPr>
        <w:spacing w:after="200" w:line="276" w:lineRule="auto"/>
        <w:rPr>
          <w:i/>
        </w:rPr>
      </w:pPr>
      <w:r w:rsidRPr="00E42466">
        <w:rPr>
          <w:i/>
        </w:rPr>
        <w:t>Provision of core business and in particular safety critical training (Breathing Apparatus, Command and Control, Driving) and specialist skill areas</w:t>
      </w:r>
    </w:p>
    <w:p w:rsidR="00596CC4" w:rsidRPr="00E42466" w:rsidRDefault="00596CC4" w:rsidP="00596CC4">
      <w:pPr>
        <w:numPr>
          <w:ilvl w:val="1"/>
          <w:numId w:val="25"/>
        </w:numPr>
        <w:spacing w:after="200" w:line="276" w:lineRule="auto"/>
        <w:rPr>
          <w:i/>
        </w:rPr>
      </w:pPr>
      <w:r w:rsidRPr="00E42466">
        <w:rPr>
          <w:i/>
        </w:rPr>
        <w:t xml:space="preserve">These needs are identified and agreed with senior operational colleagues and technical specialists. Systems for feedback from colleagues accessing this training will be enhanced. Our operational colleagues must have consistent access to the safety critical training they need to carry out their roles. </w:t>
      </w:r>
    </w:p>
    <w:p w:rsidR="00596CC4" w:rsidRDefault="00596CC4" w:rsidP="00596CC4">
      <w:pPr>
        <w:numPr>
          <w:ilvl w:val="1"/>
          <w:numId w:val="25"/>
        </w:numPr>
        <w:spacing w:after="200" w:line="276" w:lineRule="auto"/>
        <w:rPr>
          <w:i/>
        </w:rPr>
      </w:pPr>
      <w:r w:rsidRPr="00E42466">
        <w:rPr>
          <w:i/>
        </w:rPr>
        <w:t xml:space="preserve">This delivery of this training is coordinated through the Learning Management System where mandatory training and revalidation is monitored and delegates are automatically called forward. </w:t>
      </w:r>
      <w:r w:rsidR="00E42466">
        <w:rPr>
          <w:i/>
        </w:rPr>
        <w:t>We are urgently reviewing s</w:t>
      </w:r>
      <w:r w:rsidRPr="00E42466">
        <w:rPr>
          <w:i/>
        </w:rPr>
        <w:t xml:space="preserve">ystems for recording competence and training </w:t>
      </w:r>
      <w:r w:rsidR="00E42466">
        <w:rPr>
          <w:i/>
        </w:rPr>
        <w:t>to identify fitness</w:t>
      </w:r>
      <w:r w:rsidRPr="00E42466">
        <w:rPr>
          <w:i/>
        </w:rPr>
        <w:t xml:space="preserve"> for purpose.</w:t>
      </w:r>
    </w:p>
    <w:p w:rsidR="00596CC4" w:rsidRPr="00E42466" w:rsidRDefault="00596CC4" w:rsidP="00596CC4">
      <w:pPr>
        <w:numPr>
          <w:ilvl w:val="0"/>
          <w:numId w:val="25"/>
        </w:numPr>
        <w:spacing w:after="200" w:line="276" w:lineRule="auto"/>
        <w:rPr>
          <w:i/>
        </w:rPr>
      </w:pPr>
      <w:r w:rsidRPr="00E42466">
        <w:rPr>
          <w:i/>
        </w:rPr>
        <w:t>Provision of wider business skills and leadership and management development</w:t>
      </w:r>
    </w:p>
    <w:p w:rsidR="00596CC4" w:rsidRPr="00E42466" w:rsidRDefault="00596CC4" w:rsidP="00596CC4">
      <w:pPr>
        <w:numPr>
          <w:ilvl w:val="1"/>
          <w:numId w:val="25"/>
        </w:numPr>
        <w:spacing w:after="200" w:line="276" w:lineRule="auto"/>
        <w:rPr>
          <w:i/>
        </w:rPr>
      </w:pPr>
      <w:r w:rsidRPr="00E42466">
        <w:rPr>
          <w:i/>
        </w:rPr>
        <w:t xml:space="preserve">At corporate level, a </w:t>
      </w:r>
      <w:r w:rsidR="00BB6EFF" w:rsidRPr="00E42466">
        <w:rPr>
          <w:i/>
        </w:rPr>
        <w:t>holistic</w:t>
      </w:r>
      <w:r w:rsidRPr="00E42466">
        <w:rPr>
          <w:i/>
        </w:rPr>
        <w:t xml:space="preserve"> leadership and management offering will be in place in 2019. </w:t>
      </w:r>
      <w:r w:rsidR="00E42466" w:rsidRPr="00E42466">
        <w:rPr>
          <w:i/>
        </w:rPr>
        <w:t>The Service Leadership Team alongside line man</w:t>
      </w:r>
      <w:r w:rsidR="00E42466">
        <w:rPr>
          <w:i/>
        </w:rPr>
        <w:t>agers identifies these needs</w:t>
      </w:r>
      <w:r w:rsidRPr="00E42466">
        <w:rPr>
          <w:i/>
        </w:rPr>
        <w:t>. Enhancement and development of a ‘people first’ leadership style will be at the heart of this.</w:t>
      </w:r>
    </w:p>
    <w:p w:rsidR="00596CC4" w:rsidRPr="00E42466" w:rsidRDefault="00596CC4" w:rsidP="00596CC4">
      <w:pPr>
        <w:numPr>
          <w:ilvl w:val="1"/>
          <w:numId w:val="25"/>
        </w:numPr>
        <w:spacing w:after="200" w:line="276" w:lineRule="auto"/>
        <w:rPr>
          <w:i/>
        </w:rPr>
      </w:pPr>
      <w:r w:rsidRPr="00E42466">
        <w:rPr>
          <w:i/>
        </w:rPr>
        <w:t xml:space="preserve">At an individual level, the need to enhance or develop of skills in business, leadership and management are </w:t>
      </w:r>
      <w:r w:rsidR="00E42466" w:rsidRPr="00E42466">
        <w:rPr>
          <w:i/>
        </w:rPr>
        <w:t>identified</w:t>
      </w:r>
      <w:r w:rsidRPr="00E42466">
        <w:rPr>
          <w:i/>
        </w:rPr>
        <w:t xml:space="preserve"> by employee and line manager.  This is managed through the Personal Development Plan (PDP) section of the Appraisal (Performance Management) process</w:t>
      </w:r>
    </w:p>
    <w:p w:rsidR="00596CC4" w:rsidRPr="00E42466" w:rsidRDefault="000C6AF7" w:rsidP="00596CC4">
      <w:pPr>
        <w:numPr>
          <w:ilvl w:val="0"/>
          <w:numId w:val="25"/>
        </w:numPr>
        <w:spacing w:after="200" w:line="276" w:lineRule="auto"/>
        <w:rPr>
          <w:i/>
        </w:rPr>
      </w:pPr>
      <w:r>
        <w:rPr>
          <w:i/>
        </w:rPr>
        <w:t>‘Provision of a Talent Pool process to identify and develop high potential individuals to meet the needs of the Service now and in the future’</w:t>
      </w:r>
    </w:p>
    <w:p w:rsidR="00596CC4" w:rsidRPr="00E42466" w:rsidRDefault="00596CC4" w:rsidP="00596CC4">
      <w:pPr>
        <w:numPr>
          <w:ilvl w:val="1"/>
          <w:numId w:val="25"/>
        </w:numPr>
        <w:spacing w:after="200" w:line="276" w:lineRule="auto"/>
        <w:rPr>
          <w:i/>
        </w:rPr>
      </w:pPr>
      <w:r w:rsidRPr="00E42466">
        <w:rPr>
          <w:i/>
        </w:rPr>
        <w:t>This is a combination of the PDP and, for those in the Talent Pool developed from the outputs of the Assessment and Development centre and the inputs from Line Management</w:t>
      </w:r>
    </w:p>
    <w:p w:rsidR="00596CC4" w:rsidRPr="00E42466" w:rsidRDefault="00596CC4" w:rsidP="00596CC4">
      <w:pPr>
        <w:spacing w:after="200" w:line="276" w:lineRule="auto"/>
        <w:rPr>
          <w:i/>
        </w:rPr>
      </w:pPr>
      <w:r w:rsidRPr="00E42466">
        <w:rPr>
          <w:i/>
        </w:rPr>
        <w:t>A key tenet of learning delivery is quality of service and quality of delivery and this is managed through an integrated quality assurance framework</w:t>
      </w:r>
      <w:r w:rsidR="00E42466" w:rsidRPr="00E42466">
        <w:rPr>
          <w:i/>
        </w:rPr>
        <w:t>.</w:t>
      </w:r>
      <w:r w:rsidR="00E42466">
        <w:rPr>
          <w:i/>
        </w:rPr>
        <w:t>’</w:t>
      </w:r>
    </w:p>
    <w:p w:rsidR="002A26B2" w:rsidRPr="00CC2F7F" w:rsidRDefault="002A26B2" w:rsidP="002A26B2">
      <w:pPr>
        <w:rPr>
          <w:b/>
        </w:rPr>
      </w:pPr>
      <w:r w:rsidRPr="00CC2F7F">
        <w:rPr>
          <w:b/>
        </w:rPr>
        <w:t>L&amp;D Priorities</w:t>
      </w:r>
    </w:p>
    <w:p w:rsidR="002A26B2" w:rsidRDefault="002A26B2" w:rsidP="002A26B2">
      <w:r>
        <w:t xml:space="preserve">These are in draft form (appendix </w:t>
      </w:r>
      <w:r w:rsidR="00BD2B47">
        <w:t>2</w:t>
      </w:r>
      <w:r>
        <w:t xml:space="preserve">), have been identified in consultation with the L&amp;D team, feedback from senior operational colleagues, and have been shared with some of representative body colleagues.  </w:t>
      </w:r>
      <w:r w:rsidR="003123B7">
        <w:t>The</w:t>
      </w:r>
      <w:r>
        <w:t xml:space="preserve"> SLT are in agreement that these priorities meet our needs</w:t>
      </w:r>
      <w:r w:rsidR="003123B7">
        <w:t xml:space="preserve"> and we are now sharing</w:t>
      </w:r>
      <w:r>
        <w:t xml:space="preserve"> them more widely.</w:t>
      </w:r>
    </w:p>
    <w:p w:rsidR="00CC2F7F" w:rsidRDefault="00CC2F7F" w:rsidP="002A26B2"/>
    <w:p w:rsidR="00F11C1D" w:rsidRPr="0092458A" w:rsidRDefault="00F11C1D" w:rsidP="00F43B5F">
      <w:pPr>
        <w:rPr>
          <w:i/>
        </w:rPr>
      </w:pPr>
      <w:r w:rsidRPr="0092458A">
        <w:rPr>
          <w:b/>
          <w:i/>
        </w:rPr>
        <w:t xml:space="preserve">Reporting </w:t>
      </w:r>
    </w:p>
    <w:p w:rsidR="0092458A" w:rsidRDefault="0092458A" w:rsidP="00F43B5F">
      <w:r>
        <w:t>We have a range of assurance mechanisms</w:t>
      </w:r>
      <w:r w:rsidR="00135A17">
        <w:t xml:space="preserve"> already</w:t>
      </w:r>
      <w:r>
        <w:t xml:space="preserve"> in place to provide assurance </w:t>
      </w:r>
      <w:r w:rsidR="00135A17">
        <w:t>around the qu</w:t>
      </w:r>
      <w:r>
        <w:t>ality</w:t>
      </w:r>
      <w:r w:rsidR="00135A17">
        <w:t xml:space="preserve"> of the training we deliver.  For example,</w:t>
      </w:r>
      <w:r>
        <w:t xml:space="preserve"> we</w:t>
      </w:r>
      <w:r w:rsidR="00135A17">
        <w:t xml:space="preserve"> have</w:t>
      </w:r>
      <w:r>
        <w:t xml:space="preserve"> monthly quality assurance and standardisation meetings, external verification and audit and course evaluation. However, we do</w:t>
      </w:r>
      <w:r w:rsidR="00135A17">
        <w:t xml:space="preserve"> not</w:t>
      </w:r>
      <w:r>
        <w:t xml:space="preserve"> currently have a regular </w:t>
      </w:r>
      <w:r w:rsidR="003E09E5">
        <w:t>method of sharing</w:t>
      </w:r>
      <w:r>
        <w:t xml:space="preserve"> the outcomes of that feedback and assurance</w:t>
      </w:r>
      <w:r w:rsidR="003E09E5">
        <w:t xml:space="preserve"> and allowing other to both see and feedback</w:t>
      </w:r>
      <w:r>
        <w:t xml:space="preserve">. </w:t>
      </w:r>
    </w:p>
    <w:p w:rsidR="0092458A" w:rsidRDefault="0092458A" w:rsidP="00E42466"/>
    <w:p w:rsidR="0092458A" w:rsidRDefault="0092458A" w:rsidP="00F43B5F">
      <w:r>
        <w:t xml:space="preserve">With effect from October, we will provide monthly reporting for an initial period of 6 months, decreasing to quarterly reporting once confidence gained. </w:t>
      </w:r>
      <w:r w:rsidR="0016231C">
        <w:t xml:space="preserve"> </w:t>
      </w:r>
      <w:r w:rsidR="00F43B5F">
        <w:t xml:space="preserve">The first October report is attached as appendix </w:t>
      </w:r>
      <w:r w:rsidR="00187A4A">
        <w:t>3</w:t>
      </w:r>
      <w:r w:rsidR="00F43B5F">
        <w:t xml:space="preserve">. </w:t>
      </w:r>
    </w:p>
    <w:p w:rsidR="000F4C0E" w:rsidRDefault="000F4C0E" w:rsidP="0092458A"/>
    <w:p w:rsidR="00A77398" w:rsidRPr="00A77398" w:rsidRDefault="00A77398" w:rsidP="00F43B5F">
      <w:pPr>
        <w:rPr>
          <w:b/>
          <w:i/>
        </w:rPr>
      </w:pPr>
      <w:r w:rsidRPr="00A77398">
        <w:rPr>
          <w:b/>
          <w:i/>
        </w:rPr>
        <w:t>Apprenticeship</w:t>
      </w:r>
    </w:p>
    <w:p w:rsidR="00F43B5F" w:rsidRDefault="00A77398" w:rsidP="00F43B5F">
      <w:r>
        <w:t xml:space="preserve">We will continue to maximise opportunities to utilise our levy.  The first significant opportunity for this is to fund the training of new firefighters in 2019.  After considerable consideration, we </w:t>
      </w:r>
      <w:r w:rsidR="00F43B5F">
        <w:t>have agreed that the most appropriate way forward is as a</w:t>
      </w:r>
      <w:r>
        <w:t xml:space="preserve"> partner provider rather than an employer provider. This</w:t>
      </w:r>
      <w:r w:rsidR="00F43B5F">
        <w:t xml:space="preserve"> </w:t>
      </w:r>
      <w:r>
        <w:t>enable</w:t>
      </w:r>
      <w:r w:rsidR="00F43B5F">
        <w:t>s</w:t>
      </w:r>
      <w:r>
        <w:t xml:space="preserve"> us to draw down some funding without the infrastructure required to be an employer provider.  </w:t>
      </w:r>
    </w:p>
    <w:p w:rsidR="00F43B5F" w:rsidRDefault="00F43B5F" w:rsidP="00F43B5F"/>
    <w:p w:rsidR="00A77398" w:rsidRDefault="00A77398" w:rsidP="00F43B5F">
      <w:r>
        <w:t>We are on track to be a partner provider for all firefighter cohorts in 2019.</w:t>
      </w:r>
    </w:p>
    <w:p w:rsidR="00187A4A" w:rsidRDefault="00187A4A" w:rsidP="00F43B5F"/>
    <w:p w:rsidR="00A77398" w:rsidRDefault="00A77398" w:rsidP="00F43B5F">
      <w:r>
        <w:t xml:space="preserve">A summary of both </w:t>
      </w:r>
      <w:r w:rsidR="00F43B5F">
        <w:t>the employer provider and partner provider models is provided below</w:t>
      </w:r>
      <w:r>
        <w:t>:</w:t>
      </w:r>
    </w:p>
    <w:p w:rsidR="00A77398" w:rsidRDefault="00A77398" w:rsidP="00E42466"/>
    <w:tbl>
      <w:tblPr>
        <w:tblStyle w:val="TableGrid"/>
        <w:tblW w:w="0" w:type="auto"/>
        <w:tblLook w:val="04A0" w:firstRow="1" w:lastRow="0" w:firstColumn="1" w:lastColumn="0" w:noHBand="0" w:noVBand="1"/>
      </w:tblPr>
      <w:tblGrid>
        <w:gridCol w:w="4672"/>
        <w:gridCol w:w="4672"/>
      </w:tblGrid>
      <w:tr w:rsidR="00A77398" w:rsidTr="00A80A2C">
        <w:tc>
          <w:tcPr>
            <w:tcW w:w="4672" w:type="dxa"/>
            <w:shd w:val="clear" w:color="auto" w:fill="DEEAF6" w:themeFill="accent1" w:themeFillTint="33"/>
          </w:tcPr>
          <w:p w:rsidR="00A77398" w:rsidRPr="00A80A2C" w:rsidRDefault="00A77398" w:rsidP="00E42466">
            <w:pPr>
              <w:rPr>
                <w:b/>
              </w:rPr>
            </w:pPr>
            <w:r w:rsidRPr="00A80A2C">
              <w:rPr>
                <w:b/>
              </w:rPr>
              <w:t>Employer Provider</w:t>
            </w:r>
          </w:p>
        </w:tc>
        <w:tc>
          <w:tcPr>
            <w:tcW w:w="4672" w:type="dxa"/>
            <w:shd w:val="clear" w:color="auto" w:fill="DEEAF6" w:themeFill="accent1" w:themeFillTint="33"/>
          </w:tcPr>
          <w:p w:rsidR="00A77398" w:rsidRPr="00A80A2C" w:rsidRDefault="00A77398" w:rsidP="00E42466">
            <w:pPr>
              <w:rPr>
                <w:b/>
              </w:rPr>
            </w:pPr>
            <w:r w:rsidRPr="00A80A2C">
              <w:rPr>
                <w:b/>
              </w:rPr>
              <w:t>Partner Provider</w:t>
            </w:r>
          </w:p>
          <w:p w:rsidR="00A80A2C" w:rsidRPr="00A80A2C" w:rsidRDefault="00A80A2C" w:rsidP="00E42466">
            <w:pPr>
              <w:rPr>
                <w:b/>
              </w:rPr>
            </w:pPr>
          </w:p>
        </w:tc>
      </w:tr>
      <w:tr w:rsidR="00AE219E" w:rsidTr="00A77398">
        <w:tc>
          <w:tcPr>
            <w:tcW w:w="4672" w:type="dxa"/>
          </w:tcPr>
          <w:p w:rsidR="00AE219E" w:rsidRDefault="00754122" w:rsidP="00E42466">
            <w:r>
              <w:t>We draw £12,000 per FF, minus 20% for End Point Assessment from levy – cohort of 12 = £115,200</w:t>
            </w:r>
          </w:p>
        </w:tc>
        <w:tc>
          <w:tcPr>
            <w:tcW w:w="4672" w:type="dxa"/>
          </w:tcPr>
          <w:p w:rsidR="00AE219E" w:rsidRDefault="00754122" w:rsidP="00E42466">
            <w:r w:rsidRPr="00754122">
              <w:t>Provider holds and manages digital account – sub-contracts delivery of training to us for which we will be paid £5000 a week for our 14 week initial FF training course</w:t>
            </w:r>
            <w:r>
              <w:t xml:space="preserve"> total </w:t>
            </w:r>
            <w:r w:rsidR="00A80A2C">
              <w:t xml:space="preserve">income </w:t>
            </w:r>
            <w:r>
              <w:t>of £70,000</w:t>
            </w:r>
          </w:p>
          <w:p w:rsidR="00A80A2C" w:rsidRDefault="00A80A2C" w:rsidP="00E42466"/>
        </w:tc>
      </w:tr>
      <w:tr w:rsidR="00A77398" w:rsidTr="00A77398">
        <w:tc>
          <w:tcPr>
            <w:tcW w:w="4672" w:type="dxa"/>
          </w:tcPr>
          <w:p w:rsidR="00A77398" w:rsidRDefault="00AE219E" w:rsidP="00E42466">
            <w:r>
              <w:t>Ofsted Inspection – risk of not achieving</w:t>
            </w:r>
            <w:r w:rsidR="00754122">
              <w:t xml:space="preserve"> ‘employer provider’</w:t>
            </w:r>
            <w:r>
              <w:t xml:space="preserve">, higher risk of losing ‘employer provider’ status, and risk of being able to draw down on our levy </w:t>
            </w:r>
          </w:p>
          <w:p w:rsidR="00754122" w:rsidRDefault="00754122" w:rsidP="00E42466">
            <w:r>
              <w:t xml:space="preserve">The window to apply to join the ‘employer provider’ register is not </w:t>
            </w:r>
            <w:r w:rsidR="00A80A2C">
              <w:t>open;</w:t>
            </w:r>
            <w:r>
              <w:t xml:space="preserve"> therefore there will not be time to be processed for our cohort starting Jan 2019</w:t>
            </w:r>
            <w:r w:rsidR="00A80A2C">
              <w:t>.</w:t>
            </w:r>
          </w:p>
          <w:p w:rsidR="00A80A2C" w:rsidRDefault="00A80A2C" w:rsidP="00E42466"/>
        </w:tc>
        <w:tc>
          <w:tcPr>
            <w:tcW w:w="4672" w:type="dxa"/>
          </w:tcPr>
          <w:p w:rsidR="00A77398" w:rsidRDefault="008C5169" w:rsidP="00E42466">
            <w:r>
              <w:t>Provider carries</w:t>
            </w:r>
            <w:r w:rsidR="00754122">
              <w:t xml:space="preserve"> risk of loss of funding by facilitating Ofsted inspection</w:t>
            </w:r>
          </w:p>
          <w:p w:rsidR="008C5169" w:rsidRDefault="008C5169" w:rsidP="00E42466">
            <w:r>
              <w:t>Partnership arrangement can be in place for cohort starting Jan 2019</w:t>
            </w:r>
          </w:p>
        </w:tc>
      </w:tr>
      <w:tr w:rsidR="00A77398" w:rsidTr="00A77398">
        <w:tc>
          <w:tcPr>
            <w:tcW w:w="4672" w:type="dxa"/>
          </w:tcPr>
          <w:p w:rsidR="00A77398" w:rsidRDefault="00AE219E" w:rsidP="00E42466">
            <w:r>
              <w:t>Need to employ administrator to manage digital account</w:t>
            </w:r>
          </w:p>
          <w:p w:rsidR="00A80A2C" w:rsidRDefault="00A80A2C" w:rsidP="00E42466"/>
        </w:tc>
        <w:tc>
          <w:tcPr>
            <w:tcW w:w="4672" w:type="dxa"/>
          </w:tcPr>
          <w:p w:rsidR="00A77398" w:rsidRDefault="008C5169" w:rsidP="00E42466">
            <w:r>
              <w:t>Provider manages the administration</w:t>
            </w:r>
          </w:p>
        </w:tc>
      </w:tr>
      <w:tr w:rsidR="00A77398" w:rsidTr="00A77398">
        <w:tc>
          <w:tcPr>
            <w:tcW w:w="4672" w:type="dxa"/>
          </w:tcPr>
          <w:p w:rsidR="00A77398" w:rsidRDefault="00AE219E" w:rsidP="00E42466">
            <w:r>
              <w:t>Need to employee an apprenticeship ‘reviewer’ or develop an existing member of staff in to this specific role</w:t>
            </w:r>
          </w:p>
        </w:tc>
        <w:tc>
          <w:tcPr>
            <w:tcW w:w="4672" w:type="dxa"/>
          </w:tcPr>
          <w:p w:rsidR="00A77398" w:rsidRDefault="008C5169" w:rsidP="00E42466">
            <w:r>
              <w:t>Provider carries out reviews and assesses learner progress</w:t>
            </w:r>
          </w:p>
          <w:p w:rsidR="008C5169" w:rsidRDefault="008C5169" w:rsidP="00E42466">
            <w:r>
              <w:t xml:space="preserve">Provider delivers some aspects of the apprenticeship </w:t>
            </w:r>
          </w:p>
          <w:p w:rsidR="00A80A2C" w:rsidRDefault="00A80A2C" w:rsidP="00E42466"/>
        </w:tc>
      </w:tr>
      <w:tr w:rsidR="00A77398" w:rsidTr="00A77398">
        <w:tc>
          <w:tcPr>
            <w:tcW w:w="4672" w:type="dxa"/>
          </w:tcPr>
          <w:p w:rsidR="00A77398" w:rsidRDefault="008C5169" w:rsidP="00E42466">
            <w:r>
              <w:t>We would have to arrange  for an independent End Point Assessment organisation</w:t>
            </w:r>
          </w:p>
          <w:p w:rsidR="00A80A2C" w:rsidRDefault="00A80A2C" w:rsidP="00E42466"/>
        </w:tc>
        <w:tc>
          <w:tcPr>
            <w:tcW w:w="4672" w:type="dxa"/>
          </w:tcPr>
          <w:p w:rsidR="00A77398" w:rsidRDefault="008C5169" w:rsidP="00E42466">
            <w:r>
              <w:t>Provider arranges End Point Assessment</w:t>
            </w:r>
          </w:p>
        </w:tc>
      </w:tr>
    </w:tbl>
    <w:p w:rsidR="00A77398" w:rsidRDefault="00A77398" w:rsidP="00E42466"/>
    <w:p w:rsidR="005A568A" w:rsidRDefault="005A568A" w:rsidP="00A80A2C">
      <w:pPr>
        <w:ind w:firstLine="720"/>
        <w:rPr>
          <w:b/>
          <w:i/>
        </w:rPr>
      </w:pPr>
    </w:p>
    <w:p w:rsidR="005A568A" w:rsidRDefault="00D05647" w:rsidP="00D05647">
      <w:pPr>
        <w:rPr>
          <w:b/>
        </w:rPr>
      </w:pPr>
      <w:r>
        <w:rPr>
          <w:b/>
        </w:rPr>
        <w:t>Staffing</w:t>
      </w:r>
    </w:p>
    <w:p w:rsidR="00D05647" w:rsidRDefault="00D05647" w:rsidP="00D05647">
      <w:pPr>
        <w:rPr>
          <w:b/>
        </w:rPr>
      </w:pPr>
    </w:p>
    <w:p w:rsidR="00D05647" w:rsidRPr="00D05647" w:rsidRDefault="00D05647" w:rsidP="00D05647">
      <w:r w:rsidRPr="00D05647">
        <w:t>We are pleased to confirm that we have now allocated a Station Manager to each Group Manager as a Learning and Development Business Partner.  This is a similar model to the HR Business Partners.</w:t>
      </w:r>
    </w:p>
    <w:p w:rsidR="00D05647" w:rsidRDefault="00D05647" w:rsidP="00D05647">
      <w:pPr>
        <w:rPr>
          <w:rFonts w:ascii="Calibri" w:hAnsi="Calibri" w:cs="Times New Roman"/>
          <w:color w:val="0D0D0D"/>
          <w:sz w:val="22"/>
          <w:szCs w:val="22"/>
        </w:rPr>
      </w:pPr>
    </w:p>
    <w:tbl>
      <w:tblPr>
        <w:tblW w:w="0" w:type="auto"/>
        <w:tblCellMar>
          <w:left w:w="0" w:type="dxa"/>
          <w:right w:w="0" w:type="dxa"/>
        </w:tblCellMar>
        <w:tblLook w:val="04A0" w:firstRow="1" w:lastRow="0" w:firstColumn="1" w:lastColumn="0" w:noHBand="0" w:noVBand="1"/>
      </w:tblPr>
      <w:tblGrid>
        <w:gridCol w:w="1870"/>
        <w:gridCol w:w="1870"/>
        <w:gridCol w:w="2487"/>
      </w:tblGrid>
      <w:tr w:rsidR="00D05647" w:rsidTr="00D05647">
        <w:tc>
          <w:tcPr>
            <w:tcW w:w="1870"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rsidR="00D05647" w:rsidRDefault="00D05647">
            <w:pPr>
              <w:rPr>
                <w:color w:val="0D0D0D"/>
              </w:rPr>
            </w:pPr>
            <w:r>
              <w:rPr>
                <w:color w:val="0D0D0D"/>
              </w:rPr>
              <w:t>Group</w:t>
            </w:r>
          </w:p>
        </w:tc>
        <w:tc>
          <w:tcPr>
            <w:tcW w:w="1870"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rsidR="00D05647" w:rsidRDefault="00D05647">
            <w:pPr>
              <w:rPr>
                <w:color w:val="0D0D0D"/>
              </w:rPr>
            </w:pPr>
            <w:r>
              <w:rPr>
                <w:color w:val="0D0D0D"/>
              </w:rPr>
              <w:t>GM</w:t>
            </w:r>
          </w:p>
        </w:tc>
        <w:tc>
          <w:tcPr>
            <w:tcW w:w="2487" w:type="dxa"/>
            <w:tcBorders>
              <w:top w:val="single" w:sz="8" w:space="0" w:color="auto"/>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rsidR="00D05647" w:rsidRDefault="00D05647">
            <w:pPr>
              <w:rPr>
                <w:color w:val="0D0D0D"/>
              </w:rPr>
            </w:pPr>
            <w:r>
              <w:rPr>
                <w:color w:val="0D0D0D"/>
              </w:rPr>
              <w:t>L&amp;D Partner</w:t>
            </w:r>
          </w:p>
        </w:tc>
      </w:tr>
      <w:tr w:rsidR="00D05647" w:rsidTr="00D05647">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5647" w:rsidRDefault="00D05647">
            <w:pPr>
              <w:rPr>
                <w:color w:val="0D0D0D"/>
              </w:rPr>
            </w:pPr>
            <w:r>
              <w:rPr>
                <w:color w:val="0D0D0D"/>
              </w:rPr>
              <w:t xml:space="preserve">NW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D05647" w:rsidRDefault="00D05647">
            <w:pPr>
              <w:rPr>
                <w:color w:val="0D0D0D"/>
              </w:rPr>
            </w:pPr>
            <w:r>
              <w:rPr>
                <w:color w:val="0D0D0D"/>
              </w:rPr>
              <w:t>Terry Povey</w:t>
            </w:r>
          </w:p>
        </w:tc>
        <w:tc>
          <w:tcPr>
            <w:tcW w:w="2487" w:type="dxa"/>
            <w:tcBorders>
              <w:top w:val="nil"/>
              <w:left w:val="nil"/>
              <w:bottom w:val="single" w:sz="8" w:space="0" w:color="auto"/>
              <w:right w:val="single" w:sz="8" w:space="0" w:color="auto"/>
            </w:tcBorders>
            <w:tcMar>
              <w:top w:w="0" w:type="dxa"/>
              <w:left w:w="108" w:type="dxa"/>
              <w:bottom w:w="0" w:type="dxa"/>
              <w:right w:w="108" w:type="dxa"/>
            </w:tcMar>
            <w:hideMark/>
          </w:tcPr>
          <w:p w:rsidR="00D05647" w:rsidRDefault="00D05647">
            <w:pPr>
              <w:rPr>
                <w:color w:val="0D0D0D"/>
              </w:rPr>
            </w:pPr>
            <w:r>
              <w:rPr>
                <w:color w:val="0D0D0D"/>
              </w:rPr>
              <w:t>Kevin Haywood</w:t>
            </w:r>
          </w:p>
        </w:tc>
      </w:tr>
      <w:tr w:rsidR="00D05647" w:rsidTr="00D05647">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5647" w:rsidRDefault="00D05647">
            <w:pPr>
              <w:rPr>
                <w:color w:val="0D0D0D"/>
              </w:rPr>
            </w:pPr>
            <w:r>
              <w:rPr>
                <w:color w:val="0D0D0D"/>
              </w:rPr>
              <w:t>NE</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D05647" w:rsidRDefault="00D05647">
            <w:pPr>
              <w:rPr>
                <w:color w:val="0D0D0D"/>
              </w:rPr>
            </w:pPr>
            <w:r>
              <w:rPr>
                <w:color w:val="0D0D0D"/>
              </w:rPr>
              <w:t>Greg Keys</w:t>
            </w:r>
          </w:p>
        </w:tc>
        <w:tc>
          <w:tcPr>
            <w:tcW w:w="2487" w:type="dxa"/>
            <w:tcBorders>
              <w:top w:val="nil"/>
              <w:left w:val="nil"/>
              <w:bottom w:val="single" w:sz="8" w:space="0" w:color="auto"/>
              <w:right w:val="single" w:sz="8" w:space="0" w:color="auto"/>
            </w:tcBorders>
            <w:tcMar>
              <w:top w:w="0" w:type="dxa"/>
              <w:left w:w="108" w:type="dxa"/>
              <w:bottom w:w="0" w:type="dxa"/>
              <w:right w:w="108" w:type="dxa"/>
            </w:tcMar>
            <w:hideMark/>
          </w:tcPr>
          <w:p w:rsidR="00D05647" w:rsidRDefault="00D05647">
            <w:pPr>
              <w:rPr>
                <w:color w:val="0D0D0D"/>
              </w:rPr>
            </w:pPr>
            <w:r>
              <w:rPr>
                <w:color w:val="0D0D0D"/>
              </w:rPr>
              <w:t>Trevor Hearn</w:t>
            </w:r>
          </w:p>
        </w:tc>
      </w:tr>
      <w:tr w:rsidR="00D05647" w:rsidTr="00D05647">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5647" w:rsidRDefault="00D05647">
            <w:pPr>
              <w:rPr>
                <w:color w:val="0D0D0D"/>
              </w:rPr>
            </w:pPr>
            <w:r>
              <w:rPr>
                <w:color w:val="0D0D0D"/>
              </w:rPr>
              <w:t>SW</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D05647" w:rsidRDefault="00D05647">
            <w:pPr>
              <w:rPr>
                <w:color w:val="0D0D0D"/>
              </w:rPr>
            </w:pPr>
            <w:r>
              <w:rPr>
                <w:color w:val="0D0D0D"/>
              </w:rPr>
              <w:t>Tony Clark</w:t>
            </w:r>
          </w:p>
        </w:tc>
        <w:tc>
          <w:tcPr>
            <w:tcW w:w="2487" w:type="dxa"/>
            <w:tcBorders>
              <w:top w:val="nil"/>
              <w:left w:val="nil"/>
              <w:bottom w:val="single" w:sz="8" w:space="0" w:color="auto"/>
              <w:right w:val="single" w:sz="8" w:space="0" w:color="auto"/>
            </w:tcBorders>
            <w:tcMar>
              <w:top w:w="0" w:type="dxa"/>
              <w:left w:w="108" w:type="dxa"/>
              <w:bottom w:w="0" w:type="dxa"/>
              <w:right w:w="108" w:type="dxa"/>
            </w:tcMar>
            <w:hideMark/>
          </w:tcPr>
          <w:p w:rsidR="00D05647" w:rsidRDefault="00D05647">
            <w:pPr>
              <w:rPr>
                <w:color w:val="0D0D0D"/>
              </w:rPr>
            </w:pPr>
            <w:r>
              <w:rPr>
                <w:color w:val="0D0D0D"/>
              </w:rPr>
              <w:t>Al Green</w:t>
            </w:r>
          </w:p>
        </w:tc>
      </w:tr>
      <w:tr w:rsidR="00D05647" w:rsidTr="00D05647">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5647" w:rsidRDefault="00D05647">
            <w:pPr>
              <w:rPr>
                <w:color w:val="0D0D0D"/>
              </w:rPr>
            </w:pPr>
            <w:r>
              <w:rPr>
                <w:color w:val="0D0D0D"/>
              </w:rPr>
              <w:t>SE</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D05647" w:rsidRDefault="00D05647">
            <w:pPr>
              <w:rPr>
                <w:color w:val="0D0D0D"/>
              </w:rPr>
            </w:pPr>
            <w:r>
              <w:rPr>
                <w:color w:val="0D0D0D"/>
              </w:rPr>
              <w:t>Dave Barnard</w:t>
            </w:r>
          </w:p>
        </w:tc>
        <w:tc>
          <w:tcPr>
            <w:tcW w:w="2487" w:type="dxa"/>
            <w:tcBorders>
              <w:top w:val="nil"/>
              <w:left w:val="nil"/>
              <w:bottom w:val="single" w:sz="8" w:space="0" w:color="auto"/>
              <w:right w:val="single" w:sz="8" w:space="0" w:color="auto"/>
            </w:tcBorders>
            <w:tcMar>
              <w:top w:w="0" w:type="dxa"/>
              <w:left w:w="108" w:type="dxa"/>
              <w:bottom w:w="0" w:type="dxa"/>
              <w:right w:w="108" w:type="dxa"/>
            </w:tcMar>
            <w:hideMark/>
          </w:tcPr>
          <w:p w:rsidR="00D05647" w:rsidRDefault="00D05647">
            <w:pPr>
              <w:rPr>
                <w:color w:val="0D0D0D"/>
              </w:rPr>
            </w:pPr>
            <w:r>
              <w:rPr>
                <w:color w:val="0D0D0D"/>
              </w:rPr>
              <w:t>Sarah Rapley</w:t>
            </w:r>
          </w:p>
        </w:tc>
      </w:tr>
      <w:tr w:rsidR="00D05647" w:rsidTr="00D05647">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05647" w:rsidRDefault="00D05647">
            <w:pPr>
              <w:rPr>
                <w:color w:val="0D0D0D"/>
              </w:rPr>
            </w:pPr>
            <w:r>
              <w:rPr>
                <w:color w:val="0D0D0D"/>
              </w:rPr>
              <w:t xml:space="preserve">Corporate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D05647" w:rsidRDefault="00D05647">
            <w:pPr>
              <w:rPr>
                <w:color w:val="0D0D0D"/>
              </w:rPr>
            </w:pPr>
          </w:p>
        </w:tc>
        <w:tc>
          <w:tcPr>
            <w:tcW w:w="2487" w:type="dxa"/>
            <w:tcBorders>
              <w:top w:val="nil"/>
              <w:left w:val="nil"/>
              <w:bottom w:val="single" w:sz="8" w:space="0" w:color="auto"/>
              <w:right w:val="single" w:sz="8" w:space="0" w:color="auto"/>
            </w:tcBorders>
            <w:tcMar>
              <w:top w:w="0" w:type="dxa"/>
              <w:left w:w="108" w:type="dxa"/>
              <w:bottom w:w="0" w:type="dxa"/>
              <w:right w:w="108" w:type="dxa"/>
            </w:tcMar>
            <w:hideMark/>
          </w:tcPr>
          <w:p w:rsidR="00D05647" w:rsidRDefault="00D05647">
            <w:pPr>
              <w:rPr>
                <w:rFonts w:ascii="Calibri" w:eastAsiaTheme="minorHAnsi" w:hAnsi="Calibri"/>
                <w:color w:val="0D0D0D"/>
                <w:sz w:val="22"/>
                <w:szCs w:val="22"/>
              </w:rPr>
            </w:pPr>
            <w:r>
              <w:rPr>
                <w:color w:val="0D0D0D"/>
              </w:rPr>
              <w:t>Steve Hart</w:t>
            </w:r>
          </w:p>
        </w:tc>
      </w:tr>
    </w:tbl>
    <w:p w:rsidR="00D05647" w:rsidRDefault="00D05647" w:rsidP="00D05647">
      <w:pPr>
        <w:rPr>
          <w:rFonts w:ascii="Calibri" w:eastAsiaTheme="minorHAnsi" w:hAnsi="Calibri"/>
          <w:color w:val="0D0D0D"/>
          <w:sz w:val="22"/>
          <w:szCs w:val="22"/>
        </w:rPr>
      </w:pPr>
    </w:p>
    <w:p w:rsidR="00D05647" w:rsidRPr="00D05647" w:rsidRDefault="00D05647" w:rsidP="00D05647">
      <w:pPr>
        <w:rPr>
          <w:b/>
        </w:rPr>
      </w:pPr>
    </w:p>
    <w:p w:rsidR="0084294A" w:rsidRDefault="00C0492F" w:rsidP="00F43B5F">
      <w:pPr>
        <w:pStyle w:val="Heading1"/>
        <w:spacing w:after="0" w:line="600" w:lineRule="auto"/>
      </w:pPr>
      <w:r w:rsidRPr="002E1E94">
        <w:t>Benefits and Risk Implications</w:t>
      </w:r>
    </w:p>
    <w:p w:rsidR="00F43B5F" w:rsidRDefault="00F43B5F" w:rsidP="00F43B5F">
      <w:r>
        <w:t xml:space="preserve">Much of the training we have is safety critical: Breathing Apparatus, Incident Command Verification and Emergency Response Driving. We have quality assurance processes and reporting in place to help mitigate that risk. In addition, there are areas that are not considered safety critical but that we consider being of paramount importance e.g. Trauma Training. </w:t>
      </w:r>
      <w:r w:rsidR="00CE32F4">
        <w:t>We have updated our risk register to record the risks associate</w:t>
      </w:r>
      <w:r w:rsidR="00167C02">
        <w:t>d</w:t>
      </w:r>
      <w:r w:rsidR="00CE32F4">
        <w:t xml:space="preserve"> to our current training recording system and </w:t>
      </w:r>
      <w:r w:rsidR="00167C02">
        <w:t>the control measures we have in place.</w:t>
      </w:r>
    </w:p>
    <w:p w:rsidR="00F43B5F" w:rsidRPr="00F43B5F" w:rsidRDefault="00F43B5F" w:rsidP="00F43B5F"/>
    <w:p w:rsidR="00C0492F" w:rsidRDefault="00C0492F" w:rsidP="00F64805">
      <w:pPr>
        <w:pStyle w:val="Heading1"/>
        <w:spacing w:after="0" w:line="600" w:lineRule="auto"/>
      </w:pPr>
      <w:r w:rsidRPr="002E1E94">
        <w:t>Financial Implications</w:t>
      </w:r>
    </w:p>
    <w:p w:rsidR="00530432" w:rsidRDefault="00530432" w:rsidP="00BB6EFF">
      <w:r>
        <w:t>Our full year budget is £570,000, our year to date budget is £237,000 and our year to date spend is £275,000.</w:t>
      </w:r>
    </w:p>
    <w:p w:rsidR="00530432" w:rsidRDefault="00530432" w:rsidP="00BB6EFF"/>
    <w:p w:rsidR="00167C02" w:rsidRDefault="00530432" w:rsidP="00DA6366">
      <w:r>
        <w:t>This means that we have overspent at this point in the year with a 16% variance. The</w:t>
      </w:r>
      <w:r w:rsidR="00DA6366">
        <w:t xml:space="preserve"> key area of ongoing variance is resources to support training. </w:t>
      </w:r>
    </w:p>
    <w:p w:rsidR="00530432" w:rsidRDefault="00DA6366" w:rsidP="00DA6366">
      <w:r>
        <w:t>Other variances exist but these are front loaded in the budget year and we expect to balance these across the year.</w:t>
      </w:r>
    </w:p>
    <w:p w:rsidR="00530432" w:rsidRDefault="00530432" w:rsidP="00BB6EFF"/>
    <w:p w:rsidR="00530432" w:rsidRDefault="00DA6366" w:rsidP="00BB6EFF">
      <w:r>
        <w:t>With the exception of resources to support training, i</w:t>
      </w:r>
      <w:r w:rsidR="00530432">
        <w:t xml:space="preserve">f we continued to provide all currently planned training and utilised the apprenticeship levy we can bring training in on budget.  However, there are several needs being articulated which could potentially vary the picture.  </w:t>
      </w:r>
      <w:r>
        <w:t>These are outlined below.</w:t>
      </w:r>
    </w:p>
    <w:p w:rsidR="00F5537A" w:rsidRDefault="00F5537A" w:rsidP="00BB6EFF"/>
    <w:p w:rsidR="00F5537A" w:rsidRDefault="00F5537A" w:rsidP="00BB6EFF"/>
    <w:tbl>
      <w:tblPr>
        <w:tblStyle w:val="TableGrid"/>
        <w:tblW w:w="0" w:type="auto"/>
        <w:tblLook w:val="04A0" w:firstRow="1" w:lastRow="0" w:firstColumn="1" w:lastColumn="0" w:noHBand="0" w:noVBand="1"/>
      </w:tblPr>
      <w:tblGrid>
        <w:gridCol w:w="3114"/>
        <w:gridCol w:w="3115"/>
        <w:gridCol w:w="3115"/>
      </w:tblGrid>
      <w:tr w:rsidR="00F5537A" w:rsidTr="00334143">
        <w:tc>
          <w:tcPr>
            <w:tcW w:w="3115" w:type="dxa"/>
            <w:shd w:val="clear" w:color="auto" w:fill="DEEAF6" w:themeFill="accent1" w:themeFillTint="33"/>
          </w:tcPr>
          <w:p w:rsidR="00F5537A" w:rsidRDefault="00334143" w:rsidP="00BB6EFF">
            <w:r>
              <w:t xml:space="preserve">Priority </w:t>
            </w:r>
          </w:p>
        </w:tc>
        <w:tc>
          <w:tcPr>
            <w:tcW w:w="3116" w:type="dxa"/>
            <w:shd w:val="clear" w:color="auto" w:fill="DEEAF6" w:themeFill="accent1" w:themeFillTint="33"/>
          </w:tcPr>
          <w:p w:rsidR="00F5537A" w:rsidRDefault="00F5537A" w:rsidP="00BB6EFF">
            <w:r>
              <w:t>Currently budgeted for</w:t>
            </w:r>
          </w:p>
        </w:tc>
        <w:tc>
          <w:tcPr>
            <w:tcW w:w="3116" w:type="dxa"/>
            <w:shd w:val="clear" w:color="auto" w:fill="DEEAF6" w:themeFill="accent1" w:themeFillTint="33"/>
          </w:tcPr>
          <w:p w:rsidR="00F5537A" w:rsidRDefault="00F5537A" w:rsidP="00BB6EFF">
            <w:r>
              <w:t>Potential variance</w:t>
            </w:r>
          </w:p>
          <w:p w:rsidR="00334143" w:rsidRDefault="00334143" w:rsidP="00BB6EFF"/>
        </w:tc>
      </w:tr>
      <w:tr w:rsidR="00F5537A" w:rsidTr="00F5537A">
        <w:tc>
          <w:tcPr>
            <w:tcW w:w="3115" w:type="dxa"/>
          </w:tcPr>
          <w:p w:rsidR="00F5537A" w:rsidRPr="00334143" w:rsidRDefault="00F5537A" w:rsidP="00BB6EFF">
            <w:r w:rsidRPr="00334143">
              <w:rPr>
                <w:iCs/>
              </w:rPr>
              <w:t>Trainee firefighters in this financial year – October x 12, November x 6, January x 12</w:t>
            </w:r>
          </w:p>
        </w:tc>
        <w:tc>
          <w:tcPr>
            <w:tcW w:w="3116" w:type="dxa"/>
          </w:tcPr>
          <w:p w:rsidR="00F5537A" w:rsidRDefault="00F5537A" w:rsidP="00BB6EFF">
            <w:r>
              <w:t>Yes</w:t>
            </w:r>
          </w:p>
        </w:tc>
        <w:tc>
          <w:tcPr>
            <w:tcW w:w="3116" w:type="dxa"/>
          </w:tcPr>
          <w:p w:rsidR="00D173CF" w:rsidRDefault="00F5537A" w:rsidP="00D05647">
            <w:r>
              <w:t xml:space="preserve">If we take the partner provider </w:t>
            </w:r>
            <w:r w:rsidR="00D05647">
              <w:t>route,</w:t>
            </w:r>
            <w:r>
              <w:t xml:space="preserve"> we will be drawing down from the levy </w:t>
            </w:r>
            <w:r w:rsidR="00D05647">
              <w:t>to produce an income of £72,000 paid to us in monthly instalments across 2 years</w:t>
            </w:r>
            <w:r>
              <w:t xml:space="preserve">. </w:t>
            </w:r>
          </w:p>
          <w:p w:rsidR="00D05647" w:rsidRDefault="00D05647" w:rsidP="00D05647"/>
        </w:tc>
      </w:tr>
      <w:tr w:rsidR="00F5537A" w:rsidTr="00F5537A">
        <w:tc>
          <w:tcPr>
            <w:tcW w:w="3115" w:type="dxa"/>
          </w:tcPr>
          <w:p w:rsidR="00F5537A" w:rsidRDefault="00D05647" w:rsidP="00BB6EFF">
            <w:r>
              <w:t>Casualty Care</w:t>
            </w:r>
          </w:p>
        </w:tc>
        <w:tc>
          <w:tcPr>
            <w:tcW w:w="3116" w:type="dxa"/>
          </w:tcPr>
          <w:p w:rsidR="00F5537A" w:rsidRDefault="00F5537A" w:rsidP="00BB6EFF">
            <w:r>
              <w:t>Yes</w:t>
            </w:r>
          </w:p>
        </w:tc>
        <w:tc>
          <w:tcPr>
            <w:tcW w:w="3116" w:type="dxa"/>
          </w:tcPr>
          <w:p w:rsidR="00D05647" w:rsidRDefault="00F5537A" w:rsidP="00F5537A">
            <w:r>
              <w:t xml:space="preserve">We currently have £60,000 budgeted. </w:t>
            </w:r>
          </w:p>
          <w:p w:rsidR="00D05647" w:rsidRDefault="00D05647" w:rsidP="00F5537A"/>
          <w:p w:rsidR="00F5537A" w:rsidRDefault="00187A4A" w:rsidP="00F5537A">
            <w:r>
              <w:t>To deliver</w:t>
            </w:r>
            <w:r w:rsidR="00D05647">
              <w:t xml:space="preserve"> </w:t>
            </w:r>
            <w:r>
              <w:t xml:space="preserve">the maximum number of courses possible for the remainder of 2018/19, we will </w:t>
            </w:r>
            <w:r w:rsidR="00D05647">
              <w:t>spend a total of £</w:t>
            </w:r>
            <w:r w:rsidR="00D05647">
              <w:rPr>
                <w:color w:val="0D0D0D"/>
              </w:rPr>
              <w:t>147,725 in this financial year.  An £87,000 overspend.</w:t>
            </w:r>
          </w:p>
          <w:p w:rsidR="00D173CF" w:rsidRDefault="00D173CF" w:rsidP="00F5537A"/>
        </w:tc>
      </w:tr>
      <w:tr w:rsidR="00F5537A" w:rsidTr="00F5537A">
        <w:tc>
          <w:tcPr>
            <w:tcW w:w="3115" w:type="dxa"/>
          </w:tcPr>
          <w:p w:rsidR="00F5537A" w:rsidRDefault="00F5537A" w:rsidP="00BB6EFF">
            <w:r>
              <w:t>Group Training Centres</w:t>
            </w:r>
          </w:p>
        </w:tc>
        <w:tc>
          <w:tcPr>
            <w:tcW w:w="3116" w:type="dxa"/>
          </w:tcPr>
          <w:p w:rsidR="00F5537A" w:rsidRDefault="00F5537A" w:rsidP="00BB6EFF">
            <w:r>
              <w:t>No</w:t>
            </w:r>
          </w:p>
        </w:tc>
        <w:tc>
          <w:tcPr>
            <w:tcW w:w="3116" w:type="dxa"/>
          </w:tcPr>
          <w:p w:rsidR="00E846B9" w:rsidRDefault="00E846B9" w:rsidP="00E846B9">
            <w:pPr>
              <w:spacing w:line="276" w:lineRule="auto"/>
              <w:jc w:val="both"/>
            </w:pPr>
            <w:r>
              <w:t>Equipment requested is:</w:t>
            </w:r>
          </w:p>
          <w:p w:rsidR="00E846B9" w:rsidRDefault="00E846B9" w:rsidP="00E846B9">
            <w:pPr>
              <w:spacing w:line="276" w:lineRule="auto"/>
              <w:jc w:val="both"/>
            </w:pPr>
          </w:p>
          <w:p w:rsidR="00DA6366" w:rsidRDefault="00DA6366" w:rsidP="00E846B9">
            <w:pPr>
              <w:spacing w:line="276" w:lineRule="auto"/>
              <w:jc w:val="both"/>
            </w:pPr>
            <w:r>
              <w:t>Dam for open water training</w:t>
            </w:r>
          </w:p>
          <w:p w:rsidR="00B556FA" w:rsidRPr="00B556FA" w:rsidRDefault="00B556FA" w:rsidP="00E846B9">
            <w:pPr>
              <w:spacing w:line="276" w:lineRule="auto"/>
              <w:jc w:val="both"/>
              <w:rPr>
                <w:b/>
                <w:bCs/>
                <w:i/>
                <w:smallCaps/>
                <w:lang w:val="en-US"/>
              </w:rPr>
            </w:pPr>
            <w:r w:rsidRPr="00B556FA">
              <w:rPr>
                <w:b/>
                <w:i/>
              </w:rPr>
              <w:t>£2,600 x 6 venues = £15,600</w:t>
            </w:r>
          </w:p>
          <w:p w:rsidR="00DA6366" w:rsidRDefault="00DA6366" w:rsidP="00E846B9">
            <w:pPr>
              <w:spacing w:line="276" w:lineRule="auto"/>
              <w:jc w:val="both"/>
            </w:pPr>
            <w:r>
              <w:t>Dummy for RTC training</w:t>
            </w:r>
            <w:r w:rsidR="00B556FA">
              <w:t xml:space="preserve"> </w:t>
            </w:r>
            <w:r w:rsidR="00B556FA" w:rsidRPr="00B556FA">
              <w:rPr>
                <w:b/>
                <w:i/>
              </w:rPr>
              <w:t>£988 x 6 venues = £5,928</w:t>
            </w:r>
          </w:p>
          <w:p w:rsidR="00B556FA" w:rsidRPr="00E846B9" w:rsidRDefault="00B556FA" w:rsidP="00E846B9">
            <w:pPr>
              <w:spacing w:line="276" w:lineRule="auto"/>
              <w:jc w:val="both"/>
              <w:rPr>
                <w:b/>
                <w:bCs/>
                <w:smallCaps/>
                <w:lang w:val="en-US"/>
              </w:rPr>
            </w:pPr>
          </w:p>
          <w:p w:rsidR="00DA6366" w:rsidRDefault="00DA6366" w:rsidP="00E846B9">
            <w:pPr>
              <w:spacing w:line="276" w:lineRule="auto"/>
              <w:jc w:val="both"/>
            </w:pPr>
            <w:r>
              <w:t>Longboard for RTC training</w:t>
            </w:r>
          </w:p>
          <w:p w:rsidR="00B556FA" w:rsidRDefault="00B556FA" w:rsidP="00E846B9">
            <w:pPr>
              <w:spacing w:line="276" w:lineRule="auto"/>
              <w:jc w:val="both"/>
              <w:rPr>
                <w:b/>
                <w:i/>
              </w:rPr>
            </w:pPr>
            <w:r w:rsidRPr="00B556FA">
              <w:rPr>
                <w:b/>
                <w:i/>
              </w:rPr>
              <w:t>£307 x 6 = £1,842</w:t>
            </w:r>
          </w:p>
          <w:p w:rsidR="00B556FA" w:rsidRPr="00B556FA" w:rsidRDefault="00B556FA" w:rsidP="00E846B9">
            <w:pPr>
              <w:spacing w:line="276" w:lineRule="auto"/>
              <w:jc w:val="both"/>
              <w:rPr>
                <w:b/>
                <w:bCs/>
                <w:i/>
                <w:smallCaps/>
                <w:lang w:val="en-US"/>
              </w:rPr>
            </w:pPr>
          </w:p>
          <w:p w:rsidR="00DA6366" w:rsidRDefault="00DA6366" w:rsidP="00E846B9">
            <w:pPr>
              <w:spacing w:line="276" w:lineRule="auto"/>
              <w:jc w:val="both"/>
            </w:pPr>
            <w:r>
              <w:t>Winching eyes fitted to RTC compounds (except Clacton who already have them)</w:t>
            </w:r>
          </w:p>
          <w:p w:rsidR="00B556FA" w:rsidRPr="00B556FA" w:rsidRDefault="00B556FA" w:rsidP="00E846B9">
            <w:pPr>
              <w:spacing w:line="276" w:lineRule="auto"/>
              <w:jc w:val="both"/>
              <w:rPr>
                <w:b/>
                <w:i/>
              </w:rPr>
            </w:pPr>
            <w:r w:rsidRPr="00B556FA">
              <w:rPr>
                <w:b/>
                <w:i/>
              </w:rPr>
              <w:t>Minimal cost</w:t>
            </w:r>
          </w:p>
          <w:p w:rsidR="00B556FA" w:rsidRPr="00E846B9" w:rsidRDefault="00B556FA" w:rsidP="00E846B9">
            <w:pPr>
              <w:spacing w:line="276" w:lineRule="auto"/>
              <w:jc w:val="both"/>
              <w:rPr>
                <w:b/>
                <w:bCs/>
                <w:smallCaps/>
                <w:lang w:val="en-US"/>
              </w:rPr>
            </w:pPr>
          </w:p>
          <w:p w:rsidR="00DA6366" w:rsidRPr="00E846B9" w:rsidRDefault="00DA6366" w:rsidP="00E846B9">
            <w:pPr>
              <w:spacing w:line="276" w:lineRule="auto"/>
              <w:jc w:val="both"/>
              <w:rPr>
                <w:b/>
                <w:bCs/>
                <w:smallCaps/>
                <w:lang w:val="en-US"/>
              </w:rPr>
            </w:pPr>
            <w:r>
              <w:t>Trauma kits (training only)</w:t>
            </w:r>
          </w:p>
          <w:p w:rsidR="00DA6366" w:rsidRDefault="00DA6366" w:rsidP="00DA6366">
            <w:pPr>
              <w:spacing w:line="276" w:lineRule="auto"/>
              <w:jc w:val="both"/>
              <w:rPr>
                <w:b/>
                <w:bCs/>
                <w:smallCaps/>
                <w:lang w:val="en-US"/>
              </w:rPr>
            </w:pPr>
          </w:p>
          <w:p w:rsidR="00DA6366" w:rsidRDefault="00DA6366" w:rsidP="00DA6366">
            <w:pPr>
              <w:spacing w:line="276" w:lineRule="auto"/>
              <w:jc w:val="both"/>
            </w:pPr>
            <w:r>
              <w:t>The following equipment would be desirable but not essential:</w:t>
            </w:r>
          </w:p>
          <w:p w:rsidR="00E846B9" w:rsidRDefault="00E846B9" w:rsidP="00E846B9">
            <w:pPr>
              <w:spacing w:line="276" w:lineRule="auto"/>
              <w:jc w:val="both"/>
            </w:pPr>
          </w:p>
          <w:p w:rsidR="00DA6366" w:rsidRPr="00E846B9" w:rsidRDefault="00DA6366" w:rsidP="00E846B9">
            <w:pPr>
              <w:spacing w:line="276" w:lineRule="auto"/>
              <w:jc w:val="both"/>
              <w:rPr>
                <w:b/>
                <w:bCs/>
                <w:smallCaps/>
                <w:lang w:val="en-US"/>
              </w:rPr>
            </w:pPr>
            <w:r>
              <w:t>Decontamination Shower</w:t>
            </w:r>
          </w:p>
          <w:p w:rsidR="00DA6366" w:rsidRDefault="00DA6366" w:rsidP="00E846B9">
            <w:pPr>
              <w:spacing w:line="276" w:lineRule="auto"/>
              <w:jc w:val="both"/>
            </w:pPr>
            <w:r>
              <w:t>Gas tight training suits</w:t>
            </w:r>
          </w:p>
          <w:p w:rsidR="00B556FA" w:rsidRDefault="00B556FA" w:rsidP="00E846B9">
            <w:pPr>
              <w:spacing w:line="276" w:lineRule="auto"/>
              <w:jc w:val="both"/>
            </w:pPr>
          </w:p>
          <w:p w:rsidR="00B556FA" w:rsidRDefault="00B556FA" w:rsidP="00E846B9">
            <w:pPr>
              <w:spacing w:line="276" w:lineRule="auto"/>
              <w:jc w:val="both"/>
            </w:pPr>
            <w:r>
              <w:t>Signage and pictures</w:t>
            </w:r>
          </w:p>
          <w:p w:rsidR="00E846B9" w:rsidRPr="00E846B9" w:rsidRDefault="00E846B9" w:rsidP="00E846B9">
            <w:pPr>
              <w:spacing w:line="276" w:lineRule="auto"/>
              <w:jc w:val="both"/>
              <w:rPr>
                <w:b/>
                <w:bCs/>
                <w:smallCaps/>
                <w:lang w:val="en-US"/>
              </w:rPr>
            </w:pPr>
          </w:p>
          <w:p w:rsidR="00F5537A" w:rsidRDefault="00F5537A" w:rsidP="00BB6EFF"/>
        </w:tc>
      </w:tr>
      <w:tr w:rsidR="00F5537A" w:rsidTr="00F5537A">
        <w:tc>
          <w:tcPr>
            <w:tcW w:w="3115" w:type="dxa"/>
          </w:tcPr>
          <w:p w:rsidR="00F5537A" w:rsidRPr="00D173CF" w:rsidRDefault="00D173CF" w:rsidP="00BB6EFF">
            <w:r w:rsidRPr="00D173CF">
              <w:t>L</w:t>
            </w:r>
            <w:r w:rsidRPr="00D173CF">
              <w:rPr>
                <w:iCs/>
              </w:rPr>
              <w:t xml:space="preserve">eadership in the Operational environment </w:t>
            </w:r>
          </w:p>
        </w:tc>
        <w:tc>
          <w:tcPr>
            <w:tcW w:w="3116" w:type="dxa"/>
          </w:tcPr>
          <w:p w:rsidR="00F5537A" w:rsidRDefault="00D173CF" w:rsidP="00BB6EFF">
            <w:r>
              <w:t>No</w:t>
            </w:r>
          </w:p>
        </w:tc>
        <w:tc>
          <w:tcPr>
            <w:tcW w:w="3116" w:type="dxa"/>
          </w:tcPr>
          <w:p w:rsidR="00F5537A" w:rsidRDefault="00D173CF" w:rsidP="00BB6EFF">
            <w:pPr>
              <w:rPr>
                <w:i/>
                <w:iCs/>
              </w:rPr>
            </w:pPr>
            <w:r w:rsidRPr="00D173CF">
              <w:t>This will cost £1,350 per course for 8 people.  Discussion required about how many we would envisage running.</w:t>
            </w:r>
            <w:r>
              <w:rPr>
                <w:i/>
                <w:iCs/>
                <w:highlight w:val="yellow"/>
              </w:rPr>
              <w:t xml:space="preserve"> </w:t>
            </w:r>
          </w:p>
          <w:p w:rsidR="00D173CF" w:rsidRDefault="00D173CF" w:rsidP="00BB6EFF"/>
        </w:tc>
      </w:tr>
      <w:tr w:rsidR="00F5537A" w:rsidTr="00F5537A">
        <w:tc>
          <w:tcPr>
            <w:tcW w:w="3115" w:type="dxa"/>
          </w:tcPr>
          <w:p w:rsidR="00F5537A" w:rsidRDefault="00D173CF" w:rsidP="00BB6EFF">
            <w:r>
              <w:t>TASK</w:t>
            </w:r>
          </w:p>
        </w:tc>
        <w:tc>
          <w:tcPr>
            <w:tcW w:w="3116" w:type="dxa"/>
          </w:tcPr>
          <w:p w:rsidR="00F5537A" w:rsidRDefault="00D173CF" w:rsidP="00BB6EFF">
            <w:r>
              <w:t>No</w:t>
            </w:r>
          </w:p>
          <w:p w:rsidR="00D173CF" w:rsidRDefault="00D173CF" w:rsidP="00BB6EFF"/>
          <w:p w:rsidR="00D173CF" w:rsidRDefault="00D173CF" w:rsidP="00BB6EFF"/>
          <w:p w:rsidR="00D173CF" w:rsidRDefault="00D173CF" w:rsidP="00BB6EFF"/>
          <w:p w:rsidR="00D173CF" w:rsidRDefault="00D173CF" w:rsidP="00BB6EFF"/>
          <w:p w:rsidR="00D173CF" w:rsidRDefault="00D173CF" w:rsidP="00BB6EFF"/>
        </w:tc>
        <w:tc>
          <w:tcPr>
            <w:tcW w:w="3116" w:type="dxa"/>
          </w:tcPr>
          <w:p w:rsidR="00F5537A" w:rsidRDefault="00D173CF" w:rsidP="00D173CF">
            <w:r>
              <w:t>We anticipate cost of getting to a full specification to be up to £10,000 dependent on resource used.  Cost of a system that meets our needs is unknown.</w:t>
            </w:r>
          </w:p>
          <w:p w:rsidR="00D173CF" w:rsidRDefault="00D173CF" w:rsidP="00D173CF"/>
        </w:tc>
      </w:tr>
      <w:tr w:rsidR="00D173CF" w:rsidTr="00F5537A">
        <w:tc>
          <w:tcPr>
            <w:tcW w:w="3115" w:type="dxa"/>
          </w:tcPr>
          <w:p w:rsidR="00D173CF" w:rsidRDefault="00D173CF" w:rsidP="00BB6EFF">
            <w:r>
              <w:t>Talent Pools</w:t>
            </w:r>
          </w:p>
        </w:tc>
        <w:tc>
          <w:tcPr>
            <w:tcW w:w="3116" w:type="dxa"/>
          </w:tcPr>
          <w:p w:rsidR="00D173CF" w:rsidRDefault="00D173CF" w:rsidP="00BB6EFF">
            <w:r>
              <w:t>No</w:t>
            </w:r>
          </w:p>
        </w:tc>
        <w:tc>
          <w:tcPr>
            <w:tcW w:w="3116" w:type="dxa"/>
          </w:tcPr>
          <w:p w:rsidR="00D173CF" w:rsidRDefault="00D173CF" w:rsidP="00D173CF">
            <w:r>
              <w:t>£12,000</w:t>
            </w:r>
          </w:p>
        </w:tc>
      </w:tr>
      <w:tr w:rsidR="00D173CF" w:rsidTr="00F5537A">
        <w:tc>
          <w:tcPr>
            <w:tcW w:w="3115" w:type="dxa"/>
          </w:tcPr>
          <w:p w:rsidR="00D173CF" w:rsidRDefault="00D173CF" w:rsidP="00BB6EFF">
            <w:r>
              <w:t xml:space="preserve">Resources </w:t>
            </w:r>
          </w:p>
        </w:tc>
        <w:tc>
          <w:tcPr>
            <w:tcW w:w="3116" w:type="dxa"/>
          </w:tcPr>
          <w:p w:rsidR="00D173CF" w:rsidRDefault="00D173CF" w:rsidP="00BB6EFF">
            <w:r>
              <w:t>Yes but will be over</w:t>
            </w:r>
          </w:p>
        </w:tc>
        <w:tc>
          <w:tcPr>
            <w:tcW w:w="3116" w:type="dxa"/>
          </w:tcPr>
          <w:p w:rsidR="00D173CF" w:rsidRDefault="00D173CF" w:rsidP="00D173CF">
            <w:r>
              <w:t xml:space="preserve">At our current run rate we will be overspent in this area by £100,000 by year end. </w:t>
            </w:r>
          </w:p>
        </w:tc>
      </w:tr>
    </w:tbl>
    <w:p w:rsidR="00F5537A" w:rsidRDefault="00F5537A" w:rsidP="00BB6EFF"/>
    <w:p w:rsidR="004618FB" w:rsidRDefault="004618FB" w:rsidP="004618FB">
      <w:pPr>
        <w:rPr>
          <w:rFonts w:ascii="Calibri" w:eastAsiaTheme="minorHAnsi" w:hAnsi="Calibri"/>
          <w:color w:val="0D0D0D"/>
          <w:sz w:val="22"/>
          <w:szCs w:val="22"/>
        </w:rPr>
      </w:pPr>
    </w:p>
    <w:p w:rsidR="00BB6EFF" w:rsidRPr="00BB6EFF" w:rsidRDefault="00530432" w:rsidP="00BB6EFF">
      <w:r>
        <w:t xml:space="preserve"> </w:t>
      </w:r>
    </w:p>
    <w:p w:rsidR="00C0492F" w:rsidRDefault="00C0492F" w:rsidP="00F64805">
      <w:pPr>
        <w:pStyle w:val="Heading1"/>
        <w:spacing w:after="0" w:line="600" w:lineRule="auto"/>
      </w:pPr>
      <w:r w:rsidRPr="002E1E94">
        <w:t>Equality and Diversity Implications</w:t>
      </w:r>
    </w:p>
    <w:p w:rsidR="00B14888" w:rsidRDefault="00A30E55" w:rsidP="00B14888">
      <w:r>
        <w:t>If the approaches are agreed, w</w:t>
      </w:r>
      <w:r w:rsidR="00B14888">
        <w:t xml:space="preserve">e need to </w:t>
      </w:r>
      <w:r>
        <w:t xml:space="preserve">go on to </w:t>
      </w:r>
      <w:r w:rsidR="00B14888">
        <w:t>complete an equality impact assessment for each development offering.</w:t>
      </w:r>
    </w:p>
    <w:p w:rsidR="00A30E55" w:rsidRDefault="00A30E55" w:rsidP="00B14888"/>
    <w:p w:rsidR="00A30E55" w:rsidRPr="00B14888" w:rsidRDefault="00A30E55" w:rsidP="00B14888">
      <w:r>
        <w:t xml:space="preserve">We will continue to ensure that all learning and development opportunities are offered with equality of opportunity.  This is ensured through mechanisms such as talent pool and appraisal. </w:t>
      </w:r>
    </w:p>
    <w:p w:rsidR="00756E45" w:rsidRPr="00756E45" w:rsidRDefault="00756E45" w:rsidP="00756E45"/>
    <w:p w:rsidR="00C0492F" w:rsidRDefault="00C0492F" w:rsidP="00F64805">
      <w:pPr>
        <w:pStyle w:val="Heading1"/>
        <w:spacing w:after="0" w:line="600" w:lineRule="auto"/>
      </w:pPr>
      <w:r w:rsidRPr="002E1E94">
        <w:t>Workforce Engagement</w:t>
      </w:r>
    </w:p>
    <w:p w:rsidR="00B14888" w:rsidRDefault="00B14888" w:rsidP="00B14888">
      <w:r>
        <w:t>Once next steps are agreed with Service Leadership Team we need to undertake further engagement with stakeholders to finesse proposal.</w:t>
      </w:r>
      <w:r w:rsidR="00E80B13">
        <w:t xml:space="preserve"> In particular we need to:</w:t>
      </w:r>
    </w:p>
    <w:p w:rsidR="0016231C" w:rsidRDefault="0016231C" w:rsidP="00B14888"/>
    <w:p w:rsidR="00E80B13" w:rsidRDefault="00E80B13" w:rsidP="00E80B13">
      <w:pPr>
        <w:pStyle w:val="ListParagraph"/>
        <w:numPr>
          <w:ilvl w:val="0"/>
          <w:numId w:val="32"/>
        </w:numPr>
      </w:pPr>
      <w:r>
        <w:t>Undertake some communications to re-clarify the service we offer e.g.</w:t>
      </w:r>
    </w:p>
    <w:p w:rsidR="00E80B13" w:rsidRDefault="00E80B13" w:rsidP="00B14888"/>
    <w:p w:rsidR="00E80B13" w:rsidRDefault="00E80B13" w:rsidP="007234A1">
      <w:pPr>
        <w:numPr>
          <w:ilvl w:val="1"/>
          <w:numId w:val="32"/>
        </w:numPr>
        <w:spacing w:after="200" w:line="276" w:lineRule="auto"/>
        <w:rPr>
          <w:i/>
        </w:rPr>
      </w:pPr>
      <w:r w:rsidRPr="00E80B13">
        <w:rPr>
          <w:i/>
        </w:rPr>
        <w:t>Provision of core business and in particular safety critical training (Breathing Apparatus, Command and Control, Driving) and specialist skill areas</w:t>
      </w:r>
    </w:p>
    <w:p w:rsidR="00E80B13" w:rsidRPr="00E80B13" w:rsidRDefault="00E80B13" w:rsidP="007234A1">
      <w:pPr>
        <w:numPr>
          <w:ilvl w:val="1"/>
          <w:numId w:val="32"/>
        </w:numPr>
        <w:spacing w:after="200" w:line="276" w:lineRule="auto"/>
        <w:rPr>
          <w:i/>
        </w:rPr>
      </w:pPr>
      <w:r w:rsidRPr="00E80B13">
        <w:rPr>
          <w:i/>
        </w:rPr>
        <w:t>Provision of wider business skills and leadership and management development</w:t>
      </w:r>
    </w:p>
    <w:p w:rsidR="00E80B13" w:rsidRPr="00E42466" w:rsidRDefault="00E80B13" w:rsidP="00E80B13">
      <w:pPr>
        <w:numPr>
          <w:ilvl w:val="1"/>
          <w:numId w:val="32"/>
        </w:numPr>
        <w:spacing w:after="200" w:line="276" w:lineRule="auto"/>
        <w:rPr>
          <w:i/>
        </w:rPr>
      </w:pPr>
      <w:r w:rsidRPr="00E42466">
        <w:rPr>
          <w:i/>
        </w:rPr>
        <w:t>Delivery of processes to bring in and bring on talent that includes individual professional and aspirational development.</w:t>
      </w:r>
    </w:p>
    <w:p w:rsidR="00E80B13" w:rsidRDefault="00E80B13" w:rsidP="00E80B13">
      <w:pPr>
        <w:pStyle w:val="ListParagraph"/>
        <w:numPr>
          <w:ilvl w:val="0"/>
          <w:numId w:val="32"/>
        </w:numPr>
      </w:pPr>
      <w:r>
        <w:t xml:space="preserve">Publicise our engagement forum further and encourage wider attendance. </w:t>
      </w:r>
    </w:p>
    <w:p w:rsidR="00E80B13" w:rsidRDefault="00E80B13" w:rsidP="00E80B13">
      <w:pPr>
        <w:pStyle w:val="ListParagraph"/>
        <w:numPr>
          <w:ilvl w:val="0"/>
          <w:numId w:val="32"/>
        </w:numPr>
      </w:pPr>
      <w:r>
        <w:t xml:space="preserve">Communicate about our </w:t>
      </w:r>
      <w:r w:rsidR="00B14888">
        <w:t>Steering Group and Panel</w:t>
      </w:r>
      <w:r>
        <w:t xml:space="preserve"> and invite input.</w:t>
      </w:r>
    </w:p>
    <w:p w:rsidR="00B14888" w:rsidRDefault="00E80B13" w:rsidP="00E80B13">
      <w:pPr>
        <w:pStyle w:val="ListParagraph"/>
        <w:numPr>
          <w:ilvl w:val="0"/>
          <w:numId w:val="32"/>
        </w:numPr>
      </w:pPr>
      <w:r>
        <w:t>Celebrate – take opportunities to celebrate real achievements like a</w:t>
      </w:r>
      <w:r w:rsidR="00B14888">
        <w:t xml:space="preserve">ccredited </w:t>
      </w:r>
      <w:r>
        <w:t>training.</w:t>
      </w:r>
    </w:p>
    <w:p w:rsidR="00E80B13" w:rsidRDefault="00E80B13" w:rsidP="00E80B13">
      <w:pPr>
        <w:pStyle w:val="ListParagraph"/>
        <w:numPr>
          <w:ilvl w:val="0"/>
          <w:numId w:val="32"/>
        </w:numPr>
      </w:pPr>
      <w:r>
        <w:t>Report – publish monthly reporting to share what the team are doing and how effective that is.</w:t>
      </w:r>
    </w:p>
    <w:p w:rsidR="00B14888" w:rsidRDefault="00B14888" w:rsidP="00B14888"/>
    <w:p w:rsidR="00C0492F" w:rsidRDefault="00A20145" w:rsidP="00F64805">
      <w:pPr>
        <w:pStyle w:val="Heading1"/>
        <w:spacing w:after="0" w:line="600" w:lineRule="auto"/>
      </w:pPr>
      <w:r>
        <w:t>Legal ImplicationS</w:t>
      </w:r>
    </w:p>
    <w:p w:rsidR="00A57573" w:rsidRDefault="00756E45" w:rsidP="00756E45">
      <w:r w:rsidRPr="00756E45">
        <w:t xml:space="preserve">The Fire Professional Framework (FPF) details nine core operational areas of competence, which are defined in Fire Service National Operational Standards (NOS).  </w:t>
      </w:r>
    </w:p>
    <w:p w:rsidR="00A57573" w:rsidRDefault="00A57573" w:rsidP="00756E45"/>
    <w:p w:rsidR="00756E45" w:rsidRPr="00756E45" w:rsidRDefault="00756E45" w:rsidP="00756E45">
      <w:r w:rsidRPr="00756E45">
        <w:t>Our training offering needs to deliver these:</w:t>
      </w:r>
    </w:p>
    <w:p w:rsidR="00756E45" w:rsidRPr="00756E45" w:rsidRDefault="00756E45" w:rsidP="00756E45">
      <w:pPr>
        <w:pStyle w:val="ListParagraph"/>
        <w:numPr>
          <w:ilvl w:val="0"/>
          <w:numId w:val="34"/>
        </w:numPr>
        <w:spacing w:after="160" w:line="276" w:lineRule="auto"/>
        <w:contextualSpacing/>
        <w:jc w:val="both"/>
      </w:pPr>
      <w:r w:rsidRPr="00756E45">
        <w:t>Driving</w:t>
      </w:r>
    </w:p>
    <w:p w:rsidR="00756E45" w:rsidRPr="00756E45" w:rsidRDefault="00756E45" w:rsidP="00756E45">
      <w:pPr>
        <w:pStyle w:val="ListParagraph"/>
        <w:numPr>
          <w:ilvl w:val="0"/>
          <w:numId w:val="34"/>
        </w:numPr>
        <w:spacing w:after="160" w:line="276" w:lineRule="auto"/>
        <w:contextualSpacing/>
        <w:jc w:val="both"/>
      </w:pPr>
      <w:r w:rsidRPr="00756E45">
        <w:t>Command and Control</w:t>
      </w:r>
    </w:p>
    <w:p w:rsidR="00756E45" w:rsidRPr="00756E45" w:rsidRDefault="00756E45" w:rsidP="00756E45">
      <w:pPr>
        <w:pStyle w:val="ListParagraph"/>
        <w:numPr>
          <w:ilvl w:val="0"/>
          <w:numId w:val="34"/>
        </w:numPr>
        <w:spacing w:after="160" w:line="276" w:lineRule="auto"/>
        <w:contextualSpacing/>
        <w:jc w:val="both"/>
      </w:pPr>
      <w:r w:rsidRPr="00756E45">
        <w:t>Breathing Apparatus</w:t>
      </w:r>
    </w:p>
    <w:p w:rsidR="00756E45" w:rsidRPr="00756E45" w:rsidRDefault="00756E45" w:rsidP="00756E45">
      <w:pPr>
        <w:pStyle w:val="ListParagraph"/>
        <w:numPr>
          <w:ilvl w:val="0"/>
          <w:numId w:val="34"/>
        </w:numPr>
        <w:spacing w:after="160" w:line="276" w:lineRule="auto"/>
        <w:contextualSpacing/>
        <w:jc w:val="both"/>
      </w:pPr>
      <w:r w:rsidRPr="00756E45">
        <w:t>Hazardous Materials</w:t>
      </w:r>
    </w:p>
    <w:p w:rsidR="00756E45" w:rsidRPr="00756E45" w:rsidRDefault="00756E45" w:rsidP="00756E45">
      <w:pPr>
        <w:pStyle w:val="ListParagraph"/>
        <w:numPr>
          <w:ilvl w:val="0"/>
          <w:numId w:val="34"/>
        </w:numPr>
        <w:spacing w:after="160" w:line="276" w:lineRule="auto"/>
        <w:contextualSpacing/>
        <w:jc w:val="both"/>
      </w:pPr>
      <w:r w:rsidRPr="00756E45">
        <w:t>Working at Height</w:t>
      </w:r>
    </w:p>
    <w:p w:rsidR="00756E45" w:rsidRPr="00756E45" w:rsidRDefault="00756E45" w:rsidP="00756E45">
      <w:pPr>
        <w:pStyle w:val="ListParagraph"/>
        <w:numPr>
          <w:ilvl w:val="0"/>
          <w:numId w:val="34"/>
        </w:numPr>
        <w:spacing w:after="160" w:line="276" w:lineRule="auto"/>
        <w:contextualSpacing/>
        <w:jc w:val="both"/>
      </w:pPr>
      <w:r w:rsidRPr="00756E45">
        <w:t>Water Rescue</w:t>
      </w:r>
    </w:p>
    <w:p w:rsidR="00756E45" w:rsidRPr="00756E45" w:rsidRDefault="00756E45" w:rsidP="00756E45">
      <w:pPr>
        <w:pStyle w:val="ListParagraph"/>
        <w:numPr>
          <w:ilvl w:val="0"/>
          <w:numId w:val="34"/>
        </w:numPr>
        <w:spacing w:after="160" w:line="276" w:lineRule="auto"/>
        <w:contextualSpacing/>
        <w:jc w:val="both"/>
      </w:pPr>
      <w:r w:rsidRPr="00756E45">
        <w:t>Fire Service Pumps</w:t>
      </w:r>
    </w:p>
    <w:p w:rsidR="00756E45" w:rsidRPr="00756E45" w:rsidRDefault="00756E45" w:rsidP="00756E45">
      <w:pPr>
        <w:pStyle w:val="ListParagraph"/>
        <w:numPr>
          <w:ilvl w:val="0"/>
          <w:numId w:val="34"/>
        </w:numPr>
        <w:spacing w:after="160" w:line="276" w:lineRule="auto"/>
        <w:contextualSpacing/>
        <w:jc w:val="both"/>
      </w:pPr>
      <w:r w:rsidRPr="00756E45">
        <w:t>Extrication and Rescue</w:t>
      </w:r>
    </w:p>
    <w:p w:rsidR="00756E45" w:rsidRPr="00756E45" w:rsidRDefault="00756E45" w:rsidP="00756E45">
      <w:pPr>
        <w:pStyle w:val="ListParagraph"/>
        <w:numPr>
          <w:ilvl w:val="0"/>
          <w:numId w:val="34"/>
        </w:numPr>
        <w:spacing w:after="160" w:line="276" w:lineRule="auto"/>
        <w:contextualSpacing/>
        <w:jc w:val="both"/>
      </w:pPr>
      <w:r w:rsidRPr="00756E45">
        <w:t>Casualty Care</w:t>
      </w:r>
    </w:p>
    <w:p w:rsidR="00756E45" w:rsidRPr="00756E45" w:rsidRDefault="00756E45" w:rsidP="00756E45">
      <w:pPr>
        <w:spacing w:after="160" w:line="276" w:lineRule="auto"/>
        <w:contextualSpacing/>
        <w:jc w:val="both"/>
      </w:pPr>
      <w:r w:rsidRPr="00756E45">
        <w:t>Ensuring competence in these areas mean that we can deliver the:</w:t>
      </w:r>
    </w:p>
    <w:p w:rsidR="00756E45" w:rsidRDefault="00756E45" w:rsidP="00756E45"/>
    <w:p w:rsidR="00756E45" w:rsidRPr="002169D8" w:rsidRDefault="00756E45" w:rsidP="00756E45">
      <w:pPr>
        <w:pStyle w:val="ListParagraph"/>
        <w:numPr>
          <w:ilvl w:val="0"/>
          <w:numId w:val="33"/>
        </w:numPr>
        <w:spacing w:after="160" w:line="259" w:lineRule="auto"/>
        <w:contextualSpacing/>
      </w:pPr>
      <w:r w:rsidRPr="002169D8">
        <w:t>Fire and Rescue Service Act 2004</w:t>
      </w:r>
    </w:p>
    <w:p w:rsidR="00756E45" w:rsidRDefault="00756E45" w:rsidP="00756E45">
      <w:pPr>
        <w:pStyle w:val="ListParagraph"/>
        <w:numPr>
          <w:ilvl w:val="0"/>
          <w:numId w:val="33"/>
        </w:numPr>
        <w:spacing w:after="160" w:line="259" w:lineRule="auto"/>
        <w:contextualSpacing/>
      </w:pPr>
      <w:r w:rsidRPr="002169D8">
        <w:t>Civil Contingency Act 2004</w:t>
      </w:r>
    </w:p>
    <w:p w:rsidR="005A568A" w:rsidRDefault="005A568A" w:rsidP="00F64805">
      <w:pPr>
        <w:rPr>
          <w:b/>
        </w:rPr>
      </w:pPr>
    </w:p>
    <w:p w:rsidR="00F64805" w:rsidRDefault="00F64805" w:rsidP="00F64805">
      <w:pPr>
        <w:rPr>
          <w:b/>
        </w:rPr>
      </w:pPr>
      <w:r>
        <w:rPr>
          <w:b/>
        </w:rPr>
        <w:t>HEALTH AND SAFETY IMPLICATIONS</w:t>
      </w:r>
    </w:p>
    <w:p w:rsidR="00756E45" w:rsidRDefault="00756E45" w:rsidP="00F64805">
      <w:pPr>
        <w:rPr>
          <w:b/>
        </w:rPr>
      </w:pPr>
    </w:p>
    <w:p w:rsidR="00756E45" w:rsidRDefault="00756E45" w:rsidP="00F64805">
      <w:pPr>
        <w:rPr>
          <w:b/>
        </w:rPr>
      </w:pPr>
    </w:p>
    <w:p w:rsidR="0084294A" w:rsidRPr="002169D8" w:rsidRDefault="0084294A" w:rsidP="0084294A">
      <w:pPr>
        <w:spacing w:after="160" w:line="259" w:lineRule="auto"/>
        <w:contextualSpacing/>
      </w:pPr>
      <w:r w:rsidRPr="00A57573">
        <w:t>It is an employer's duty to protect the health, safety and welfare of their employees and other people who might be affected by their business. We must do whatever is reasonably practicable to achieve this; this includes training</w:t>
      </w:r>
      <w:r>
        <w:rPr>
          <w:sz w:val="19"/>
          <w:szCs w:val="19"/>
        </w:rPr>
        <w:t>.</w:t>
      </w:r>
    </w:p>
    <w:p w:rsidR="00784EB6" w:rsidRDefault="00784EB6" w:rsidP="00F64805"/>
    <w:p w:rsidR="00CC2F7F" w:rsidRDefault="00CC2F7F" w:rsidP="00F64805">
      <w:pPr>
        <w:rPr>
          <w:b/>
        </w:rPr>
      </w:pPr>
    </w:p>
    <w:p w:rsidR="0084294A" w:rsidRDefault="0084294A" w:rsidP="00F64805">
      <w:pPr>
        <w:rPr>
          <w:b/>
        </w:rPr>
      </w:pPr>
    </w:p>
    <w:p w:rsidR="0084294A" w:rsidRDefault="0084294A" w:rsidP="00F64805">
      <w:pPr>
        <w:rPr>
          <w:b/>
        </w:rPr>
      </w:pPr>
    </w:p>
    <w:p w:rsidR="0084294A" w:rsidRDefault="0084294A" w:rsidP="00F64805">
      <w:pPr>
        <w:rPr>
          <w:b/>
        </w:rPr>
      </w:pPr>
    </w:p>
    <w:p w:rsidR="00CC2F7F" w:rsidRDefault="000737A1" w:rsidP="00F64805">
      <w:pPr>
        <w:rPr>
          <w:b/>
        </w:rPr>
      </w:pPr>
      <w:r>
        <w:rPr>
          <w:b/>
        </w:rPr>
        <w:t>Appendix 1 – L&amp;D Commitments and Principles</w:t>
      </w:r>
    </w:p>
    <w:p w:rsidR="000737A1" w:rsidRDefault="000737A1" w:rsidP="00F64805">
      <w:pPr>
        <w:rPr>
          <w:b/>
        </w:rPr>
      </w:pPr>
    </w:p>
    <w:p w:rsidR="000737A1" w:rsidRDefault="000737A1" w:rsidP="00F64805">
      <w:pPr>
        <w:rPr>
          <w:b/>
        </w:rPr>
      </w:pPr>
    </w:p>
    <w:p w:rsidR="000737A1" w:rsidRPr="00B42A74" w:rsidRDefault="000737A1" w:rsidP="000737A1">
      <w:pPr>
        <w:pStyle w:val="ListParagraph"/>
        <w:numPr>
          <w:ilvl w:val="0"/>
          <w:numId w:val="26"/>
        </w:numPr>
        <w:spacing w:after="160" w:line="259" w:lineRule="auto"/>
        <w:contextualSpacing/>
        <w:rPr>
          <w:b/>
        </w:rPr>
      </w:pPr>
      <w:r w:rsidRPr="00B42A74">
        <w:rPr>
          <w:b/>
        </w:rPr>
        <w:t xml:space="preserve">We are always professional </w:t>
      </w:r>
    </w:p>
    <w:p w:rsidR="000737A1" w:rsidRDefault="000737A1" w:rsidP="000737A1">
      <w:pPr>
        <w:pStyle w:val="ListParagraph"/>
        <w:numPr>
          <w:ilvl w:val="1"/>
          <w:numId w:val="26"/>
        </w:numPr>
        <w:rPr>
          <w:rFonts w:ascii="Calibri" w:hAnsi="Calibri" w:cs="Times New Roman"/>
          <w:color w:val="0D0D0D"/>
          <w:sz w:val="22"/>
          <w:szCs w:val="22"/>
        </w:rPr>
      </w:pPr>
      <w:r>
        <w:rPr>
          <w:color w:val="0D0D0D"/>
        </w:rPr>
        <w:t>We act as role models, representing the function and the Service in a professional and positive way and demonstrating at all times the Service Values.</w:t>
      </w:r>
    </w:p>
    <w:p w:rsidR="000737A1" w:rsidRDefault="000737A1" w:rsidP="000737A1">
      <w:pPr>
        <w:pStyle w:val="ListParagraph"/>
        <w:numPr>
          <w:ilvl w:val="1"/>
          <w:numId w:val="26"/>
        </w:numPr>
        <w:spacing w:after="160" w:line="259" w:lineRule="auto"/>
        <w:contextualSpacing/>
      </w:pPr>
      <w:r>
        <w:t>We will seek to meet the development needs of our colleagues as identified in their Personal Annual Reviews and through skills gap analysis</w:t>
      </w:r>
    </w:p>
    <w:p w:rsidR="000737A1" w:rsidRDefault="000737A1" w:rsidP="000737A1">
      <w:pPr>
        <w:pStyle w:val="ListParagraph"/>
        <w:numPr>
          <w:ilvl w:val="1"/>
          <w:numId w:val="26"/>
        </w:numPr>
        <w:spacing w:after="160" w:line="259" w:lineRule="auto"/>
        <w:contextualSpacing/>
      </w:pPr>
      <w:r>
        <w:t>We will offer professional assurance through our quality assurance process.</w:t>
      </w:r>
    </w:p>
    <w:p w:rsidR="000737A1" w:rsidRDefault="000737A1" w:rsidP="000737A1">
      <w:pPr>
        <w:pStyle w:val="ListParagraph"/>
        <w:numPr>
          <w:ilvl w:val="1"/>
          <w:numId w:val="26"/>
        </w:numPr>
        <w:spacing w:after="160" w:line="259" w:lineRule="auto"/>
        <w:contextualSpacing/>
      </w:pPr>
      <w:r>
        <w:t>We will seek to offer external accreditation to our courses where this is practicable.</w:t>
      </w:r>
    </w:p>
    <w:p w:rsidR="000737A1" w:rsidRPr="00EC01E0" w:rsidRDefault="000737A1" w:rsidP="000737A1">
      <w:pPr>
        <w:pStyle w:val="ListParagraph"/>
        <w:numPr>
          <w:ilvl w:val="1"/>
          <w:numId w:val="26"/>
        </w:numPr>
        <w:spacing w:after="160" w:line="259" w:lineRule="auto"/>
        <w:contextualSpacing/>
      </w:pPr>
      <w:r w:rsidRPr="00EC01E0">
        <w:t>We will ensure that we are compliant with all mandatory training needs</w:t>
      </w:r>
      <w:r>
        <w:t>.</w:t>
      </w:r>
    </w:p>
    <w:p w:rsidR="000737A1" w:rsidRDefault="000737A1" w:rsidP="000737A1">
      <w:pPr>
        <w:pStyle w:val="ListParagraph"/>
        <w:spacing w:after="160" w:line="259" w:lineRule="auto"/>
        <w:ind w:left="1440"/>
        <w:contextualSpacing/>
      </w:pPr>
    </w:p>
    <w:p w:rsidR="000737A1" w:rsidRPr="00B42A74" w:rsidRDefault="000737A1" w:rsidP="000737A1">
      <w:pPr>
        <w:pStyle w:val="ListParagraph"/>
        <w:numPr>
          <w:ilvl w:val="0"/>
          <w:numId w:val="26"/>
        </w:numPr>
        <w:spacing w:after="160" w:line="259" w:lineRule="auto"/>
        <w:contextualSpacing/>
        <w:rPr>
          <w:b/>
        </w:rPr>
      </w:pPr>
      <w:r w:rsidRPr="00B42A74">
        <w:rPr>
          <w:b/>
        </w:rPr>
        <w:t>We are courageous</w:t>
      </w:r>
    </w:p>
    <w:p w:rsidR="000737A1" w:rsidRDefault="000737A1" w:rsidP="000737A1">
      <w:pPr>
        <w:pStyle w:val="ListParagraph"/>
        <w:numPr>
          <w:ilvl w:val="1"/>
          <w:numId w:val="26"/>
        </w:numPr>
        <w:spacing w:after="160" w:line="259" w:lineRule="auto"/>
        <w:contextualSpacing/>
      </w:pPr>
      <w:r>
        <w:t xml:space="preserve">We will create a </w:t>
      </w:r>
      <w:r w:rsidRPr="00EC01E0">
        <w:t xml:space="preserve">training environment where it is ok to fail and </w:t>
      </w:r>
      <w:r>
        <w:t>a</w:t>
      </w:r>
      <w:r w:rsidRPr="00EC01E0">
        <w:t>cknowledge that failing well is sometimes part of developing</w:t>
      </w:r>
      <w:r>
        <w:t>.</w:t>
      </w:r>
    </w:p>
    <w:p w:rsidR="000737A1" w:rsidRDefault="000737A1" w:rsidP="000737A1">
      <w:pPr>
        <w:pStyle w:val="ListParagraph"/>
        <w:numPr>
          <w:ilvl w:val="1"/>
          <w:numId w:val="26"/>
        </w:numPr>
        <w:spacing w:after="160" w:line="259" w:lineRule="auto"/>
        <w:contextualSpacing/>
      </w:pPr>
      <w:r w:rsidRPr="00EC01E0">
        <w:t>We will seek out stretching development opportunities that meet the needs of the Service</w:t>
      </w:r>
      <w:r>
        <w:t>.</w:t>
      </w:r>
    </w:p>
    <w:p w:rsidR="000737A1" w:rsidRDefault="000737A1" w:rsidP="000737A1">
      <w:pPr>
        <w:pStyle w:val="ListParagraph"/>
        <w:numPr>
          <w:ilvl w:val="1"/>
          <w:numId w:val="26"/>
        </w:numPr>
        <w:spacing w:after="160" w:line="259" w:lineRule="auto"/>
        <w:contextualSpacing/>
      </w:pPr>
      <w:r>
        <w:t>We will provide both motivational and developmental feedback.</w:t>
      </w:r>
    </w:p>
    <w:p w:rsidR="000737A1" w:rsidRDefault="000737A1" w:rsidP="000737A1">
      <w:pPr>
        <w:pStyle w:val="ListParagraph"/>
        <w:ind w:left="1440"/>
      </w:pPr>
    </w:p>
    <w:p w:rsidR="000737A1" w:rsidRPr="00B42A74" w:rsidRDefault="000737A1" w:rsidP="000737A1">
      <w:pPr>
        <w:pStyle w:val="ListParagraph"/>
        <w:numPr>
          <w:ilvl w:val="0"/>
          <w:numId w:val="26"/>
        </w:numPr>
        <w:spacing w:after="160" w:line="259" w:lineRule="auto"/>
        <w:contextualSpacing/>
        <w:rPr>
          <w:b/>
        </w:rPr>
      </w:pPr>
      <w:r w:rsidRPr="00B42A74">
        <w:rPr>
          <w:b/>
        </w:rPr>
        <w:t>We are #OneTeam</w:t>
      </w:r>
    </w:p>
    <w:p w:rsidR="000737A1" w:rsidRDefault="000737A1" w:rsidP="000737A1">
      <w:pPr>
        <w:pStyle w:val="ListParagraph"/>
        <w:numPr>
          <w:ilvl w:val="1"/>
          <w:numId w:val="26"/>
        </w:numPr>
        <w:spacing w:after="160" w:line="259" w:lineRule="auto"/>
        <w:contextualSpacing/>
      </w:pPr>
      <w:r>
        <w:t>Will create opportunities for colleagues and collaborative partners to learn from each other.</w:t>
      </w:r>
    </w:p>
    <w:p w:rsidR="000737A1" w:rsidRDefault="000737A1" w:rsidP="000737A1">
      <w:pPr>
        <w:pStyle w:val="ListParagraph"/>
        <w:numPr>
          <w:ilvl w:val="1"/>
          <w:numId w:val="26"/>
        </w:numPr>
        <w:spacing w:after="160" w:line="259" w:lineRule="auto"/>
        <w:contextualSpacing/>
      </w:pPr>
      <w:r>
        <w:t>We will use incident and case debriefs to learn and inform our development offerings.</w:t>
      </w:r>
    </w:p>
    <w:p w:rsidR="000737A1" w:rsidRDefault="000737A1" w:rsidP="000737A1">
      <w:pPr>
        <w:pStyle w:val="ListParagraph"/>
        <w:numPr>
          <w:ilvl w:val="1"/>
          <w:numId w:val="26"/>
        </w:numPr>
        <w:spacing w:after="160" w:line="259" w:lineRule="auto"/>
        <w:contextualSpacing/>
      </w:pPr>
      <w:r>
        <w:t>We will work as OneTeam to provide feedback and coaching opportunities.</w:t>
      </w:r>
    </w:p>
    <w:p w:rsidR="000737A1" w:rsidRDefault="000737A1" w:rsidP="000737A1">
      <w:pPr>
        <w:pStyle w:val="ListParagraph"/>
        <w:numPr>
          <w:ilvl w:val="1"/>
          <w:numId w:val="26"/>
        </w:numPr>
        <w:spacing w:after="160" w:line="259" w:lineRule="auto"/>
        <w:contextualSpacing/>
      </w:pPr>
      <w:r>
        <w:t>We will seek to grow multi-skilled trainers and facilitators who work across a range of disciplines e.g. BA, Ladders and Pumps, Leadership skills</w:t>
      </w:r>
    </w:p>
    <w:p w:rsidR="000737A1" w:rsidRDefault="000737A1" w:rsidP="000737A1">
      <w:pPr>
        <w:pStyle w:val="ListParagraph"/>
        <w:numPr>
          <w:ilvl w:val="1"/>
          <w:numId w:val="26"/>
        </w:numPr>
        <w:spacing w:after="160" w:line="259" w:lineRule="auto"/>
        <w:contextualSpacing/>
      </w:pPr>
      <w:r>
        <w:t>We will work collaboratively with our stakeholders to create and identify development solutions and opportunities</w:t>
      </w:r>
    </w:p>
    <w:p w:rsidR="000737A1" w:rsidRDefault="000737A1" w:rsidP="000737A1">
      <w:pPr>
        <w:pStyle w:val="ListParagraph"/>
        <w:ind w:left="1440"/>
      </w:pPr>
    </w:p>
    <w:p w:rsidR="000737A1" w:rsidRPr="00B42A74" w:rsidRDefault="000737A1" w:rsidP="000737A1">
      <w:pPr>
        <w:pStyle w:val="ListParagraph"/>
        <w:numPr>
          <w:ilvl w:val="0"/>
          <w:numId w:val="26"/>
        </w:numPr>
        <w:spacing w:after="160" w:line="259" w:lineRule="auto"/>
        <w:contextualSpacing/>
        <w:rPr>
          <w:b/>
        </w:rPr>
      </w:pPr>
      <w:r w:rsidRPr="00B42A74">
        <w:rPr>
          <w:b/>
        </w:rPr>
        <w:t>We value the contribution of all</w:t>
      </w:r>
    </w:p>
    <w:p w:rsidR="000737A1" w:rsidRDefault="000737A1" w:rsidP="000737A1">
      <w:pPr>
        <w:pStyle w:val="ListParagraph"/>
        <w:numPr>
          <w:ilvl w:val="1"/>
          <w:numId w:val="26"/>
        </w:numPr>
        <w:spacing w:after="160" w:line="259" w:lineRule="auto"/>
        <w:contextualSpacing/>
      </w:pPr>
      <w:r>
        <w:t>We will create a Steering Group and  Advisory Group so that we can hear and value the contribution of all</w:t>
      </w:r>
    </w:p>
    <w:p w:rsidR="000737A1" w:rsidRDefault="000737A1" w:rsidP="000737A1">
      <w:pPr>
        <w:pStyle w:val="ListParagraph"/>
        <w:numPr>
          <w:ilvl w:val="1"/>
          <w:numId w:val="26"/>
        </w:numPr>
        <w:spacing w:after="160" w:line="259" w:lineRule="auto"/>
        <w:contextualSpacing/>
      </w:pPr>
      <w:r>
        <w:t>We will strive to communicate in a way that can be heard</w:t>
      </w:r>
    </w:p>
    <w:p w:rsidR="000737A1" w:rsidRDefault="000737A1" w:rsidP="000737A1">
      <w:pPr>
        <w:pStyle w:val="ListParagraph"/>
        <w:numPr>
          <w:ilvl w:val="1"/>
          <w:numId w:val="26"/>
        </w:numPr>
        <w:spacing w:after="160" w:line="259" w:lineRule="auto"/>
        <w:contextualSpacing/>
      </w:pPr>
      <w:r>
        <w:t>We will work to ensure that employees have tailor made development plans</w:t>
      </w:r>
    </w:p>
    <w:p w:rsidR="000737A1" w:rsidRDefault="000737A1" w:rsidP="000737A1">
      <w:pPr>
        <w:pStyle w:val="ListParagraph"/>
        <w:numPr>
          <w:ilvl w:val="1"/>
          <w:numId w:val="26"/>
        </w:numPr>
        <w:spacing w:after="160" w:line="259" w:lineRule="auto"/>
        <w:contextualSpacing/>
      </w:pPr>
      <w:r>
        <w:t>We will use course feedback and evaluations to develop our offering.</w:t>
      </w:r>
    </w:p>
    <w:p w:rsidR="000737A1" w:rsidRDefault="000737A1" w:rsidP="000737A1">
      <w:pPr>
        <w:pStyle w:val="ListParagraph"/>
        <w:numPr>
          <w:ilvl w:val="1"/>
          <w:numId w:val="26"/>
        </w:numPr>
        <w:spacing w:after="160" w:line="259" w:lineRule="auto"/>
        <w:contextualSpacing/>
      </w:pPr>
      <w:r>
        <w:t>We will create opportunities to celebrate the achievements of our colleagues</w:t>
      </w:r>
    </w:p>
    <w:p w:rsidR="000737A1" w:rsidRDefault="000737A1" w:rsidP="000737A1">
      <w:pPr>
        <w:pStyle w:val="ListParagraph"/>
        <w:ind w:left="1440"/>
      </w:pPr>
    </w:p>
    <w:p w:rsidR="000737A1" w:rsidRPr="00B42A74" w:rsidRDefault="000737A1" w:rsidP="000737A1">
      <w:pPr>
        <w:pStyle w:val="ListParagraph"/>
        <w:numPr>
          <w:ilvl w:val="0"/>
          <w:numId w:val="26"/>
        </w:numPr>
        <w:spacing w:after="160" w:line="259" w:lineRule="auto"/>
        <w:contextualSpacing/>
        <w:rPr>
          <w:b/>
        </w:rPr>
      </w:pPr>
      <w:r w:rsidRPr="00B42A74">
        <w:rPr>
          <w:b/>
        </w:rPr>
        <w:t>We are open, honest and trustworthy</w:t>
      </w:r>
    </w:p>
    <w:p w:rsidR="000737A1" w:rsidRDefault="000737A1" w:rsidP="000737A1">
      <w:pPr>
        <w:pStyle w:val="ListParagraph"/>
        <w:numPr>
          <w:ilvl w:val="1"/>
          <w:numId w:val="26"/>
        </w:numPr>
        <w:spacing w:after="160" w:line="259" w:lineRule="auto"/>
        <w:contextualSpacing/>
      </w:pPr>
      <w:r>
        <w:t>We will enable and empower employees to undertake development opportunities.</w:t>
      </w:r>
    </w:p>
    <w:p w:rsidR="000737A1" w:rsidRDefault="000737A1" w:rsidP="000737A1">
      <w:pPr>
        <w:pStyle w:val="ListParagraph"/>
        <w:numPr>
          <w:ilvl w:val="1"/>
          <w:numId w:val="26"/>
        </w:numPr>
        <w:spacing w:after="160" w:line="259" w:lineRule="auto"/>
        <w:contextualSpacing/>
      </w:pPr>
      <w:r>
        <w:t>We will invite external scrutiny through external verification.</w:t>
      </w:r>
    </w:p>
    <w:p w:rsidR="000737A1" w:rsidRDefault="000737A1" w:rsidP="000737A1">
      <w:pPr>
        <w:pStyle w:val="ListParagraph"/>
        <w:numPr>
          <w:ilvl w:val="1"/>
          <w:numId w:val="26"/>
        </w:numPr>
        <w:spacing w:after="160" w:line="259" w:lineRule="auto"/>
        <w:contextualSpacing/>
      </w:pPr>
      <w:r>
        <w:t>We will report to SLT and P&amp;R Board our activity and outcomes on a quarterly basis</w:t>
      </w:r>
    </w:p>
    <w:p w:rsidR="000737A1" w:rsidRDefault="000737A1" w:rsidP="000737A1">
      <w:pPr>
        <w:pStyle w:val="ListParagraph"/>
        <w:numPr>
          <w:ilvl w:val="1"/>
          <w:numId w:val="26"/>
        </w:numPr>
        <w:spacing w:after="160" w:line="259" w:lineRule="auto"/>
        <w:contextualSpacing/>
      </w:pPr>
      <w:r>
        <w:t>We will create an environment where open and honest feedback is encouraged through our steering group, advisory group, Your Voice forum, pulse surveys, evaluation and feedback requests.</w:t>
      </w:r>
    </w:p>
    <w:p w:rsidR="000737A1" w:rsidRDefault="000737A1" w:rsidP="000737A1"/>
    <w:p w:rsidR="005A568A" w:rsidRDefault="005A568A">
      <w:pPr>
        <w:rPr>
          <w:b/>
        </w:rPr>
      </w:pPr>
      <w:r>
        <w:rPr>
          <w:b/>
        </w:rPr>
        <w:br w:type="page"/>
      </w:r>
    </w:p>
    <w:p w:rsidR="008A76BC" w:rsidRPr="00CC2F7F" w:rsidRDefault="000737A1" w:rsidP="00F64805">
      <w:pPr>
        <w:rPr>
          <w:b/>
        </w:rPr>
      </w:pPr>
      <w:r>
        <w:rPr>
          <w:b/>
        </w:rPr>
        <w:t>Appendix 2</w:t>
      </w:r>
      <w:r w:rsidR="002A26B2" w:rsidRPr="00CC2F7F">
        <w:rPr>
          <w:b/>
        </w:rPr>
        <w:t xml:space="preserve"> – L&amp;D </w:t>
      </w:r>
      <w:r w:rsidR="00CC2F7F" w:rsidRPr="00CC2F7F">
        <w:rPr>
          <w:b/>
        </w:rPr>
        <w:t>Priorities</w:t>
      </w:r>
    </w:p>
    <w:p w:rsidR="008A76BC" w:rsidRDefault="008A76BC" w:rsidP="00F64805"/>
    <w:tbl>
      <w:tblPr>
        <w:tblStyle w:val="TableGrid"/>
        <w:tblW w:w="0" w:type="auto"/>
        <w:tblLook w:val="04A0" w:firstRow="1" w:lastRow="0" w:firstColumn="1" w:lastColumn="0" w:noHBand="0" w:noVBand="1"/>
      </w:tblPr>
      <w:tblGrid>
        <w:gridCol w:w="3050"/>
        <w:gridCol w:w="3039"/>
        <w:gridCol w:w="1409"/>
        <w:gridCol w:w="1846"/>
      </w:tblGrid>
      <w:tr w:rsidR="008A76BC" w:rsidTr="00A77398">
        <w:tc>
          <w:tcPr>
            <w:tcW w:w="2847" w:type="dxa"/>
            <w:shd w:val="clear" w:color="auto" w:fill="D5DCE4" w:themeFill="text2" w:themeFillTint="33"/>
          </w:tcPr>
          <w:p w:rsidR="008A76BC" w:rsidRPr="00297596" w:rsidRDefault="008A76BC" w:rsidP="00A77398">
            <w:pPr>
              <w:rPr>
                <w:b/>
              </w:rPr>
            </w:pPr>
            <w:r w:rsidRPr="00297596">
              <w:rPr>
                <w:b/>
              </w:rPr>
              <w:t>Priority</w:t>
            </w:r>
          </w:p>
        </w:tc>
        <w:tc>
          <w:tcPr>
            <w:tcW w:w="2868" w:type="dxa"/>
            <w:shd w:val="clear" w:color="auto" w:fill="D5DCE4" w:themeFill="text2" w:themeFillTint="33"/>
          </w:tcPr>
          <w:p w:rsidR="008A76BC" w:rsidRPr="00297596" w:rsidRDefault="008A76BC" w:rsidP="00A77398">
            <w:pPr>
              <w:rPr>
                <w:b/>
              </w:rPr>
            </w:pPr>
            <w:r w:rsidRPr="00297596">
              <w:rPr>
                <w:b/>
              </w:rPr>
              <w:t>Action</w:t>
            </w:r>
          </w:p>
        </w:tc>
        <w:tc>
          <w:tcPr>
            <w:tcW w:w="1536" w:type="dxa"/>
            <w:shd w:val="clear" w:color="auto" w:fill="D5DCE4" w:themeFill="text2" w:themeFillTint="33"/>
          </w:tcPr>
          <w:p w:rsidR="008A76BC" w:rsidRPr="00297596" w:rsidRDefault="008A76BC" w:rsidP="00A77398">
            <w:pPr>
              <w:rPr>
                <w:b/>
              </w:rPr>
            </w:pPr>
            <w:r w:rsidRPr="00297596">
              <w:rPr>
                <w:b/>
              </w:rPr>
              <w:t>Owner</w:t>
            </w:r>
          </w:p>
        </w:tc>
        <w:tc>
          <w:tcPr>
            <w:tcW w:w="1765" w:type="dxa"/>
            <w:shd w:val="clear" w:color="auto" w:fill="D5DCE4" w:themeFill="text2" w:themeFillTint="33"/>
          </w:tcPr>
          <w:p w:rsidR="008A76BC" w:rsidRPr="00297596" w:rsidRDefault="008A76BC" w:rsidP="00A77398">
            <w:pPr>
              <w:rPr>
                <w:b/>
              </w:rPr>
            </w:pPr>
            <w:r w:rsidRPr="00297596">
              <w:rPr>
                <w:b/>
              </w:rPr>
              <w:t>Date</w:t>
            </w:r>
          </w:p>
        </w:tc>
      </w:tr>
      <w:tr w:rsidR="008A76BC" w:rsidTr="00A77398">
        <w:tc>
          <w:tcPr>
            <w:tcW w:w="2847" w:type="dxa"/>
          </w:tcPr>
          <w:p w:rsidR="008A76BC" w:rsidRDefault="008A76BC" w:rsidP="00A77398"/>
          <w:p w:rsidR="008A76BC" w:rsidRDefault="008A76BC" w:rsidP="00A77398">
            <w:r>
              <w:t>Identify risk critical operational training and required budget</w:t>
            </w:r>
          </w:p>
          <w:p w:rsidR="008A76BC" w:rsidRDefault="008A76BC" w:rsidP="00A77398"/>
        </w:tc>
        <w:tc>
          <w:tcPr>
            <w:tcW w:w="2868" w:type="dxa"/>
          </w:tcPr>
          <w:p w:rsidR="008A76BC" w:rsidRDefault="008A76BC" w:rsidP="00A77398"/>
          <w:p w:rsidR="008A76BC" w:rsidRDefault="008A76BC" w:rsidP="00A77398">
            <w:r>
              <w:t>Each Station Manager to put forward the training they believe is risk critical and the budget required to deliver this.</w:t>
            </w:r>
          </w:p>
          <w:p w:rsidR="008A76BC" w:rsidRDefault="008A76BC" w:rsidP="00A77398"/>
          <w:p w:rsidR="008A76BC" w:rsidRDefault="008A76BC" w:rsidP="00A77398">
            <w:pPr>
              <w:rPr>
                <w:color w:val="0D0D0D"/>
              </w:rPr>
            </w:pPr>
            <w:r>
              <w:rPr>
                <w:color w:val="0D0D0D"/>
              </w:rPr>
              <w:t>What do we need to include around specialisms such as ALP / Water / Swift Water / MTFA.</w:t>
            </w:r>
          </w:p>
          <w:p w:rsidR="008A76BC" w:rsidRDefault="008A76BC" w:rsidP="00A77398">
            <w:pPr>
              <w:rPr>
                <w:color w:val="0D0D0D"/>
              </w:rPr>
            </w:pPr>
          </w:p>
          <w:p w:rsidR="008A76BC" w:rsidRDefault="008A76BC" w:rsidP="00A77398">
            <w:r>
              <w:rPr>
                <w:color w:val="0D0D0D"/>
              </w:rPr>
              <w:t>Are there  emerging factors such as HazMat, knowledge around NILO role, Essex Police risks (Knife defence was an item mentioned) Terrorism / radicalisation that we need to include?</w:t>
            </w:r>
          </w:p>
          <w:p w:rsidR="008A76BC" w:rsidRDefault="008A76BC" w:rsidP="00A77398"/>
        </w:tc>
        <w:tc>
          <w:tcPr>
            <w:tcW w:w="1536" w:type="dxa"/>
          </w:tcPr>
          <w:p w:rsidR="008A76BC" w:rsidRDefault="008A76BC" w:rsidP="00A77398"/>
          <w:p w:rsidR="008A76BC" w:rsidRDefault="008A76BC" w:rsidP="00A77398">
            <w:r>
              <w:t>Mark Huggins with Station Managers</w:t>
            </w:r>
          </w:p>
        </w:tc>
        <w:tc>
          <w:tcPr>
            <w:tcW w:w="1765" w:type="dxa"/>
          </w:tcPr>
          <w:p w:rsidR="008A76BC" w:rsidRDefault="008A76BC" w:rsidP="00A77398"/>
          <w:p w:rsidR="008A76BC" w:rsidRDefault="00297596" w:rsidP="00A77398">
            <w:r>
              <w:t>Ongoing - TBC</w:t>
            </w:r>
          </w:p>
        </w:tc>
      </w:tr>
      <w:tr w:rsidR="008A76BC" w:rsidTr="00CC2F7F">
        <w:trPr>
          <w:trHeight w:val="2556"/>
        </w:trPr>
        <w:tc>
          <w:tcPr>
            <w:tcW w:w="2847" w:type="dxa"/>
          </w:tcPr>
          <w:p w:rsidR="008A76BC" w:rsidRDefault="008A76BC" w:rsidP="00A77398">
            <w:r>
              <w:t>Apprenticeship for Fire fighters</w:t>
            </w:r>
          </w:p>
        </w:tc>
        <w:tc>
          <w:tcPr>
            <w:tcW w:w="2868" w:type="dxa"/>
          </w:tcPr>
          <w:p w:rsidR="008A76BC" w:rsidRDefault="008A76BC" w:rsidP="00A77398">
            <w:r>
              <w:t>Achieve employer provider status so that we can draw down on the apprenticeship levy to fund our existing fire-fighter training.  Delivers cost saving of £144,000 in January 2019</w:t>
            </w:r>
          </w:p>
        </w:tc>
        <w:tc>
          <w:tcPr>
            <w:tcW w:w="1536" w:type="dxa"/>
          </w:tcPr>
          <w:p w:rsidR="008A76BC" w:rsidRDefault="008A76BC" w:rsidP="00A77398">
            <w:r>
              <w:t>Mark Huggins (MH) with Trevor Hearn</w:t>
            </w:r>
          </w:p>
        </w:tc>
        <w:tc>
          <w:tcPr>
            <w:tcW w:w="1765" w:type="dxa"/>
          </w:tcPr>
          <w:p w:rsidR="00297596" w:rsidRDefault="008A76BC" w:rsidP="00A77398">
            <w:r>
              <w:t>September 2018 –</w:t>
            </w:r>
          </w:p>
          <w:p w:rsidR="00297596" w:rsidRDefault="00297596" w:rsidP="00A77398"/>
          <w:p w:rsidR="008A76BC" w:rsidRDefault="008A76BC" w:rsidP="00A77398">
            <w:r>
              <w:t xml:space="preserve">Employer Provider </w:t>
            </w:r>
            <w:r w:rsidR="00297596">
              <w:t xml:space="preserve">or Partner Provider by </w:t>
            </w:r>
          </w:p>
          <w:p w:rsidR="008A76BC" w:rsidRDefault="00297596" w:rsidP="00A77398">
            <w:r>
              <w:t xml:space="preserve">January 2019 </w:t>
            </w:r>
          </w:p>
          <w:p w:rsidR="00297596" w:rsidRDefault="00297596" w:rsidP="00A77398"/>
          <w:p w:rsidR="008A76BC" w:rsidRDefault="008A76BC" w:rsidP="00A77398">
            <w:r>
              <w:t>Start drawing down</w:t>
            </w:r>
            <w:r w:rsidR="00297596">
              <w:t xml:space="preserve"> January 2019</w:t>
            </w:r>
          </w:p>
          <w:p w:rsidR="00297596" w:rsidRDefault="00297596" w:rsidP="00A77398"/>
        </w:tc>
      </w:tr>
      <w:tr w:rsidR="008A76BC" w:rsidTr="00A77398">
        <w:tc>
          <w:tcPr>
            <w:tcW w:w="2847" w:type="dxa"/>
          </w:tcPr>
          <w:p w:rsidR="008A76BC" w:rsidRDefault="008A76BC" w:rsidP="00A77398">
            <w:r>
              <w:t>Fire Safety Visits an</w:t>
            </w:r>
            <w:r w:rsidR="00CC2F7F">
              <w:t>d</w:t>
            </w:r>
            <w:r>
              <w:t xml:space="preserve"> technical Fire Safety </w:t>
            </w:r>
          </w:p>
        </w:tc>
        <w:tc>
          <w:tcPr>
            <w:tcW w:w="2868" w:type="dxa"/>
          </w:tcPr>
          <w:p w:rsidR="008A76BC" w:rsidRDefault="008A76BC" w:rsidP="00A77398">
            <w:pPr>
              <w:rPr>
                <w:iCs/>
                <w:color w:val="0D0D0D"/>
              </w:rPr>
            </w:pPr>
            <w:r w:rsidRPr="004C656F">
              <w:rPr>
                <w:iCs/>
                <w:color w:val="0D0D0D"/>
              </w:rPr>
              <w:t>The initial and on-going delivery of wholescale Technical Fire safety, Community Safety activity and Safeguarding training to all station based/operational  personnel regardless of duty system</w:t>
            </w:r>
          </w:p>
          <w:p w:rsidR="008A76BC" w:rsidRDefault="008A76BC" w:rsidP="00A77398">
            <w:pPr>
              <w:rPr>
                <w:iCs/>
                <w:color w:val="0D0D0D"/>
              </w:rPr>
            </w:pPr>
          </w:p>
          <w:p w:rsidR="008A76BC" w:rsidRPr="004C656F" w:rsidRDefault="008A76BC" w:rsidP="00A77398">
            <w:r w:rsidRPr="004C656F">
              <w:t xml:space="preserve">Proposal which identifies what service wide training may be required as a result of Hackett recommendations. </w:t>
            </w:r>
          </w:p>
          <w:p w:rsidR="008A76BC" w:rsidRPr="004C656F" w:rsidRDefault="008A76BC" w:rsidP="00A77398"/>
        </w:tc>
        <w:tc>
          <w:tcPr>
            <w:tcW w:w="1536" w:type="dxa"/>
          </w:tcPr>
          <w:p w:rsidR="008A76BC" w:rsidRDefault="008A76BC" w:rsidP="00A77398">
            <w:r>
              <w:t>New Group Manager</w:t>
            </w:r>
          </w:p>
        </w:tc>
        <w:tc>
          <w:tcPr>
            <w:tcW w:w="1765" w:type="dxa"/>
          </w:tcPr>
          <w:p w:rsidR="008A76BC" w:rsidRDefault="008A76BC" w:rsidP="00A77398">
            <w:r>
              <w:t>TBC</w:t>
            </w:r>
          </w:p>
        </w:tc>
      </w:tr>
      <w:tr w:rsidR="008A76BC" w:rsidTr="00A77398">
        <w:tc>
          <w:tcPr>
            <w:tcW w:w="2847" w:type="dxa"/>
          </w:tcPr>
          <w:p w:rsidR="008A76BC" w:rsidRDefault="008A76BC" w:rsidP="00A77398">
            <w:r>
              <w:t>Group Training Centres</w:t>
            </w:r>
            <w:r w:rsidR="00CC2F7F">
              <w:t xml:space="preserve"> and Wethersfield </w:t>
            </w:r>
          </w:p>
          <w:p w:rsidR="008A76BC" w:rsidRDefault="008A76BC" w:rsidP="00A77398">
            <w:r>
              <w:t>(previously known as Operational Hubs)</w:t>
            </w:r>
          </w:p>
        </w:tc>
        <w:tc>
          <w:tcPr>
            <w:tcW w:w="2868" w:type="dxa"/>
          </w:tcPr>
          <w:p w:rsidR="008A76BC" w:rsidRDefault="008A76BC" w:rsidP="00A77398">
            <w:r>
              <w:t>Identify actions required for each hub to begin functioning has a hub.</w:t>
            </w:r>
          </w:p>
          <w:p w:rsidR="008A76BC" w:rsidRDefault="008A76BC" w:rsidP="00A77398"/>
          <w:p w:rsidR="008A76BC" w:rsidRDefault="008A76BC" w:rsidP="00A77398">
            <w:r>
              <w:t>Proposal paper for SLT</w:t>
            </w:r>
          </w:p>
          <w:p w:rsidR="008A76BC" w:rsidRDefault="008A76BC" w:rsidP="00A77398"/>
          <w:p w:rsidR="008A76BC" w:rsidRDefault="008A76BC" w:rsidP="00A77398">
            <w:r>
              <w:t xml:space="preserve">Hubs operational as a </w:t>
            </w:r>
            <w:r w:rsidR="00297596">
              <w:t xml:space="preserve">soft launch </w:t>
            </w:r>
            <w:r>
              <w:t xml:space="preserve">phase 1 ahead of potential premises investment. </w:t>
            </w:r>
          </w:p>
          <w:p w:rsidR="008A76BC" w:rsidRDefault="008A76BC" w:rsidP="00A77398"/>
        </w:tc>
        <w:tc>
          <w:tcPr>
            <w:tcW w:w="1536" w:type="dxa"/>
          </w:tcPr>
          <w:p w:rsidR="008A76BC" w:rsidRDefault="008A76BC" w:rsidP="00A77398">
            <w:r>
              <w:t>Al Green</w:t>
            </w:r>
          </w:p>
        </w:tc>
        <w:tc>
          <w:tcPr>
            <w:tcW w:w="1765" w:type="dxa"/>
          </w:tcPr>
          <w:p w:rsidR="008A76BC" w:rsidRDefault="008A76BC" w:rsidP="00A77398">
            <w:r>
              <w:t>30 July 2018</w:t>
            </w:r>
          </w:p>
          <w:p w:rsidR="008A76BC" w:rsidRDefault="008A76BC" w:rsidP="00A77398"/>
          <w:p w:rsidR="008A76BC" w:rsidRDefault="008A76BC" w:rsidP="00A77398">
            <w:r>
              <w:t>13 August 2018</w:t>
            </w:r>
          </w:p>
          <w:p w:rsidR="008A76BC" w:rsidRDefault="008A76BC" w:rsidP="00A77398"/>
          <w:p w:rsidR="00297596" w:rsidRDefault="00297596" w:rsidP="00A77398"/>
          <w:p w:rsidR="008A76BC" w:rsidRDefault="008A76BC" w:rsidP="00A77398">
            <w:r>
              <w:t>October 2018</w:t>
            </w:r>
          </w:p>
        </w:tc>
      </w:tr>
      <w:tr w:rsidR="008A76BC" w:rsidTr="00A77398">
        <w:tc>
          <w:tcPr>
            <w:tcW w:w="2847" w:type="dxa"/>
          </w:tcPr>
          <w:p w:rsidR="008A76BC" w:rsidRDefault="008A76BC" w:rsidP="00A77398">
            <w:r>
              <w:t>Core Hours ‘go live’</w:t>
            </w:r>
          </w:p>
        </w:tc>
        <w:tc>
          <w:tcPr>
            <w:tcW w:w="2868" w:type="dxa"/>
          </w:tcPr>
          <w:p w:rsidR="008A76BC" w:rsidRDefault="008A76BC" w:rsidP="00A77398">
            <w:r>
              <w:t xml:space="preserve">We have identified the core hours required for our on call firefighters to maintain their competence.  </w:t>
            </w:r>
          </w:p>
          <w:p w:rsidR="008A76BC" w:rsidRDefault="008A76BC" w:rsidP="00A77398"/>
          <w:p w:rsidR="008A76BC" w:rsidRDefault="008A76BC" w:rsidP="00A77398">
            <w:r>
              <w:t>Proposal requiring the contractual change required for this to happen is required. Suggest that we go in several phases; volunteers first.</w:t>
            </w:r>
          </w:p>
          <w:p w:rsidR="008A76BC" w:rsidRDefault="008A76BC" w:rsidP="00A77398"/>
        </w:tc>
        <w:tc>
          <w:tcPr>
            <w:tcW w:w="1536" w:type="dxa"/>
          </w:tcPr>
          <w:p w:rsidR="008A76BC" w:rsidRDefault="008A76BC" w:rsidP="00A77398">
            <w:r>
              <w:t>Mark Huggins with Sally Froment</w:t>
            </w:r>
          </w:p>
        </w:tc>
        <w:tc>
          <w:tcPr>
            <w:tcW w:w="1765" w:type="dxa"/>
          </w:tcPr>
          <w:p w:rsidR="008A76BC" w:rsidRDefault="008A76BC" w:rsidP="00A77398"/>
          <w:p w:rsidR="008A76BC" w:rsidRDefault="008A76BC" w:rsidP="00A77398">
            <w:r>
              <w:t xml:space="preserve">Proposal about how we achieve to be submitted by </w:t>
            </w:r>
            <w:r w:rsidR="00297596">
              <w:t xml:space="preserve">October </w:t>
            </w:r>
            <w:r>
              <w:t>2018</w:t>
            </w:r>
          </w:p>
          <w:p w:rsidR="008A76BC" w:rsidRDefault="008A76BC" w:rsidP="00A77398"/>
          <w:p w:rsidR="008A76BC" w:rsidRDefault="008A76BC" w:rsidP="00A77398">
            <w:r>
              <w:t xml:space="preserve">Seek </w:t>
            </w:r>
            <w:r w:rsidR="00297596">
              <w:t xml:space="preserve">first phase </w:t>
            </w:r>
            <w:r>
              <w:t>volunteers by 1 January 2019</w:t>
            </w:r>
          </w:p>
          <w:p w:rsidR="008A76BC" w:rsidRDefault="008A76BC" w:rsidP="00A77398"/>
          <w:p w:rsidR="008A76BC" w:rsidRDefault="008A76BC" w:rsidP="00297596">
            <w:r>
              <w:t xml:space="preserve">Final ‘go live’ </w:t>
            </w:r>
            <w:r w:rsidR="00297596">
              <w:t xml:space="preserve">by December </w:t>
            </w:r>
            <w:r>
              <w:t>2019</w:t>
            </w:r>
          </w:p>
        </w:tc>
      </w:tr>
      <w:tr w:rsidR="008A76BC" w:rsidTr="00A77398">
        <w:tc>
          <w:tcPr>
            <w:tcW w:w="2847" w:type="dxa"/>
          </w:tcPr>
          <w:p w:rsidR="008A76BC" w:rsidRDefault="008A76BC" w:rsidP="00A77398">
            <w:pPr>
              <w:jc w:val="center"/>
            </w:pPr>
            <w:r>
              <w:t>Station based watch managers as assessors – provision of materials/guidance/packages of support/train the trainer sessions to develop watch manager confidence in their role</w:t>
            </w:r>
          </w:p>
        </w:tc>
        <w:tc>
          <w:tcPr>
            <w:tcW w:w="2868" w:type="dxa"/>
          </w:tcPr>
          <w:p w:rsidR="008A76BC" w:rsidRDefault="008A76BC" w:rsidP="00A77398">
            <w:r>
              <w:t>Identify resource to achieve</w:t>
            </w:r>
          </w:p>
        </w:tc>
        <w:tc>
          <w:tcPr>
            <w:tcW w:w="1536" w:type="dxa"/>
          </w:tcPr>
          <w:p w:rsidR="008A76BC" w:rsidRDefault="008A76BC" w:rsidP="00A77398">
            <w:r>
              <w:t>New Group Manager</w:t>
            </w:r>
          </w:p>
        </w:tc>
        <w:tc>
          <w:tcPr>
            <w:tcW w:w="1765" w:type="dxa"/>
          </w:tcPr>
          <w:p w:rsidR="008A76BC" w:rsidRDefault="008A76BC" w:rsidP="00A77398">
            <w:r>
              <w:t>Resource to be identified by 8 September 2018.</w:t>
            </w:r>
          </w:p>
          <w:p w:rsidR="008A76BC" w:rsidRDefault="008A76BC" w:rsidP="00A77398"/>
          <w:p w:rsidR="008A76BC" w:rsidRDefault="008A76BC" w:rsidP="00A77398">
            <w:r>
              <w:t>Project plan with some early deliverables to be completed by 30 September 2018.</w:t>
            </w:r>
          </w:p>
        </w:tc>
      </w:tr>
      <w:tr w:rsidR="008A76BC" w:rsidTr="00A77398">
        <w:tc>
          <w:tcPr>
            <w:tcW w:w="2847" w:type="dxa"/>
          </w:tcPr>
          <w:p w:rsidR="008A76BC" w:rsidRDefault="008A76BC" w:rsidP="00A77398">
            <w:r>
              <w:t>TASK – what do we need it to do?</w:t>
            </w:r>
          </w:p>
        </w:tc>
        <w:tc>
          <w:tcPr>
            <w:tcW w:w="2868" w:type="dxa"/>
          </w:tcPr>
          <w:p w:rsidR="008A76BC" w:rsidRDefault="008A76BC" w:rsidP="00A77398">
            <w:r>
              <w:t>Recruit a fixed term business analyst to work with stakeholders create a specification detailing what we need a training record system to do.</w:t>
            </w:r>
          </w:p>
          <w:p w:rsidR="008A76BC" w:rsidRDefault="008A76BC" w:rsidP="00A77398"/>
          <w:p w:rsidR="008A76BC" w:rsidRDefault="008A76BC" w:rsidP="00A77398">
            <w:r>
              <w:t xml:space="preserve">Create a proposal about development or replacement of TASK.  </w:t>
            </w:r>
          </w:p>
          <w:p w:rsidR="008A76BC" w:rsidRDefault="008A76BC" w:rsidP="00A77398"/>
          <w:p w:rsidR="008A76BC" w:rsidRDefault="008A76BC" w:rsidP="00A77398">
            <w:pPr>
              <w:rPr>
                <w:color w:val="0D0D0D"/>
              </w:rPr>
            </w:pPr>
            <w:r>
              <w:t>Incorporate in proposal</w:t>
            </w:r>
            <w:r>
              <w:rPr>
                <w:color w:val="0D0D0D"/>
              </w:rPr>
              <w:t xml:space="preserve"> reliable and correct dates and recording mechanism of competencies for station-based staff such as BA / ICV / Driving, work alongside station managers.</w:t>
            </w:r>
          </w:p>
          <w:p w:rsidR="008A76BC" w:rsidRDefault="008A76BC" w:rsidP="00A77398"/>
        </w:tc>
        <w:tc>
          <w:tcPr>
            <w:tcW w:w="1536" w:type="dxa"/>
          </w:tcPr>
          <w:p w:rsidR="008A76BC" w:rsidRDefault="008A76BC" w:rsidP="00A77398">
            <w:r>
              <w:t>Claire Budgen with a business analyst resource</w:t>
            </w:r>
          </w:p>
        </w:tc>
        <w:tc>
          <w:tcPr>
            <w:tcW w:w="1765" w:type="dxa"/>
          </w:tcPr>
          <w:p w:rsidR="008A76BC" w:rsidRDefault="008A76BC" w:rsidP="00A77398">
            <w:pPr>
              <w:jc w:val="center"/>
            </w:pPr>
            <w:r>
              <w:t>.</w:t>
            </w:r>
          </w:p>
          <w:p w:rsidR="008A76BC" w:rsidRDefault="008A76BC" w:rsidP="00A77398">
            <w:pPr>
              <w:jc w:val="center"/>
            </w:pPr>
          </w:p>
          <w:p w:rsidR="008A76BC" w:rsidRDefault="008A76BC" w:rsidP="00A77398">
            <w:pPr>
              <w:jc w:val="center"/>
            </w:pPr>
            <w:r>
              <w:t xml:space="preserve">Specification completed by 1 December. </w:t>
            </w:r>
          </w:p>
          <w:p w:rsidR="008A76BC" w:rsidRDefault="008A76BC" w:rsidP="00A77398">
            <w:pPr>
              <w:jc w:val="center"/>
            </w:pPr>
          </w:p>
          <w:p w:rsidR="008A76BC" w:rsidRDefault="008A76BC" w:rsidP="00A77398">
            <w:pPr>
              <w:jc w:val="center"/>
            </w:pPr>
            <w:r>
              <w:t xml:space="preserve">Proposal by 1 January </w:t>
            </w:r>
          </w:p>
        </w:tc>
      </w:tr>
      <w:tr w:rsidR="008A76BC" w:rsidTr="00A77398">
        <w:tc>
          <w:tcPr>
            <w:tcW w:w="2847" w:type="dxa"/>
          </w:tcPr>
          <w:p w:rsidR="008A76BC" w:rsidRDefault="008A76BC" w:rsidP="00A77398">
            <w:r>
              <w:t>Stakeholder engagement and ownership of development function</w:t>
            </w:r>
          </w:p>
        </w:tc>
        <w:tc>
          <w:tcPr>
            <w:tcW w:w="2868" w:type="dxa"/>
          </w:tcPr>
          <w:p w:rsidR="008A76BC" w:rsidRDefault="008A76BC" w:rsidP="00A77398">
            <w:r>
              <w:t>Create Learning and Development Steering Group and Learning and Development Panel.  These are ways of hearing our key stakeholders and stakeholders owning and directing the service being offered.</w:t>
            </w:r>
          </w:p>
          <w:p w:rsidR="008A76BC" w:rsidRDefault="008A76BC" w:rsidP="00A77398"/>
        </w:tc>
        <w:tc>
          <w:tcPr>
            <w:tcW w:w="1536" w:type="dxa"/>
          </w:tcPr>
          <w:p w:rsidR="008A76BC" w:rsidRDefault="008A76BC" w:rsidP="00A77398">
            <w:r>
              <w:t xml:space="preserve">Claire Budgen to co-ordinate.  </w:t>
            </w:r>
          </w:p>
          <w:p w:rsidR="008A76BC" w:rsidRDefault="008A76BC" w:rsidP="00A77398"/>
          <w:p w:rsidR="008A76BC" w:rsidRDefault="008A76BC" w:rsidP="00A77398">
            <w:r>
              <w:t>Chairperson for Panel – Claire B.</w:t>
            </w:r>
          </w:p>
          <w:p w:rsidR="008A76BC" w:rsidRDefault="008A76BC" w:rsidP="00A77398"/>
          <w:p w:rsidR="008A76BC" w:rsidRDefault="008A76BC" w:rsidP="00A77398">
            <w:r>
              <w:t>Chairperson for Steering Group – Colette Black</w:t>
            </w:r>
          </w:p>
          <w:p w:rsidR="008A76BC" w:rsidRDefault="008A76BC" w:rsidP="00A77398"/>
        </w:tc>
        <w:tc>
          <w:tcPr>
            <w:tcW w:w="1765" w:type="dxa"/>
          </w:tcPr>
          <w:p w:rsidR="008A76BC" w:rsidRDefault="008A76BC" w:rsidP="00A77398">
            <w:r>
              <w:t xml:space="preserve">Group to be identified and ‘recruited’ by 31 August 2018 with a view to holding first meeting in September. </w:t>
            </w:r>
          </w:p>
          <w:p w:rsidR="008A76BC" w:rsidRDefault="008A76BC" w:rsidP="00A77398"/>
        </w:tc>
      </w:tr>
      <w:tr w:rsidR="008A76BC" w:rsidTr="00A77398">
        <w:tc>
          <w:tcPr>
            <w:tcW w:w="2847" w:type="dxa"/>
          </w:tcPr>
          <w:p w:rsidR="008A76BC" w:rsidRDefault="008A76BC" w:rsidP="00A77398">
            <w:r>
              <w:t>Provide Assurance</w:t>
            </w:r>
          </w:p>
          <w:p w:rsidR="008A76BC" w:rsidRDefault="008A76BC" w:rsidP="00A77398"/>
          <w:p w:rsidR="008A76BC" w:rsidRDefault="008A76BC" w:rsidP="00A77398"/>
        </w:tc>
        <w:tc>
          <w:tcPr>
            <w:tcW w:w="2868" w:type="dxa"/>
          </w:tcPr>
          <w:p w:rsidR="008A76BC" w:rsidRDefault="008A76BC" w:rsidP="00A77398">
            <w:r>
              <w:t xml:space="preserve">Provide monthly reporting for 6 months, decreasing to quarterly once confidence gained.  Reporting to include compliance against mandatory and risk critical training, quality assurance and standardisation feedback, course evaluation, cost per head/return on investment, attendance compliance, use of talent pool. </w:t>
            </w:r>
          </w:p>
          <w:p w:rsidR="008A76BC" w:rsidRDefault="008A76BC" w:rsidP="00A77398"/>
        </w:tc>
        <w:tc>
          <w:tcPr>
            <w:tcW w:w="1536" w:type="dxa"/>
          </w:tcPr>
          <w:p w:rsidR="008A76BC" w:rsidRDefault="008A76BC" w:rsidP="00A77398">
            <w:r>
              <w:t>Claire Budgen with input from Mark Huggins and Vicki Howells</w:t>
            </w:r>
          </w:p>
        </w:tc>
        <w:tc>
          <w:tcPr>
            <w:tcW w:w="1765" w:type="dxa"/>
          </w:tcPr>
          <w:p w:rsidR="008A76BC" w:rsidRDefault="008A76BC" w:rsidP="00A77398">
            <w:r>
              <w:t xml:space="preserve">Template report to be created by 1 </w:t>
            </w:r>
            <w:r w:rsidR="00297596">
              <w:t xml:space="preserve">October </w:t>
            </w:r>
            <w:r>
              <w:t>2018.</w:t>
            </w:r>
          </w:p>
          <w:p w:rsidR="008A76BC" w:rsidRDefault="008A76BC" w:rsidP="00A77398"/>
          <w:p w:rsidR="008A76BC" w:rsidRDefault="008A76BC" w:rsidP="00A77398">
            <w:r>
              <w:t xml:space="preserve">First full report </w:t>
            </w:r>
            <w:r w:rsidR="00297596">
              <w:t>October</w:t>
            </w:r>
            <w:r>
              <w:t xml:space="preserve"> 2018 for presentation at SLT and P&amp;R boards in October.</w:t>
            </w:r>
          </w:p>
          <w:p w:rsidR="008A76BC" w:rsidRDefault="008A76BC" w:rsidP="00A77398"/>
        </w:tc>
      </w:tr>
      <w:tr w:rsidR="008A76BC" w:rsidTr="00A77398">
        <w:tc>
          <w:tcPr>
            <w:tcW w:w="2847" w:type="dxa"/>
          </w:tcPr>
          <w:p w:rsidR="008A76BC" w:rsidRDefault="008A76BC" w:rsidP="00A77398">
            <w:r>
              <w:t>Talent pool development to our next phase</w:t>
            </w:r>
          </w:p>
          <w:p w:rsidR="008A76BC" w:rsidRDefault="008A76BC" w:rsidP="00A77398"/>
        </w:tc>
        <w:tc>
          <w:tcPr>
            <w:tcW w:w="2868" w:type="dxa"/>
          </w:tcPr>
          <w:p w:rsidR="008A76BC" w:rsidRDefault="008A76BC" w:rsidP="00A77398">
            <w:r>
              <w:t>Review of our talent pool process after 18 months.</w:t>
            </w:r>
          </w:p>
          <w:p w:rsidR="008A76BC" w:rsidRDefault="008A76BC" w:rsidP="00A77398"/>
          <w:p w:rsidR="008A76BC" w:rsidRPr="00BF5AEF" w:rsidRDefault="008A76BC" w:rsidP="00A77398">
            <w:pPr>
              <w:rPr>
                <w:color w:val="0D0D0D"/>
              </w:rPr>
            </w:pPr>
            <w:r w:rsidRPr="00BF5AEF">
              <w:rPr>
                <w:b/>
                <w:color w:val="0D0D0D"/>
              </w:rPr>
              <w:t>92%</w:t>
            </w:r>
            <w:r w:rsidRPr="00BF5AEF">
              <w:rPr>
                <w:color w:val="0D0D0D"/>
              </w:rPr>
              <w:t xml:space="preserve"> would recommend the Talent Pool process to colleagues</w:t>
            </w:r>
          </w:p>
          <w:p w:rsidR="008A76BC" w:rsidRPr="00BF5AEF" w:rsidRDefault="008A76BC" w:rsidP="00A77398">
            <w:pPr>
              <w:rPr>
                <w:color w:val="0D0D0D"/>
              </w:rPr>
            </w:pPr>
            <w:r w:rsidRPr="00BF5AEF">
              <w:rPr>
                <w:b/>
                <w:color w:val="0D0D0D"/>
              </w:rPr>
              <w:t>97%</w:t>
            </w:r>
            <w:r w:rsidRPr="00BF5AEF">
              <w:rPr>
                <w:color w:val="0D0D0D"/>
              </w:rPr>
              <w:t xml:space="preserve"> have taken the opportunity for individual feedback with an assessor</w:t>
            </w:r>
          </w:p>
          <w:p w:rsidR="008A76BC" w:rsidRDefault="008A76BC" w:rsidP="00A77398"/>
          <w:p w:rsidR="008A76BC" w:rsidRDefault="008A76BC" w:rsidP="00A77398">
            <w:r>
              <w:t>We are clear there are ‘next steps’ including the launch of development pathways and there are areas that need to enter another phase e.g. how we use PQAs and line managers sign off.</w:t>
            </w:r>
          </w:p>
          <w:p w:rsidR="008A76BC" w:rsidRDefault="008A76BC" w:rsidP="00A77398"/>
          <w:p w:rsidR="008A76BC" w:rsidRDefault="008A76BC" w:rsidP="00A77398">
            <w:r>
              <w:rPr>
                <w:color w:val="0D0D0D"/>
              </w:rPr>
              <w:t xml:space="preserve">Explore how we manage talent pool with role specific processes.  </w:t>
            </w:r>
          </w:p>
          <w:p w:rsidR="008A76BC" w:rsidRDefault="008A76BC" w:rsidP="00A77398"/>
        </w:tc>
        <w:tc>
          <w:tcPr>
            <w:tcW w:w="1536" w:type="dxa"/>
          </w:tcPr>
          <w:p w:rsidR="008A76BC" w:rsidRDefault="008A76BC" w:rsidP="00A77398">
            <w:r>
              <w:t xml:space="preserve">Vicki Howells </w:t>
            </w:r>
          </w:p>
        </w:tc>
        <w:tc>
          <w:tcPr>
            <w:tcW w:w="1765" w:type="dxa"/>
          </w:tcPr>
          <w:p w:rsidR="008A76BC" w:rsidRDefault="008A76BC" w:rsidP="00A77398">
            <w:r>
              <w:t>Stakeholder views to be gathered by 1 August 2018.</w:t>
            </w:r>
          </w:p>
          <w:p w:rsidR="008A76BC" w:rsidRDefault="008A76BC" w:rsidP="00A77398"/>
          <w:p w:rsidR="008A76BC" w:rsidRDefault="008A76BC" w:rsidP="00A77398">
            <w:r>
              <w:t>Proposal for the next phase of talent pool to be completed by 1 September for presentation at SLT.</w:t>
            </w:r>
          </w:p>
        </w:tc>
      </w:tr>
      <w:tr w:rsidR="008A76BC" w:rsidTr="00A77398">
        <w:tc>
          <w:tcPr>
            <w:tcW w:w="2847" w:type="dxa"/>
          </w:tcPr>
          <w:p w:rsidR="008A76BC" w:rsidRDefault="008A76BC" w:rsidP="00A77398">
            <w:r>
              <w:t>Collaboration with partners</w:t>
            </w:r>
          </w:p>
          <w:p w:rsidR="008A76BC" w:rsidRDefault="008A76BC" w:rsidP="00A77398"/>
          <w:p w:rsidR="008A76BC" w:rsidRDefault="008A76BC" w:rsidP="00A77398"/>
        </w:tc>
        <w:tc>
          <w:tcPr>
            <w:tcW w:w="2868" w:type="dxa"/>
          </w:tcPr>
          <w:p w:rsidR="008A76BC" w:rsidRDefault="008A76BC" w:rsidP="00A77398">
            <w:r>
              <w:t xml:space="preserve">Review areas where we can deliver collaboratively.  </w:t>
            </w:r>
          </w:p>
          <w:p w:rsidR="008A76BC" w:rsidRDefault="008A76BC" w:rsidP="00A77398"/>
          <w:p w:rsidR="008A76BC" w:rsidRDefault="008A76BC" w:rsidP="00A77398">
            <w:r>
              <w:t xml:space="preserve">There are areas of success already e.g. JESIP and Gold Command.  </w:t>
            </w:r>
          </w:p>
          <w:p w:rsidR="008A76BC" w:rsidRDefault="008A76BC" w:rsidP="00A77398"/>
          <w:p w:rsidR="008A76BC" w:rsidRDefault="008A76BC" w:rsidP="00A77398">
            <w:r>
              <w:t xml:space="preserve">Focus on building these and some early wins e.g. classroom sharing. </w:t>
            </w:r>
          </w:p>
          <w:p w:rsidR="008A76BC" w:rsidRDefault="008A76BC" w:rsidP="00A77398"/>
          <w:p w:rsidR="008A76BC" w:rsidRDefault="008A76BC" w:rsidP="00A77398">
            <w:r>
              <w:t>Create an update paper with recommendations.</w:t>
            </w:r>
          </w:p>
          <w:p w:rsidR="008A76BC" w:rsidRDefault="008A76BC" w:rsidP="00A77398"/>
        </w:tc>
        <w:tc>
          <w:tcPr>
            <w:tcW w:w="1536" w:type="dxa"/>
          </w:tcPr>
          <w:p w:rsidR="008A76BC" w:rsidRDefault="008A76BC" w:rsidP="00A77398">
            <w:r>
              <w:t xml:space="preserve">Mark Huggins alongside police colleague once identified. </w:t>
            </w:r>
          </w:p>
        </w:tc>
        <w:tc>
          <w:tcPr>
            <w:tcW w:w="1765" w:type="dxa"/>
          </w:tcPr>
          <w:p w:rsidR="008A76BC" w:rsidRDefault="008A76BC" w:rsidP="00A77398">
            <w:r>
              <w:t>Update paper with recommendation by end of September 2018.</w:t>
            </w:r>
          </w:p>
        </w:tc>
      </w:tr>
      <w:tr w:rsidR="008A76BC" w:rsidTr="00A77398">
        <w:tc>
          <w:tcPr>
            <w:tcW w:w="2847" w:type="dxa"/>
          </w:tcPr>
          <w:p w:rsidR="008A76BC" w:rsidRDefault="008A76BC" w:rsidP="00A77398">
            <w:r>
              <w:t>Associate trainer model</w:t>
            </w:r>
          </w:p>
        </w:tc>
        <w:tc>
          <w:tcPr>
            <w:tcW w:w="2868" w:type="dxa"/>
          </w:tcPr>
          <w:p w:rsidR="008A76BC" w:rsidRDefault="008A76BC" w:rsidP="00A77398">
            <w:r>
              <w:t>Create a proposal outlining how we could recruit and develop associate trainers to who are able to deliver training at a local level when on duty.</w:t>
            </w:r>
          </w:p>
          <w:p w:rsidR="008A76BC" w:rsidRDefault="008A76BC" w:rsidP="00A77398"/>
        </w:tc>
        <w:tc>
          <w:tcPr>
            <w:tcW w:w="1536" w:type="dxa"/>
          </w:tcPr>
          <w:p w:rsidR="008A76BC" w:rsidRDefault="008A76BC" w:rsidP="00A77398">
            <w:r>
              <w:t>New Group Manager.</w:t>
            </w:r>
          </w:p>
        </w:tc>
        <w:tc>
          <w:tcPr>
            <w:tcW w:w="1765" w:type="dxa"/>
          </w:tcPr>
          <w:p w:rsidR="008A76BC" w:rsidRDefault="00297596" w:rsidP="00A77398">
            <w:r>
              <w:t>TBC</w:t>
            </w:r>
          </w:p>
        </w:tc>
      </w:tr>
      <w:tr w:rsidR="008A76BC" w:rsidTr="00A77398">
        <w:tc>
          <w:tcPr>
            <w:tcW w:w="2847" w:type="dxa"/>
          </w:tcPr>
          <w:p w:rsidR="008A76BC" w:rsidRDefault="008A76BC" w:rsidP="00A77398">
            <w:r>
              <w:t>Watch Manager/Crew Manager development evenings</w:t>
            </w:r>
          </w:p>
          <w:p w:rsidR="008A76BC" w:rsidRDefault="008A76BC" w:rsidP="00A77398"/>
        </w:tc>
        <w:tc>
          <w:tcPr>
            <w:tcW w:w="2868" w:type="dxa"/>
          </w:tcPr>
          <w:p w:rsidR="008A76BC" w:rsidRDefault="008A76BC" w:rsidP="00A77398">
            <w:r>
              <w:t>Principle of reinstating these evenings has been agreed.</w:t>
            </w:r>
          </w:p>
          <w:p w:rsidR="008A76BC" w:rsidRDefault="008A76BC" w:rsidP="00A77398"/>
          <w:p w:rsidR="008A76BC" w:rsidRDefault="008A76BC" w:rsidP="00A77398">
            <w:r>
              <w:t>Need a plan which includes;</w:t>
            </w:r>
          </w:p>
          <w:p w:rsidR="008A76BC" w:rsidRDefault="008A76BC" w:rsidP="00A77398"/>
          <w:p w:rsidR="008A76BC" w:rsidRDefault="008A76BC" w:rsidP="00A77398">
            <w:r>
              <w:t>Development needs – what need have been identified and how?</w:t>
            </w:r>
          </w:p>
          <w:p w:rsidR="008A76BC" w:rsidRDefault="008A76BC" w:rsidP="00A77398">
            <w:r>
              <w:t>Stakeholder views – how do stakeholders want these to run?</w:t>
            </w:r>
          </w:p>
          <w:p w:rsidR="008A76BC" w:rsidRDefault="008A76BC" w:rsidP="00A77398">
            <w:r>
              <w:t xml:space="preserve">Resourcing – how can we resource these? </w:t>
            </w:r>
          </w:p>
          <w:p w:rsidR="008A76BC" w:rsidRDefault="008A76BC" w:rsidP="00A77398"/>
          <w:p w:rsidR="008A76BC" w:rsidRDefault="008A76BC" w:rsidP="00A77398">
            <w:r>
              <w:t>Are these specific for operational colleagues or is there some ‘read across’ for equivalent level support staff for some sessions– should we explore?</w:t>
            </w:r>
          </w:p>
          <w:p w:rsidR="008A76BC" w:rsidRDefault="008A76BC" w:rsidP="00A77398"/>
        </w:tc>
        <w:tc>
          <w:tcPr>
            <w:tcW w:w="1536" w:type="dxa"/>
          </w:tcPr>
          <w:p w:rsidR="008A76BC" w:rsidRDefault="008A76BC" w:rsidP="00A77398">
            <w:r>
              <w:t>Mark Huggins but further resource to be identified.</w:t>
            </w:r>
          </w:p>
        </w:tc>
        <w:tc>
          <w:tcPr>
            <w:tcW w:w="1765" w:type="dxa"/>
          </w:tcPr>
          <w:p w:rsidR="008A76BC" w:rsidRDefault="00297596" w:rsidP="00A77398">
            <w:r>
              <w:t>TBC</w:t>
            </w:r>
          </w:p>
        </w:tc>
      </w:tr>
      <w:tr w:rsidR="008A76BC" w:rsidTr="00A77398">
        <w:tc>
          <w:tcPr>
            <w:tcW w:w="2847" w:type="dxa"/>
          </w:tcPr>
          <w:p w:rsidR="008A76BC" w:rsidRDefault="008A76BC" w:rsidP="00A77398">
            <w:r>
              <w:t>Flexi Officer quarterly development days</w:t>
            </w:r>
          </w:p>
          <w:p w:rsidR="008A76BC" w:rsidRDefault="008A76BC" w:rsidP="00A77398"/>
        </w:tc>
        <w:tc>
          <w:tcPr>
            <w:tcW w:w="2868" w:type="dxa"/>
          </w:tcPr>
          <w:p w:rsidR="008A76BC" w:rsidRDefault="008A76BC" w:rsidP="00A77398">
            <w:r>
              <w:t>Principle of running quarterly development days has been agreed.</w:t>
            </w:r>
          </w:p>
          <w:p w:rsidR="008A76BC" w:rsidRDefault="008A76BC" w:rsidP="00A77398"/>
          <w:p w:rsidR="008A76BC" w:rsidRDefault="008A76BC" w:rsidP="00A77398">
            <w:r>
              <w:t>Need a plan which includes;</w:t>
            </w:r>
          </w:p>
          <w:p w:rsidR="008A76BC" w:rsidRDefault="008A76BC" w:rsidP="00A77398"/>
          <w:p w:rsidR="008A76BC" w:rsidRDefault="008A76BC" w:rsidP="00A77398">
            <w:r>
              <w:t>Development needs – what need have been identified and how?</w:t>
            </w:r>
          </w:p>
          <w:p w:rsidR="008A76BC" w:rsidRDefault="008A76BC" w:rsidP="00A77398">
            <w:r>
              <w:t>Stakeholder views – how do stakeholders want these to run?</w:t>
            </w:r>
          </w:p>
          <w:p w:rsidR="008A76BC" w:rsidRDefault="008A76BC" w:rsidP="00A77398">
            <w:r>
              <w:t xml:space="preserve">Resourcing – how can we resource these? </w:t>
            </w:r>
          </w:p>
        </w:tc>
        <w:tc>
          <w:tcPr>
            <w:tcW w:w="1536" w:type="dxa"/>
          </w:tcPr>
          <w:p w:rsidR="008A76BC" w:rsidRDefault="008A76BC" w:rsidP="00A77398">
            <w:r>
              <w:t>Resource to be identified.</w:t>
            </w:r>
          </w:p>
        </w:tc>
        <w:tc>
          <w:tcPr>
            <w:tcW w:w="1765" w:type="dxa"/>
          </w:tcPr>
          <w:p w:rsidR="008A76BC" w:rsidRDefault="00297596" w:rsidP="00A77398">
            <w:r>
              <w:t>TBC</w:t>
            </w:r>
          </w:p>
        </w:tc>
      </w:tr>
      <w:tr w:rsidR="008A76BC" w:rsidTr="00A77398">
        <w:tc>
          <w:tcPr>
            <w:tcW w:w="2847" w:type="dxa"/>
          </w:tcPr>
          <w:p w:rsidR="008A76BC" w:rsidRDefault="008A76BC" w:rsidP="00A77398">
            <w:r>
              <w:t>Leadership in the operational environment</w:t>
            </w:r>
          </w:p>
          <w:p w:rsidR="008A76BC" w:rsidRDefault="008A76BC" w:rsidP="00A77398"/>
        </w:tc>
        <w:tc>
          <w:tcPr>
            <w:tcW w:w="2868" w:type="dxa"/>
          </w:tcPr>
          <w:p w:rsidR="008A76BC" w:rsidRDefault="008A76BC" w:rsidP="00A77398">
            <w:r>
              <w:t>OSO, PORIS, Risk Information, Exercises</w:t>
            </w:r>
          </w:p>
        </w:tc>
        <w:tc>
          <w:tcPr>
            <w:tcW w:w="1536" w:type="dxa"/>
          </w:tcPr>
          <w:p w:rsidR="008A76BC" w:rsidRDefault="008A76BC" w:rsidP="00A77398">
            <w:r>
              <w:t>Al Green</w:t>
            </w:r>
          </w:p>
        </w:tc>
        <w:tc>
          <w:tcPr>
            <w:tcW w:w="1765" w:type="dxa"/>
          </w:tcPr>
          <w:p w:rsidR="008A76BC" w:rsidRDefault="00297596" w:rsidP="00A77398">
            <w:r>
              <w:t>Proposal September 2019</w:t>
            </w:r>
          </w:p>
        </w:tc>
      </w:tr>
      <w:tr w:rsidR="008A76BC" w:rsidTr="00A77398">
        <w:tc>
          <w:tcPr>
            <w:tcW w:w="2847" w:type="dxa"/>
          </w:tcPr>
          <w:p w:rsidR="008A76BC" w:rsidRDefault="008A76BC" w:rsidP="00A77398">
            <w:r>
              <w:t>Leadership and Management development – developing our leadership offering</w:t>
            </w:r>
          </w:p>
          <w:p w:rsidR="008A76BC" w:rsidRDefault="008A76BC" w:rsidP="00A77398"/>
        </w:tc>
        <w:tc>
          <w:tcPr>
            <w:tcW w:w="2868" w:type="dxa"/>
          </w:tcPr>
          <w:p w:rsidR="008A76BC" w:rsidRDefault="008A76BC" w:rsidP="00A77398">
            <w:r>
              <w:t>Combining technical and professional skills</w:t>
            </w:r>
          </w:p>
        </w:tc>
        <w:tc>
          <w:tcPr>
            <w:tcW w:w="1536" w:type="dxa"/>
          </w:tcPr>
          <w:p w:rsidR="008A76BC" w:rsidRDefault="008A76BC" w:rsidP="00A77398">
            <w:r>
              <w:t>Al Green</w:t>
            </w:r>
          </w:p>
        </w:tc>
        <w:tc>
          <w:tcPr>
            <w:tcW w:w="1765" w:type="dxa"/>
          </w:tcPr>
          <w:p w:rsidR="008A76BC" w:rsidRDefault="00297596" w:rsidP="00A77398">
            <w:r>
              <w:t>Proposal September 2019</w:t>
            </w:r>
          </w:p>
        </w:tc>
      </w:tr>
      <w:tr w:rsidR="008A76BC" w:rsidTr="00A77398">
        <w:tc>
          <w:tcPr>
            <w:tcW w:w="2847" w:type="dxa"/>
          </w:tcPr>
          <w:p w:rsidR="008A76BC" w:rsidRDefault="008A76BC" w:rsidP="00A77398">
            <w:r>
              <w:t>Launching and utilising e-learning as a method of developing our teams.</w:t>
            </w:r>
          </w:p>
          <w:p w:rsidR="008A76BC" w:rsidRDefault="008A76BC" w:rsidP="00A77398"/>
        </w:tc>
        <w:tc>
          <w:tcPr>
            <w:tcW w:w="2868" w:type="dxa"/>
          </w:tcPr>
          <w:p w:rsidR="008A76BC" w:rsidRDefault="008A76BC" w:rsidP="00A77398">
            <w:r>
              <w:t xml:space="preserve">Elite platform has been launched.  </w:t>
            </w:r>
          </w:p>
          <w:p w:rsidR="008A76BC" w:rsidRDefault="008A76BC" w:rsidP="00A77398"/>
          <w:p w:rsidR="008A76BC" w:rsidRDefault="008A76BC" w:rsidP="00A77398">
            <w:r>
              <w:t>Need to further develop and publish our strategy for utilising this method of learning.  When do we use it? How do we evaluate it?</w:t>
            </w:r>
          </w:p>
          <w:p w:rsidR="008A76BC" w:rsidRDefault="008A76BC" w:rsidP="00A77398"/>
        </w:tc>
        <w:tc>
          <w:tcPr>
            <w:tcW w:w="1536" w:type="dxa"/>
          </w:tcPr>
          <w:p w:rsidR="008A76BC" w:rsidRDefault="008A76BC" w:rsidP="00A77398">
            <w:r>
              <w:t>Claire Budgen</w:t>
            </w:r>
          </w:p>
        </w:tc>
        <w:tc>
          <w:tcPr>
            <w:tcW w:w="1765" w:type="dxa"/>
          </w:tcPr>
          <w:p w:rsidR="008A76BC" w:rsidRDefault="00297596" w:rsidP="00A77398">
            <w:r>
              <w:t>October 2019</w:t>
            </w:r>
          </w:p>
        </w:tc>
      </w:tr>
      <w:tr w:rsidR="008A76BC" w:rsidTr="00A77398">
        <w:tc>
          <w:tcPr>
            <w:tcW w:w="2847" w:type="dxa"/>
          </w:tcPr>
          <w:p w:rsidR="008A76BC" w:rsidRDefault="008A76BC" w:rsidP="00A77398">
            <w:r>
              <w:t>HMICFRS readiness</w:t>
            </w:r>
          </w:p>
          <w:p w:rsidR="008A76BC" w:rsidRDefault="008A76BC" w:rsidP="00A77398"/>
          <w:p w:rsidR="008A76BC" w:rsidRDefault="008A76BC" w:rsidP="00A77398"/>
        </w:tc>
        <w:tc>
          <w:tcPr>
            <w:tcW w:w="2868" w:type="dxa"/>
          </w:tcPr>
          <w:p w:rsidR="008A76BC" w:rsidRDefault="008A76BC" w:rsidP="00A77398">
            <w:r>
              <w:t xml:space="preserve">We need to get to a point where we feel we are ‘continuously ready’ for inspection, i.e. all that we do reflects back to the judgement criteria and is able to be evidenced. </w:t>
            </w:r>
          </w:p>
          <w:p w:rsidR="008A76BC" w:rsidRDefault="008A76BC" w:rsidP="00A77398"/>
        </w:tc>
        <w:tc>
          <w:tcPr>
            <w:tcW w:w="1536" w:type="dxa"/>
          </w:tcPr>
          <w:p w:rsidR="008A76BC" w:rsidRDefault="008A76BC" w:rsidP="00A77398">
            <w:r>
              <w:t>Claire Budgen</w:t>
            </w:r>
          </w:p>
          <w:p w:rsidR="008A76BC" w:rsidRDefault="008A76BC" w:rsidP="00A77398">
            <w:r>
              <w:t>Mark Huggins</w:t>
            </w:r>
          </w:p>
          <w:p w:rsidR="008A76BC" w:rsidRDefault="008A76BC" w:rsidP="00A77398">
            <w:r>
              <w:t>Vicki Howells</w:t>
            </w:r>
          </w:p>
        </w:tc>
        <w:tc>
          <w:tcPr>
            <w:tcW w:w="1765" w:type="dxa"/>
          </w:tcPr>
          <w:p w:rsidR="008A76BC" w:rsidRDefault="008A76BC" w:rsidP="00297596">
            <w:r>
              <w:t xml:space="preserve">Evidence gathering has taken place.  </w:t>
            </w:r>
          </w:p>
        </w:tc>
      </w:tr>
      <w:tr w:rsidR="008A76BC" w:rsidTr="00A77398">
        <w:tc>
          <w:tcPr>
            <w:tcW w:w="2847" w:type="dxa"/>
          </w:tcPr>
          <w:p w:rsidR="008A76BC" w:rsidRDefault="008A76BC" w:rsidP="00A77398">
            <w:r>
              <w:t xml:space="preserve">Using appraisal feedback to inform our development offering </w:t>
            </w:r>
          </w:p>
          <w:p w:rsidR="008A76BC" w:rsidRDefault="008A76BC" w:rsidP="00A77398"/>
          <w:p w:rsidR="008A76BC" w:rsidRDefault="008A76BC" w:rsidP="00A77398"/>
        </w:tc>
        <w:tc>
          <w:tcPr>
            <w:tcW w:w="2868" w:type="dxa"/>
          </w:tcPr>
          <w:p w:rsidR="008A76BC" w:rsidRDefault="008A76BC" w:rsidP="00A77398">
            <w:r>
              <w:t xml:space="preserve">Identify how our process flow can best work to ensure that we are able to hear and respond to development needs highlighted in Appraisals in a timely way.  Need to identify how we manage this alongside the current system of development needs being submitted to L&amp;D in January of each year. </w:t>
            </w:r>
          </w:p>
          <w:p w:rsidR="008A76BC" w:rsidRDefault="008A76BC" w:rsidP="00A77398"/>
        </w:tc>
        <w:tc>
          <w:tcPr>
            <w:tcW w:w="1536" w:type="dxa"/>
          </w:tcPr>
          <w:p w:rsidR="008A76BC" w:rsidRDefault="008A76BC" w:rsidP="00A77398">
            <w:r>
              <w:t>Claire Budgen</w:t>
            </w:r>
          </w:p>
          <w:p w:rsidR="008A76BC" w:rsidRDefault="008A76BC" w:rsidP="00A77398">
            <w:r>
              <w:t>(liaison with Sallyann Tyler)</w:t>
            </w:r>
          </w:p>
        </w:tc>
        <w:tc>
          <w:tcPr>
            <w:tcW w:w="1765" w:type="dxa"/>
          </w:tcPr>
          <w:p w:rsidR="008A76BC" w:rsidRDefault="00297596" w:rsidP="00297596">
            <w:r>
              <w:t xml:space="preserve">End of September to </w:t>
            </w:r>
            <w:r w:rsidR="008A76BC">
              <w:t xml:space="preserve"> launch any revision with the mid-year appraisal?</w:t>
            </w:r>
          </w:p>
        </w:tc>
      </w:tr>
    </w:tbl>
    <w:p w:rsidR="008A76BC" w:rsidRPr="002128A8" w:rsidRDefault="008A76BC" w:rsidP="008A76BC">
      <w:pPr>
        <w:rPr>
          <w:b/>
        </w:rPr>
      </w:pPr>
    </w:p>
    <w:p w:rsidR="00297596" w:rsidRDefault="00297596" w:rsidP="008A76BC">
      <w:pPr>
        <w:rPr>
          <w:b/>
        </w:rPr>
      </w:pPr>
    </w:p>
    <w:p w:rsidR="00297596" w:rsidRDefault="00297596" w:rsidP="008A76BC">
      <w:pPr>
        <w:rPr>
          <w:b/>
        </w:rPr>
      </w:pPr>
    </w:p>
    <w:p w:rsidR="00297596" w:rsidRDefault="00297596" w:rsidP="008A76BC">
      <w:pPr>
        <w:rPr>
          <w:b/>
        </w:rPr>
      </w:pPr>
    </w:p>
    <w:p w:rsidR="005A568A" w:rsidRDefault="005A568A">
      <w:pPr>
        <w:rPr>
          <w:b/>
        </w:rPr>
      </w:pPr>
      <w:r>
        <w:rPr>
          <w:b/>
        </w:rPr>
        <w:br w:type="page"/>
      </w:r>
    </w:p>
    <w:p w:rsidR="00187A4A" w:rsidRDefault="0016231C" w:rsidP="0016231C">
      <w:pPr>
        <w:rPr>
          <w:b/>
        </w:rPr>
      </w:pPr>
      <w:r w:rsidRPr="002128A8">
        <w:rPr>
          <w:b/>
        </w:rPr>
        <w:t xml:space="preserve">Appendix </w:t>
      </w:r>
      <w:r w:rsidR="00187A4A">
        <w:rPr>
          <w:b/>
        </w:rPr>
        <w:t>3</w:t>
      </w:r>
      <w:r w:rsidRPr="002128A8">
        <w:rPr>
          <w:b/>
        </w:rPr>
        <w:t xml:space="preserve"> – </w:t>
      </w:r>
      <w:r w:rsidR="00187A4A">
        <w:rPr>
          <w:b/>
        </w:rPr>
        <w:t>Reporting</w:t>
      </w:r>
    </w:p>
    <w:p w:rsidR="00187A4A" w:rsidRDefault="00187A4A" w:rsidP="0016231C">
      <w:pPr>
        <w:rPr>
          <w:b/>
        </w:rPr>
      </w:pPr>
    </w:p>
    <w:p w:rsidR="00187A4A" w:rsidRPr="007A79A8" w:rsidRDefault="00187A4A" w:rsidP="00187A4A">
      <w:pPr>
        <w:pStyle w:val="Heading1"/>
        <w:spacing w:after="0" w:line="600" w:lineRule="auto"/>
        <w:jc w:val="both"/>
        <w:rPr>
          <w:rFonts w:asciiTheme="minorHAnsi" w:hAnsiTheme="minorHAnsi"/>
          <w:szCs w:val="24"/>
        </w:rPr>
      </w:pPr>
      <w:r>
        <w:rPr>
          <w:rFonts w:asciiTheme="minorHAnsi" w:hAnsiTheme="minorHAnsi"/>
          <w:szCs w:val="24"/>
        </w:rPr>
        <w:t>Learning and developmenT</w:t>
      </w:r>
    </w:p>
    <w:p w:rsidR="00187A4A" w:rsidRDefault="00187A4A" w:rsidP="00187A4A">
      <w:pPr>
        <w:jc w:val="both"/>
        <w:rPr>
          <w:rFonts w:asciiTheme="minorHAnsi" w:hAnsiTheme="minorHAnsi"/>
          <w:b/>
        </w:rPr>
      </w:pPr>
      <w:r>
        <w:rPr>
          <w:rFonts w:asciiTheme="minorHAnsi" w:hAnsiTheme="minorHAnsi"/>
          <w:b/>
        </w:rPr>
        <w:t xml:space="preserve">Compliance with Risk Critical Training </w:t>
      </w:r>
    </w:p>
    <w:p w:rsidR="00187A4A" w:rsidRDefault="00187A4A" w:rsidP="00187A4A">
      <w:pPr>
        <w:jc w:val="both"/>
        <w:rPr>
          <w:rFonts w:asciiTheme="minorHAnsi" w:hAnsiTheme="minorHAnsi"/>
          <w:b/>
        </w:rPr>
      </w:pPr>
    </w:p>
    <w:p w:rsidR="00187A4A" w:rsidRPr="00EA4141" w:rsidRDefault="00187A4A" w:rsidP="00187A4A">
      <w:pPr>
        <w:jc w:val="both"/>
        <w:rPr>
          <w:rFonts w:asciiTheme="minorHAnsi" w:hAnsiTheme="minorHAnsi"/>
        </w:rPr>
      </w:pPr>
      <w:r>
        <w:rPr>
          <w:rFonts w:asciiTheme="minorHAnsi" w:hAnsiTheme="minorHAnsi"/>
        </w:rPr>
        <w:t>Please note, all figures are based upon September’s month-end staffing reports. Day Duty Officers and those on Career Breaks are excluded from all calculations.</w:t>
      </w:r>
    </w:p>
    <w:p w:rsidR="00187A4A" w:rsidRDefault="00187A4A" w:rsidP="00187A4A">
      <w:pPr>
        <w:jc w:val="both"/>
        <w:rPr>
          <w:rFonts w:asciiTheme="minorHAnsi" w:hAnsiTheme="minorHAnsi"/>
          <w:b/>
        </w:rPr>
      </w:pPr>
    </w:p>
    <w:p w:rsidR="00187A4A" w:rsidRDefault="00187A4A" w:rsidP="00187A4A">
      <w:pPr>
        <w:jc w:val="both"/>
        <w:rPr>
          <w:rFonts w:asciiTheme="minorHAnsi" w:hAnsiTheme="minorHAnsi"/>
          <w:b/>
        </w:rPr>
      </w:pPr>
      <w:r>
        <w:rPr>
          <w:rFonts w:asciiTheme="minorHAnsi" w:hAnsiTheme="minorHAnsi"/>
          <w:b/>
        </w:rPr>
        <w:t>B.A. Qualifications – Station Based employees</w:t>
      </w:r>
    </w:p>
    <w:p w:rsidR="00187A4A" w:rsidRDefault="00187A4A" w:rsidP="00187A4A">
      <w:pPr>
        <w:jc w:val="both"/>
        <w:rPr>
          <w:rFonts w:asciiTheme="minorHAnsi" w:hAnsiTheme="minorHAnsi"/>
          <w:b/>
        </w:rPr>
      </w:pPr>
    </w:p>
    <w:p w:rsidR="00187A4A" w:rsidRDefault="00187A4A" w:rsidP="00187A4A">
      <w:pPr>
        <w:jc w:val="both"/>
        <w:rPr>
          <w:rFonts w:asciiTheme="minorHAnsi" w:hAnsiTheme="minorHAnsi"/>
        </w:rPr>
      </w:pPr>
      <w:r>
        <w:rPr>
          <w:rFonts w:asciiTheme="minorHAnsi" w:hAnsiTheme="minorHAnsi"/>
        </w:rPr>
        <w:t>All Firefighters, Crew and Watch Managers should hold a valid B.A. qualification. Figures combine initial B.A. qualifications and renewals.</w:t>
      </w:r>
    </w:p>
    <w:p w:rsidR="00187A4A" w:rsidRDefault="00187A4A" w:rsidP="00187A4A">
      <w:pPr>
        <w:jc w:val="both"/>
        <w:rPr>
          <w:rFonts w:asciiTheme="minorHAnsi" w:hAnsiTheme="minorHAnsi"/>
          <w:b/>
        </w:rPr>
      </w:pPr>
    </w:p>
    <w:tbl>
      <w:tblPr>
        <w:tblStyle w:val="TableGrid"/>
        <w:tblW w:w="0" w:type="auto"/>
        <w:tblLook w:val="04A0" w:firstRow="1" w:lastRow="0" w:firstColumn="1" w:lastColumn="0" w:noHBand="0" w:noVBand="1"/>
      </w:tblPr>
      <w:tblGrid>
        <w:gridCol w:w="1557"/>
        <w:gridCol w:w="1557"/>
        <w:gridCol w:w="1557"/>
        <w:gridCol w:w="1703"/>
        <w:gridCol w:w="1412"/>
        <w:gridCol w:w="1558"/>
      </w:tblGrid>
      <w:tr w:rsidR="00187A4A" w:rsidRPr="00C9658A" w:rsidTr="00D678AE">
        <w:tc>
          <w:tcPr>
            <w:tcW w:w="1557" w:type="dxa"/>
            <w:shd w:val="clear" w:color="auto" w:fill="0070C0"/>
          </w:tcPr>
          <w:p w:rsidR="00187A4A" w:rsidRPr="00C9658A" w:rsidRDefault="00187A4A" w:rsidP="00D678AE">
            <w:pPr>
              <w:jc w:val="both"/>
              <w:rPr>
                <w:rFonts w:asciiTheme="minorHAnsi" w:hAnsiTheme="minorHAnsi"/>
                <w:b/>
                <w:color w:val="FFFFFF" w:themeColor="background1"/>
              </w:rPr>
            </w:pPr>
          </w:p>
        </w:tc>
        <w:tc>
          <w:tcPr>
            <w:tcW w:w="1557" w:type="dxa"/>
            <w:shd w:val="clear" w:color="auto" w:fill="0070C0"/>
            <w:vAlign w:val="center"/>
          </w:tcPr>
          <w:p w:rsidR="00187A4A" w:rsidRPr="00C9658A" w:rsidRDefault="00187A4A" w:rsidP="00D678AE">
            <w:pPr>
              <w:jc w:val="center"/>
              <w:rPr>
                <w:rFonts w:asciiTheme="minorHAnsi" w:hAnsiTheme="minorHAnsi"/>
                <w:b/>
                <w:color w:val="FFFFFF" w:themeColor="background1"/>
              </w:rPr>
            </w:pPr>
            <w:r>
              <w:rPr>
                <w:rFonts w:asciiTheme="minorHAnsi" w:hAnsiTheme="minorHAnsi"/>
                <w:b/>
                <w:color w:val="FFFFFF" w:themeColor="background1"/>
              </w:rPr>
              <w:t>Valid</w:t>
            </w:r>
          </w:p>
        </w:tc>
        <w:tc>
          <w:tcPr>
            <w:tcW w:w="3260" w:type="dxa"/>
            <w:gridSpan w:val="2"/>
            <w:shd w:val="clear" w:color="auto" w:fill="0070C0"/>
            <w:vAlign w:val="center"/>
          </w:tcPr>
          <w:p w:rsidR="00187A4A" w:rsidRPr="00C9658A" w:rsidRDefault="00187A4A" w:rsidP="00D678AE">
            <w:pPr>
              <w:jc w:val="center"/>
              <w:rPr>
                <w:rFonts w:asciiTheme="minorHAnsi" w:hAnsiTheme="minorHAnsi"/>
                <w:b/>
                <w:color w:val="FFFFFF" w:themeColor="background1"/>
              </w:rPr>
            </w:pPr>
            <w:r>
              <w:rPr>
                <w:rFonts w:asciiTheme="minorHAnsi" w:hAnsiTheme="minorHAnsi"/>
                <w:b/>
                <w:color w:val="FFFFFF" w:themeColor="background1"/>
              </w:rPr>
              <w:t>Expiring within 90 / 30 days</w:t>
            </w:r>
          </w:p>
        </w:tc>
        <w:tc>
          <w:tcPr>
            <w:tcW w:w="1412" w:type="dxa"/>
            <w:shd w:val="clear" w:color="auto" w:fill="0070C0"/>
            <w:vAlign w:val="center"/>
          </w:tcPr>
          <w:p w:rsidR="00187A4A" w:rsidRPr="00C9658A" w:rsidRDefault="00187A4A" w:rsidP="00D678AE">
            <w:pPr>
              <w:jc w:val="center"/>
              <w:rPr>
                <w:rFonts w:asciiTheme="minorHAnsi" w:hAnsiTheme="minorHAnsi"/>
                <w:b/>
                <w:color w:val="FFFFFF" w:themeColor="background1"/>
              </w:rPr>
            </w:pPr>
            <w:r>
              <w:rPr>
                <w:rFonts w:asciiTheme="minorHAnsi" w:hAnsiTheme="minorHAnsi"/>
                <w:b/>
                <w:color w:val="FFFFFF" w:themeColor="background1"/>
              </w:rPr>
              <w:t>Expired</w:t>
            </w:r>
          </w:p>
        </w:tc>
        <w:tc>
          <w:tcPr>
            <w:tcW w:w="1558" w:type="dxa"/>
            <w:shd w:val="clear" w:color="auto" w:fill="0070C0"/>
            <w:vAlign w:val="center"/>
          </w:tcPr>
          <w:p w:rsidR="00187A4A" w:rsidRPr="00C9658A" w:rsidRDefault="00187A4A" w:rsidP="00D678AE">
            <w:pPr>
              <w:jc w:val="center"/>
              <w:rPr>
                <w:rFonts w:asciiTheme="minorHAnsi" w:hAnsiTheme="minorHAnsi"/>
                <w:b/>
                <w:color w:val="FFFFFF" w:themeColor="background1"/>
              </w:rPr>
            </w:pPr>
            <w:r>
              <w:rPr>
                <w:rFonts w:asciiTheme="minorHAnsi" w:hAnsiTheme="minorHAnsi"/>
                <w:b/>
                <w:color w:val="FFFFFF" w:themeColor="background1"/>
              </w:rPr>
              <w:t xml:space="preserve">Awaiting Initial Training </w:t>
            </w:r>
            <w:r w:rsidRPr="00D661D1">
              <w:rPr>
                <w:rFonts w:asciiTheme="minorHAnsi" w:hAnsiTheme="minorHAnsi"/>
                <w:b/>
                <w:color w:val="FFFFFF" w:themeColor="background1"/>
                <w:vertAlign w:val="superscript"/>
              </w:rPr>
              <w:t>1</w:t>
            </w:r>
          </w:p>
        </w:tc>
      </w:tr>
      <w:tr w:rsidR="00187A4A" w:rsidTr="00D678AE">
        <w:tc>
          <w:tcPr>
            <w:tcW w:w="1557" w:type="dxa"/>
          </w:tcPr>
          <w:p w:rsidR="00187A4A" w:rsidRDefault="00187A4A" w:rsidP="00D678AE">
            <w:pPr>
              <w:jc w:val="both"/>
              <w:rPr>
                <w:rFonts w:asciiTheme="minorHAnsi" w:hAnsiTheme="minorHAnsi"/>
                <w:b/>
              </w:rPr>
            </w:pPr>
          </w:p>
        </w:tc>
        <w:tc>
          <w:tcPr>
            <w:tcW w:w="1557" w:type="dxa"/>
            <w:shd w:val="clear" w:color="auto" w:fill="00B050"/>
            <w:vAlign w:val="center"/>
          </w:tcPr>
          <w:p w:rsidR="00187A4A" w:rsidRDefault="00187A4A" w:rsidP="00D678AE">
            <w:pPr>
              <w:jc w:val="center"/>
              <w:rPr>
                <w:rFonts w:asciiTheme="minorHAnsi" w:hAnsiTheme="minorHAnsi"/>
                <w:b/>
              </w:rPr>
            </w:pPr>
          </w:p>
        </w:tc>
        <w:tc>
          <w:tcPr>
            <w:tcW w:w="1557" w:type="dxa"/>
            <w:shd w:val="clear" w:color="auto" w:fill="FFC000"/>
            <w:vAlign w:val="center"/>
          </w:tcPr>
          <w:p w:rsidR="00187A4A" w:rsidRPr="00AC1E31" w:rsidRDefault="00187A4A" w:rsidP="00D678AE">
            <w:pPr>
              <w:jc w:val="center"/>
              <w:rPr>
                <w:rFonts w:asciiTheme="minorHAnsi" w:hAnsiTheme="minorHAnsi"/>
              </w:rPr>
            </w:pPr>
            <w:r w:rsidRPr="00AC1E31">
              <w:rPr>
                <w:rFonts w:asciiTheme="minorHAnsi" w:hAnsiTheme="minorHAnsi"/>
              </w:rPr>
              <w:t>30-90 days</w:t>
            </w:r>
          </w:p>
        </w:tc>
        <w:tc>
          <w:tcPr>
            <w:tcW w:w="1703" w:type="dxa"/>
            <w:shd w:val="clear" w:color="auto" w:fill="FF0000"/>
            <w:vAlign w:val="center"/>
          </w:tcPr>
          <w:p w:rsidR="00187A4A" w:rsidRPr="00AC1E31" w:rsidRDefault="00187A4A" w:rsidP="00D678AE">
            <w:pPr>
              <w:jc w:val="center"/>
              <w:rPr>
                <w:rFonts w:asciiTheme="minorHAnsi" w:hAnsiTheme="minorHAnsi"/>
              </w:rPr>
            </w:pPr>
            <w:r>
              <w:rPr>
                <w:rFonts w:asciiTheme="minorHAnsi" w:hAnsiTheme="minorHAnsi"/>
              </w:rPr>
              <w:t>&lt;</w:t>
            </w:r>
            <w:r w:rsidRPr="00AC1E31">
              <w:rPr>
                <w:rFonts w:asciiTheme="minorHAnsi" w:hAnsiTheme="minorHAnsi"/>
              </w:rPr>
              <w:t xml:space="preserve"> 30 days</w:t>
            </w:r>
          </w:p>
        </w:tc>
        <w:tc>
          <w:tcPr>
            <w:tcW w:w="1412" w:type="dxa"/>
            <w:shd w:val="clear" w:color="auto" w:fill="FF0000"/>
            <w:vAlign w:val="center"/>
          </w:tcPr>
          <w:p w:rsidR="00187A4A" w:rsidRDefault="00187A4A" w:rsidP="00D678AE">
            <w:pPr>
              <w:jc w:val="center"/>
              <w:rPr>
                <w:rFonts w:asciiTheme="minorHAnsi" w:hAnsiTheme="minorHAnsi"/>
                <w:b/>
              </w:rPr>
            </w:pPr>
          </w:p>
        </w:tc>
        <w:tc>
          <w:tcPr>
            <w:tcW w:w="1558" w:type="dxa"/>
            <w:vAlign w:val="center"/>
          </w:tcPr>
          <w:p w:rsidR="00187A4A" w:rsidRDefault="00187A4A" w:rsidP="00D678AE">
            <w:pPr>
              <w:jc w:val="center"/>
              <w:rPr>
                <w:rFonts w:asciiTheme="minorHAnsi" w:hAnsiTheme="minorHAnsi"/>
                <w:b/>
              </w:rPr>
            </w:pPr>
          </w:p>
        </w:tc>
      </w:tr>
      <w:tr w:rsidR="00187A4A" w:rsidTr="00D678AE">
        <w:tc>
          <w:tcPr>
            <w:tcW w:w="1557" w:type="dxa"/>
          </w:tcPr>
          <w:p w:rsidR="00187A4A" w:rsidRDefault="00187A4A" w:rsidP="00D678AE">
            <w:pPr>
              <w:jc w:val="both"/>
              <w:rPr>
                <w:rFonts w:asciiTheme="minorHAnsi" w:hAnsiTheme="minorHAnsi"/>
                <w:b/>
              </w:rPr>
            </w:pPr>
            <w:r>
              <w:rPr>
                <w:rFonts w:asciiTheme="minorHAnsi" w:hAnsiTheme="minorHAnsi"/>
                <w:b/>
              </w:rPr>
              <w:t>Wholetime</w:t>
            </w:r>
          </w:p>
        </w:tc>
        <w:tc>
          <w:tcPr>
            <w:tcW w:w="1557" w:type="dxa"/>
            <w:vAlign w:val="center"/>
          </w:tcPr>
          <w:p w:rsidR="00187A4A" w:rsidRPr="00AC1E31" w:rsidRDefault="00187A4A" w:rsidP="00D678AE">
            <w:pPr>
              <w:jc w:val="center"/>
              <w:rPr>
                <w:rFonts w:asciiTheme="minorHAnsi" w:hAnsiTheme="minorHAnsi"/>
              </w:rPr>
            </w:pPr>
            <w:r w:rsidRPr="00AC1E31">
              <w:rPr>
                <w:rFonts w:asciiTheme="minorHAnsi" w:hAnsiTheme="minorHAnsi"/>
              </w:rPr>
              <w:t>486</w:t>
            </w:r>
          </w:p>
        </w:tc>
        <w:tc>
          <w:tcPr>
            <w:tcW w:w="1557" w:type="dxa"/>
            <w:vAlign w:val="center"/>
          </w:tcPr>
          <w:p w:rsidR="00187A4A" w:rsidRPr="00AC1E31" w:rsidRDefault="00187A4A" w:rsidP="00D678AE">
            <w:pPr>
              <w:jc w:val="center"/>
              <w:rPr>
                <w:rFonts w:asciiTheme="minorHAnsi" w:hAnsiTheme="minorHAnsi"/>
              </w:rPr>
            </w:pPr>
            <w:r>
              <w:rPr>
                <w:rFonts w:asciiTheme="minorHAnsi" w:hAnsiTheme="minorHAnsi"/>
              </w:rPr>
              <w:t>7</w:t>
            </w:r>
          </w:p>
        </w:tc>
        <w:tc>
          <w:tcPr>
            <w:tcW w:w="1703" w:type="dxa"/>
            <w:vAlign w:val="center"/>
          </w:tcPr>
          <w:p w:rsidR="00187A4A" w:rsidRPr="00AC1E31" w:rsidRDefault="00187A4A" w:rsidP="00D678AE">
            <w:pPr>
              <w:jc w:val="center"/>
              <w:rPr>
                <w:rFonts w:asciiTheme="minorHAnsi" w:hAnsiTheme="minorHAnsi"/>
              </w:rPr>
            </w:pPr>
            <w:r>
              <w:rPr>
                <w:rFonts w:asciiTheme="minorHAnsi" w:hAnsiTheme="minorHAnsi"/>
              </w:rPr>
              <w:t>2</w:t>
            </w:r>
          </w:p>
        </w:tc>
        <w:tc>
          <w:tcPr>
            <w:tcW w:w="1412" w:type="dxa"/>
            <w:vAlign w:val="center"/>
          </w:tcPr>
          <w:p w:rsidR="00187A4A" w:rsidRPr="00AC1E31" w:rsidRDefault="00187A4A" w:rsidP="00D678AE">
            <w:pPr>
              <w:jc w:val="center"/>
              <w:rPr>
                <w:rFonts w:asciiTheme="minorHAnsi" w:hAnsiTheme="minorHAnsi"/>
              </w:rPr>
            </w:pPr>
            <w:r>
              <w:rPr>
                <w:rFonts w:asciiTheme="minorHAnsi" w:hAnsiTheme="minorHAnsi"/>
              </w:rPr>
              <w:t>10</w:t>
            </w:r>
          </w:p>
        </w:tc>
        <w:tc>
          <w:tcPr>
            <w:tcW w:w="1558" w:type="dxa"/>
            <w:vAlign w:val="center"/>
          </w:tcPr>
          <w:p w:rsidR="00187A4A" w:rsidRPr="00AC1E31" w:rsidRDefault="00187A4A" w:rsidP="00D678AE">
            <w:pPr>
              <w:jc w:val="center"/>
              <w:rPr>
                <w:rFonts w:asciiTheme="minorHAnsi" w:hAnsiTheme="minorHAnsi"/>
              </w:rPr>
            </w:pPr>
            <w:r>
              <w:rPr>
                <w:rFonts w:asciiTheme="minorHAnsi" w:hAnsiTheme="minorHAnsi"/>
              </w:rPr>
              <w:t>0</w:t>
            </w:r>
          </w:p>
        </w:tc>
      </w:tr>
      <w:tr w:rsidR="00187A4A" w:rsidTr="00D678AE">
        <w:tc>
          <w:tcPr>
            <w:tcW w:w="1557" w:type="dxa"/>
          </w:tcPr>
          <w:p w:rsidR="00187A4A" w:rsidRDefault="00187A4A" w:rsidP="00D678AE">
            <w:pPr>
              <w:jc w:val="both"/>
              <w:rPr>
                <w:rFonts w:asciiTheme="minorHAnsi" w:hAnsiTheme="minorHAnsi"/>
                <w:b/>
              </w:rPr>
            </w:pPr>
            <w:r>
              <w:rPr>
                <w:rFonts w:asciiTheme="minorHAnsi" w:hAnsiTheme="minorHAnsi"/>
                <w:b/>
              </w:rPr>
              <w:t>On-call</w:t>
            </w:r>
          </w:p>
        </w:tc>
        <w:tc>
          <w:tcPr>
            <w:tcW w:w="1557" w:type="dxa"/>
            <w:vAlign w:val="center"/>
          </w:tcPr>
          <w:p w:rsidR="00187A4A" w:rsidRPr="00AC1E31" w:rsidRDefault="00187A4A" w:rsidP="00D678AE">
            <w:pPr>
              <w:jc w:val="center"/>
              <w:rPr>
                <w:rFonts w:asciiTheme="minorHAnsi" w:hAnsiTheme="minorHAnsi"/>
              </w:rPr>
            </w:pPr>
            <w:r>
              <w:rPr>
                <w:rFonts w:asciiTheme="minorHAnsi" w:hAnsiTheme="minorHAnsi"/>
              </w:rPr>
              <w:t>369</w:t>
            </w:r>
          </w:p>
        </w:tc>
        <w:tc>
          <w:tcPr>
            <w:tcW w:w="1557" w:type="dxa"/>
            <w:vAlign w:val="center"/>
          </w:tcPr>
          <w:p w:rsidR="00187A4A" w:rsidRPr="00AC1E31" w:rsidRDefault="00187A4A" w:rsidP="00D678AE">
            <w:pPr>
              <w:jc w:val="center"/>
              <w:rPr>
                <w:rFonts w:asciiTheme="minorHAnsi" w:hAnsiTheme="minorHAnsi"/>
              </w:rPr>
            </w:pPr>
            <w:r>
              <w:rPr>
                <w:rFonts w:asciiTheme="minorHAnsi" w:hAnsiTheme="minorHAnsi"/>
              </w:rPr>
              <w:t>20</w:t>
            </w:r>
          </w:p>
        </w:tc>
        <w:tc>
          <w:tcPr>
            <w:tcW w:w="1703" w:type="dxa"/>
            <w:vAlign w:val="center"/>
          </w:tcPr>
          <w:p w:rsidR="00187A4A" w:rsidRPr="00AC1E31" w:rsidRDefault="00187A4A" w:rsidP="00D678AE">
            <w:pPr>
              <w:jc w:val="center"/>
              <w:rPr>
                <w:rFonts w:asciiTheme="minorHAnsi" w:hAnsiTheme="minorHAnsi"/>
              </w:rPr>
            </w:pPr>
            <w:r>
              <w:rPr>
                <w:rFonts w:asciiTheme="minorHAnsi" w:hAnsiTheme="minorHAnsi"/>
              </w:rPr>
              <w:t>10</w:t>
            </w:r>
          </w:p>
        </w:tc>
        <w:tc>
          <w:tcPr>
            <w:tcW w:w="1412" w:type="dxa"/>
            <w:vAlign w:val="center"/>
          </w:tcPr>
          <w:p w:rsidR="00187A4A" w:rsidRPr="00AC1E31" w:rsidRDefault="00187A4A" w:rsidP="00D678AE">
            <w:pPr>
              <w:jc w:val="center"/>
              <w:rPr>
                <w:rFonts w:asciiTheme="minorHAnsi" w:hAnsiTheme="minorHAnsi"/>
              </w:rPr>
            </w:pPr>
            <w:r>
              <w:rPr>
                <w:rFonts w:asciiTheme="minorHAnsi" w:hAnsiTheme="minorHAnsi"/>
              </w:rPr>
              <w:t>15</w:t>
            </w:r>
          </w:p>
        </w:tc>
        <w:tc>
          <w:tcPr>
            <w:tcW w:w="1558" w:type="dxa"/>
            <w:vAlign w:val="center"/>
          </w:tcPr>
          <w:p w:rsidR="00187A4A" w:rsidRPr="00AC1E31" w:rsidRDefault="00187A4A" w:rsidP="00D678AE">
            <w:pPr>
              <w:jc w:val="center"/>
              <w:rPr>
                <w:rFonts w:asciiTheme="minorHAnsi" w:hAnsiTheme="minorHAnsi"/>
              </w:rPr>
            </w:pPr>
            <w:r>
              <w:rPr>
                <w:rFonts w:asciiTheme="minorHAnsi" w:hAnsiTheme="minorHAnsi"/>
              </w:rPr>
              <w:t>70</w:t>
            </w:r>
          </w:p>
        </w:tc>
      </w:tr>
      <w:tr w:rsidR="00187A4A" w:rsidTr="00D678AE">
        <w:tc>
          <w:tcPr>
            <w:tcW w:w="1557" w:type="dxa"/>
          </w:tcPr>
          <w:p w:rsidR="00187A4A" w:rsidRDefault="00187A4A" w:rsidP="00D678AE">
            <w:pPr>
              <w:jc w:val="both"/>
              <w:rPr>
                <w:rFonts w:asciiTheme="minorHAnsi" w:hAnsiTheme="minorHAnsi"/>
                <w:b/>
              </w:rPr>
            </w:pPr>
            <w:r>
              <w:rPr>
                <w:rFonts w:asciiTheme="minorHAnsi" w:hAnsiTheme="minorHAnsi"/>
                <w:b/>
              </w:rPr>
              <w:t>Overall</w:t>
            </w:r>
          </w:p>
        </w:tc>
        <w:tc>
          <w:tcPr>
            <w:tcW w:w="1557" w:type="dxa"/>
            <w:vAlign w:val="center"/>
          </w:tcPr>
          <w:p w:rsidR="00187A4A" w:rsidRPr="00AC1E31" w:rsidRDefault="00187A4A" w:rsidP="00D678AE">
            <w:pPr>
              <w:jc w:val="center"/>
              <w:rPr>
                <w:rFonts w:asciiTheme="minorHAnsi" w:hAnsiTheme="minorHAnsi"/>
              </w:rPr>
            </w:pPr>
            <w:r>
              <w:rPr>
                <w:rFonts w:asciiTheme="minorHAnsi" w:hAnsiTheme="minorHAnsi"/>
              </w:rPr>
              <w:t>855</w:t>
            </w:r>
          </w:p>
        </w:tc>
        <w:tc>
          <w:tcPr>
            <w:tcW w:w="1557" w:type="dxa"/>
            <w:vAlign w:val="center"/>
          </w:tcPr>
          <w:p w:rsidR="00187A4A" w:rsidRPr="00AC1E31" w:rsidRDefault="00187A4A" w:rsidP="00D678AE">
            <w:pPr>
              <w:jc w:val="center"/>
              <w:rPr>
                <w:rFonts w:asciiTheme="minorHAnsi" w:hAnsiTheme="minorHAnsi"/>
              </w:rPr>
            </w:pPr>
            <w:r>
              <w:rPr>
                <w:rFonts w:asciiTheme="minorHAnsi" w:hAnsiTheme="minorHAnsi"/>
              </w:rPr>
              <w:t>27</w:t>
            </w:r>
          </w:p>
        </w:tc>
        <w:tc>
          <w:tcPr>
            <w:tcW w:w="1703" w:type="dxa"/>
            <w:vAlign w:val="center"/>
          </w:tcPr>
          <w:p w:rsidR="00187A4A" w:rsidRPr="00AC1E31" w:rsidRDefault="00187A4A" w:rsidP="00D678AE">
            <w:pPr>
              <w:jc w:val="center"/>
              <w:rPr>
                <w:rFonts w:asciiTheme="minorHAnsi" w:hAnsiTheme="minorHAnsi"/>
              </w:rPr>
            </w:pPr>
            <w:r>
              <w:rPr>
                <w:rFonts w:asciiTheme="minorHAnsi" w:hAnsiTheme="minorHAnsi"/>
              </w:rPr>
              <w:t>12</w:t>
            </w:r>
          </w:p>
        </w:tc>
        <w:tc>
          <w:tcPr>
            <w:tcW w:w="1412" w:type="dxa"/>
            <w:vAlign w:val="center"/>
          </w:tcPr>
          <w:p w:rsidR="00187A4A" w:rsidRPr="00AC1E31" w:rsidRDefault="00187A4A" w:rsidP="00D678AE">
            <w:pPr>
              <w:jc w:val="center"/>
              <w:rPr>
                <w:rFonts w:asciiTheme="minorHAnsi" w:hAnsiTheme="minorHAnsi"/>
              </w:rPr>
            </w:pPr>
            <w:r>
              <w:rPr>
                <w:rFonts w:asciiTheme="minorHAnsi" w:hAnsiTheme="minorHAnsi"/>
              </w:rPr>
              <w:t>25</w:t>
            </w:r>
          </w:p>
        </w:tc>
        <w:tc>
          <w:tcPr>
            <w:tcW w:w="1558" w:type="dxa"/>
            <w:vAlign w:val="center"/>
          </w:tcPr>
          <w:p w:rsidR="00187A4A" w:rsidRPr="00AC1E31" w:rsidRDefault="00187A4A" w:rsidP="00D678AE">
            <w:pPr>
              <w:jc w:val="center"/>
              <w:rPr>
                <w:rFonts w:asciiTheme="minorHAnsi" w:hAnsiTheme="minorHAnsi"/>
              </w:rPr>
            </w:pPr>
            <w:r>
              <w:rPr>
                <w:rFonts w:asciiTheme="minorHAnsi" w:hAnsiTheme="minorHAnsi"/>
              </w:rPr>
              <w:t>70</w:t>
            </w:r>
          </w:p>
        </w:tc>
      </w:tr>
    </w:tbl>
    <w:p w:rsidR="00187A4A" w:rsidRPr="00F820BC" w:rsidRDefault="00187A4A" w:rsidP="00187A4A">
      <w:pPr>
        <w:jc w:val="both"/>
        <w:rPr>
          <w:rFonts w:asciiTheme="minorHAnsi" w:hAnsiTheme="minorHAnsi"/>
        </w:rPr>
      </w:pPr>
      <w:r w:rsidRPr="00F820BC">
        <w:rPr>
          <w:rFonts w:asciiTheme="minorHAnsi" w:hAnsiTheme="minorHAnsi"/>
        </w:rPr>
        <w:t>Note 1): On-Call Firefighters are not required to hold a B.A. qualification until they have completed Phase 1 and Phase 2 training. Of the 70 individuals awaiting initial training, 24 are already booked on a course, 43 will be booked to attend a course during 2019. The remaining 3 no longer require a B.A. qualification - 2 colleagues are leaving and one is currently non-operational.</w:t>
      </w:r>
    </w:p>
    <w:p w:rsidR="00187A4A" w:rsidRDefault="00187A4A" w:rsidP="00187A4A">
      <w:pPr>
        <w:jc w:val="both"/>
        <w:rPr>
          <w:rFonts w:asciiTheme="minorHAnsi" w:hAnsiTheme="minorHAnsi"/>
          <w:b/>
        </w:rPr>
      </w:pPr>
    </w:p>
    <w:p w:rsidR="00187A4A" w:rsidRDefault="00187A4A" w:rsidP="00187A4A">
      <w:pPr>
        <w:jc w:val="both"/>
        <w:rPr>
          <w:rFonts w:asciiTheme="minorHAnsi" w:hAnsiTheme="minorHAnsi"/>
          <w:b/>
        </w:rPr>
      </w:pPr>
      <w:r w:rsidRPr="00E4489A">
        <w:rPr>
          <w:rFonts w:asciiTheme="minorHAnsi" w:hAnsiTheme="minorHAnsi"/>
          <w:b/>
        </w:rPr>
        <w:t>Incident Command (ICSV Level 1) – Station Based</w:t>
      </w:r>
      <w:r>
        <w:rPr>
          <w:rFonts w:asciiTheme="minorHAnsi" w:hAnsiTheme="minorHAnsi"/>
          <w:b/>
        </w:rPr>
        <w:t xml:space="preserve"> employees</w:t>
      </w:r>
    </w:p>
    <w:p w:rsidR="00187A4A" w:rsidRPr="00E4489A" w:rsidRDefault="00187A4A" w:rsidP="00187A4A">
      <w:pPr>
        <w:jc w:val="both"/>
        <w:rPr>
          <w:rFonts w:asciiTheme="minorHAnsi" w:hAnsiTheme="minorHAnsi"/>
          <w:b/>
        </w:rPr>
      </w:pPr>
    </w:p>
    <w:tbl>
      <w:tblPr>
        <w:tblStyle w:val="TableGrid"/>
        <w:tblW w:w="0" w:type="auto"/>
        <w:tblLook w:val="04A0" w:firstRow="1" w:lastRow="0" w:firstColumn="1" w:lastColumn="0" w:noHBand="0" w:noVBand="1"/>
      </w:tblPr>
      <w:tblGrid>
        <w:gridCol w:w="1557"/>
        <w:gridCol w:w="1557"/>
        <w:gridCol w:w="1557"/>
        <w:gridCol w:w="1703"/>
        <w:gridCol w:w="1412"/>
        <w:gridCol w:w="1558"/>
      </w:tblGrid>
      <w:tr w:rsidR="00187A4A" w:rsidRPr="00C9658A" w:rsidTr="00D678AE">
        <w:tc>
          <w:tcPr>
            <w:tcW w:w="1557" w:type="dxa"/>
            <w:shd w:val="clear" w:color="auto" w:fill="0070C0"/>
          </w:tcPr>
          <w:p w:rsidR="00187A4A" w:rsidRPr="00C9658A" w:rsidRDefault="00187A4A" w:rsidP="00D678AE">
            <w:pPr>
              <w:jc w:val="both"/>
              <w:rPr>
                <w:rFonts w:asciiTheme="minorHAnsi" w:hAnsiTheme="minorHAnsi"/>
                <w:b/>
                <w:color w:val="FFFFFF" w:themeColor="background1"/>
              </w:rPr>
            </w:pPr>
          </w:p>
        </w:tc>
        <w:tc>
          <w:tcPr>
            <w:tcW w:w="1557" w:type="dxa"/>
            <w:shd w:val="clear" w:color="auto" w:fill="0070C0"/>
            <w:vAlign w:val="center"/>
          </w:tcPr>
          <w:p w:rsidR="00187A4A" w:rsidRPr="00C9658A" w:rsidRDefault="00187A4A" w:rsidP="00D678AE">
            <w:pPr>
              <w:jc w:val="center"/>
              <w:rPr>
                <w:rFonts w:asciiTheme="minorHAnsi" w:hAnsiTheme="minorHAnsi"/>
                <w:b/>
                <w:color w:val="FFFFFF" w:themeColor="background1"/>
              </w:rPr>
            </w:pPr>
            <w:r>
              <w:rPr>
                <w:rFonts w:asciiTheme="minorHAnsi" w:hAnsiTheme="minorHAnsi"/>
                <w:b/>
                <w:color w:val="FFFFFF" w:themeColor="background1"/>
              </w:rPr>
              <w:t>Valid</w:t>
            </w:r>
          </w:p>
        </w:tc>
        <w:tc>
          <w:tcPr>
            <w:tcW w:w="3260" w:type="dxa"/>
            <w:gridSpan w:val="2"/>
            <w:shd w:val="clear" w:color="auto" w:fill="0070C0"/>
            <w:vAlign w:val="center"/>
          </w:tcPr>
          <w:p w:rsidR="00187A4A" w:rsidRPr="00C9658A" w:rsidRDefault="00187A4A" w:rsidP="00D678AE">
            <w:pPr>
              <w:jc w:val="center"/>
              <w:rPr>
                <w:rFonts w:asciiTheme="minorHAnsi" w:hAnsiTheme="minorHAnsi"/>
                <w:b/>
                <w:color w:val="FFFFFF" w:themeColor="background1"/>
              </w:rPr>
            </w:pPr>
            <w:r>
              <w:rPr>
                <w:rFonts w:asciiTheme="minorHAnsi" w:hAnsiTheme="minorHAnsi"/>
                <w:b/>
                <w:color w:val="FFFFFF" w:themeColor="background1"/>
              </w:rPr>
              <w:t>Expiring within 90 / 30 days</w:t>
            </w:r>
          </w:p>
        </w:tc>
        <w:tc>
          <w:tcPr>
            <w:tcW w:w="1412" w:type="dxa"/>
            <w:shd w:val="clear" w:color="auto" w:fill="0070C0"/>
            <w:vAlign w:val="center"/>
          </w:tcPr>
          <w:p w:rsidR="00187A4A" w:rsidRPr="00C9658A" w:rsidRDefault="00187A4A" w:rsidP="00D678AE">
            <w:pPr>
              <w:jc w:val="center"/>
              <w:rPr>
                <w:rFonts w:asciiTheme="minorHAnsi" w:hAnsiTheme="minorHAnsi"/>
                <w:b/>
                <w:color w:val="FFFFFF" w:themeColor="background1"/>
              </w:rPr>
            </w:pPr>
            <w:r>
              <w:rPr>
                <w:rFonts w:asciiTheme="minorHAnsi" w:hAnsiTheme="minorHAnsi"/>
                <w:b/>
                <w:color w:val="FFFFFF" w:themeColor="background1"/>
              </w:rPr>
              <w:t>Expired</w:t>
            </w:r>
          </w:p>
        </w:tc>
        <w:tc>
          <w:tcPr>
            <w:tcW w:w="1558" w:type="dxa"/>
            <w:shd w:val="clear" w:color="auto" w:fill="0070C0"/>
            <w:vAlign w:val="center"/>
          </w:tcPr>
          <w:p w:rsidR="00187A4A" w:rsidRPr="00C9658A" w:rsidRDefault="00187A4A" w:rsidP="00D678AE">
            <w:pPr>
              <w:jc w:val="center"/>
              <w:rPr>
                <w:rFonts w:asciiTheme="minorHAnsi" w:hAnsiTheme="minorHAnsi"/>
                <w:b/>
                <w:color w:val="FFFFFF" w:themeColor="background1"/>
              </w:rPr>
            </w:pPr>
            <w:r>
              <w:rPr>
                <w:rFonts w:asciiTheme="minorHAnsi" w:hAnsiTheme="minorHAnsi"/>
                <w:b/>
                <w:color w:val="FFFFFF" w:themeColor="background1"/>
              </w:rPr>
              <w:t>Awaiting Initial Training</w:t>
            </w:r>
          </w:p>
        </w:tc>
      </w:tr>
      <w:tr w:rsidR="00187A4A" w:rsidTr="00D678AE">
        <w:tc>
          <w:tcPr>
            <w:tcW w:w="1557" w:type="dxa"/>
          </w:tcPr>
          <w:p w:rsidR="00187A4A" w:rsidRDefault="00187A4A" w:rsidP="00D678AE">
            <w:pPr>
              <w:jc w:val="both"/>
              <w:rPr>
                <w:rFonts w:asciiTheme="minorHAnsi" w:hAnsiTheme="minorHAnsi"/>
                <w:b/>
              </w:rPr>
            </w:pPr>
          </w:p>
        </w:tc>
        <w:tc>
          <w:tcPr>
            <w:tcW w:w="1557" w:type="dxa"/>
            <w:shd w:val="clear" w:color="auto" w:fill="00B050"/>
            <w:vAlign w:val="center"/>
          </w:tcPr>
          <w:p w:rsidR="00187A4A" w:rsidRDefault="00187A4A" w:rsidP="00D678AE">
            <w:pPr>
              <w:jc w:val="center"/>
              <w:rPr>
                <w:rFonts w:asciiTheme="minorHAnsi" w:hAnsiTheme="minorHAnsi"/>
                <w:b/>
              </w:rPr>
            </w:pPr>
          </w:p>
        </w:tc>
        <w:tc>
          <w:tcPr>
            <w:tcW w:w="1557" w:type="dxa"/>
            <w:shd w:val="clear" w:color="auto" w:fill="FFC000"/>
            <w:vAlign w:val="center"/>
          </w:tcPr>
          <w:p w:rsidR="00187A4A" w:rsidRPr="00AC1E31" w:rsidRDefault="00187A4A" w:rsidP="00D678AE">
            <w:pPr>
              <w:jc w:val="center"/>
              <w:rPr>
                <w:rFonts w:asciiTheme="minorHAnsi" w:hAnsiTheme="minorHAnsi"/>
              </w:rPr>
            </w:pPr>
            <w:r w:rsidRPr="00AC1E31">
              <w:rPr>
                <w:rFonts w:asciiTheme="minorHAnsi" w:hAnsiTheme="minorHAnsi"/>
              </w:rPr>
              <w:t>30-90 days</w:t>
            </w:r>
          </w:p>
        </w:tc>
        <w:tc>
          <w:tcPr>
            <w:tcW w:w="1703" w:type="dxa"/>
            <w:shd w:val="clear" w:color="auto" w:fill="FF0000"/>
            <w:vAlign w:val="center"/>
          </w:tcPr>
          <w:p w:rsidR="00187A4A" w:rsidRPr="00AC1E31" w:rsidRDefault="00187A4A" w:rsidP="00D678AE">
            <w:pPr>
              <w:jc w:val="center"/>
              <w:rPr>
                <w:rFonts w:asciiTheme="minorHAnsi" w:hAnsiTheme="minorHAnsi"/>
              </w:rPr>
            </w:pPr>
            <w:r>
              <w:rPr>
                <w:rFonts w:asciiTheme="minorHAnsi" w:hAnsiTheme="minorHAnsi"/>
              </w:rPr>
              <w:t>&lt;</w:t>
            </w:r>
            <w:r w:rsidRPr="00AC1E31">
              <w:rPr>
                <w:rFonts w:asciiTheme="minorHAnsi" w:hAnsiTheme="minorHAnsi"/>
              </w:rPr>
              <w:t xml:space="preserve"> 30 days</w:t>
            </w:r>
          </w:p>
        </w:tc>
        <w:tc>
          <w:tcPr>
            <w:tcW w:w="1412" w:type="dxa"/>
            <w:shd w:val="clear" w:color="auto" w:fill="FF0000"/>
            <w:vAlign w:val="center"/>
          </w:tcPr>
          <w:p w:rsidR="00187A4A" w:rsidRDefault="00187A4A" w:rsidP="00D678AE">
            <w:pPr>
              <w:jc w:val="center"/>
              <w:rPr>
                <w:rFonts w:asciiTheme="minorHAnsi" w:hAnsiTheme="minorHAnsi"/>
                <w:b/>
              </w:rPr>
            </w:pPr>
          </w:p>
        </w:tc>
        <w:tc>
          <w:tcPr>
            <w:tcW w:w="1558" w:type="dxa"/>
            <w:vAlign w:val="center"/>
          </w:tcPr>
          <w:p w:rsidR="00187A4A" w:rsidRDefault="00187A4A" w:rsidP="00D678AE">
            <w:pPr>
              <w:jc w:val="center"/>
              <w:rPr>
                <w:rFonts w:asciiTheme="minorHAnsi" w:hAnsiTheme="minorHAnsi"/>
                <w:b/>
              </w:rPr>
            </w:pPr>
          </w:p>
        </w:tc>
      </w:tr>
      <w:tr w:rsidR="00187A4A" w:rsidTr="00D678AE">
        <w:tc>
          <w:tcPr>
            <w:tcW w:w="1557" w:type="dxa"/>
          </w:tcPr>
          <w:p w:rsidR="00187A4A" w:rsidRDefault="00187A4A" w:rsidP="00D678AE">
            <w:pPr>
              <w:jc w:val="both"/>
              <w:rPr>
                <w:rFonts w:asciiTheme="minorHAnsi" w:hAnsiTheme="minorHAnsi"/>
                <w:b/>
              </w:rPr>
            </w:pPr>
            <w:r>
              <w:rPr>
                <w:rFonts w:asciiTheme="minorHAnsi" w:hAnsiTheme="minorHAnsi"/>
                <w:b/>
              </w:rPr>
              <w:t>Wholetime</w:t>
            </w:r>
          </w:p>
        </w:tc>
        <w:tc>
          <w:tcPr>
            <w:tcW w:w="1557" w:type="dxa"/>
            <w:vAlign w:val="center"/>
          </w:tcPr>
          <w:p w:rsidR="00187A4A" w:rsidRPr="00AC1E31" w:rsidRDefault="00187A4A" w:rsidP="00D678AE">
            <w:pPr>
              <w:jc w:val="center"/>
              <w:rPr>
                <w:rFonts w:asciiTheme="minorHAnsi" w:hAnsiTheme="minorHAnsi"/>
              </w:rPr>
            </w:pPr>
            <w:r>
              <w:rPr>
                <w:rFonts w:asciiTheme="minorHAnsi" w:hAnsiTheme="minorHAnsi"/>
              </w:rPr>
              <w:t>145</w:t>
            </w:r>
          </w:p>
        </w:tc>
        <w:tc>
          <w:tcPr>
            <w:tcW w:w="1557" w:type="dxa"/>
            <w:vAlign w:val="center"/>
          </w:tcPr>
          <w:p w:rsidR="00187A4A" w:rsidRPr="00AC1E31" w:rsidRDefault="00187A4A" w:rsidP="00D678AE">
            <w:pPr>
              <w:jc w:val="center"/>
              <w:rPr>
                <w:rFonts w:asciiTheme="minorHAnsi" w:hAnsiTheme="minorHAnsi"/>
              </w:rPr>
            </w:pPr>
            <w:r>
              <w:rPr>
                <w:rFonts w:asciiTheme="minorHAnsi" w:hAnsiTheme="minorHAnsi"/>
              </w:rPr>
              <w:t>0</w:t>
            </w:r>
          </w:p>
        </w:tc>
        <w:tc>
          <w:tcPr>
            <w:tcW w:w="1703" w:type="dxa"/>
            <w:vAlign w:val="center"/>
          </w:tcPr>
          <w:p w:rsidR="00187A4A" w:rsidRPr="00AC1E31" w:rsidRDefault="00187A4A" w:rsidP="00D678AE">
            <w:pPr>
              <w:jc w:val="center"/>
              <w:rPr>
                <w:rFonts w:asciiTheme="minorHAnsi" w:hAnsiTheme="minorHAnsi"/>
              </w:rPr>
            </w:pPr>
            <w:r>
              <w:rPr>
                <w:rFonts w:asciiTheme="minorHAnsi" w:hAnsiTheme="minorHAnsi"/>
              </w:rPr>
              <w:t>2</w:t>
            </w:r>
          </w:p>
        </w:tc>
        <w:tc>
          <w:tcPr>
            <w:tcW w:w="1412" w:type="dxa"/>
            <w:vAlign w:val="center"/>
          </w:tcPr>
          <w:p w:rsidR="00187A4A" w:rsidRPr="00AC1E31" w:rsidRDefault="00187A4A" w:rsidP="00D678AE">
            <w:pPr>
              <w:jc w:val="center"/>
              <w:rPr>
                <w:rFonts w:asciiTheme="minorHAnsi" w:hAnsiTheme="minorHAnsi"/>
              </w:rPr>
            </w:pPr>
            <w:r>
              <w:rPr>
                <w:rFonts w:asciiTheme="minorHAnsi" w:hAnsiTheme="minorHAnsi"/>
              </w:rPr>
              <w:t>0</w:t>
            </w:r>
          </w:p>
        </w:tc>
        <w:tc>
          <w:tcPr>
            <w:tcW w:w="1558" w:type="dxa"/>
            <w:vAlign w:val="center"/>
          </w:tcPr>
          <w:p w:rsidR="00187A4A" w:rsidRPr="00AC1E31" w:rsidRDefault="00187A4A" w:rsidP="00D678AE">
            <w:pPr>
              <w:jc w:val="center"/>
              <w:rPr>
                <w:rFonts w:asciiTheme="minorHAnsi" w:hAnsiTheme="minorHAnsi"/>
              </w:rPr>
            </w:pPr>
            <w:r>
              <w:rPr>
                <w:rFonts w:asciiTheme="minorHAnsi" w:hAnsiTheme="minorHAnsi"/>
              </w:rPr>
              <w:t>0</w:t>
            </w:r>
          </w:p>
        </w:tc>
      </w:tr>
      <w:tr w:rsidR="00187A4A" w:rsidTr="00D678AE">
        <w:tc>
          <w:tcPr>
            <w:tcW w:w="1557" w:type="dxa"/>
          </w:tcPr>
          <w:p w:rsidR="00187A4A" w:rsidRDefault="00187A4A" w:rsidP="00D678AE">
            <w:pPr>
              <w:jc w:val="both"/>
              <w:rPr>
                <w:rFonts w:asciiTheme="minorHAnsi" w:hAnsiTheme="minorHAnsi"/>
                <w:b/>
              </w:rPr>
            </w:pPr>
            <w:r>
              <w:rPr>
                <w:rFonts w:asciiTheme="minorHAnsi" w:hAnsiTheme="minorHAnsi"/>
                <w:b/>
              </w:rPr>
              <w:t>On-call</w:t>
            </w:r>
          </w:p>
        </w:tc>
        <w:tc>
          <w:tcPr>
            <w:tcW w:w="1557" w:type="dxa"/>
            <w:vAlign w:val="center"/>
          </w:tcPr>
          <w:p w:rsidR="00187A4A" w:rsidRPr="00AC1E31" w:rsidRDefault="00187A4A" w:rsidP="00D678AE">
            <w:pPr>
              <w:jc w:val="center"/>
              <w:rPr>
                <w:rFonts w:asciiTheme="minorHAnsi" w:hAnsiTheme="minorHAnsi"/>
              </w:rPr>
            </w:pPr>
            <w:r>
              <w:rPr>
                <w:rFonts w:asciiTheme="minorHAnsi" w:hAnsiTheme="minorHAnsi"/>
              </w:rPr>
              <w:t>107</w:t>
            </w:r>
          </w:p>
        </w:tc>
        <w:tc>
          <w:tcPr>
            <w:tcW w:w="1557" w:type="dxa"/>
            <w:vAlign w:val="center"/>
          </w:tcPr>
          <w:p w:rsidR="00187A4A" w:rsidRPr="00AC1E31" w:rsidRDefault="00187A4A" w:rsidP="00D678AE">
            <w:pPr>
              <w:jc w:val="center"/>
              <w:rPr>
                <w:rFonts w:asciiTheme="minorHAnsi" w:hAnsiTheme="minorHAnsi"/>
              </w:rPr>
            </w:pPr>
            <w:r>
              <w:rPr>
                <w:rFonts w:asciiTheme="minorHAnsi" w:hAnsiTheme="minorHAnsi"/>
              </w:rPr>
              <w:t>2</w:t>
            </w:r>
          </w:p>
        </w:tc>
        <w:tc>
          <w:tcPr>
            <w:tcW w:w="1703" w:type="dxa"/>
            <w:vAlign w:val="center"/>
          </w:tcPr>
          <w:p w:rsidR="00187A4A" w:rsidRPr="00AC1E31" w:rsidRDefault="00187A4A" w:rsidP="00D678AE">
            <w:pPr>
              <w:jc w:val="center"/>
              <w:rPr>
                <w:rFonts w:asciiTheme="minorHAnsi" w:hAnsiTheme="minorHAnsi"/>
              </w:rPr>
            </w:pPr>
            <w:r>
              <w:rPr>
                <w:rFonts w:asciiTheme="minorHAnsi" w:hAnsiTheme="minorHAnsi"/>
              </w:rPr>
              <w:t>11</w:t>
            </w:r>
          </w:p>
        </w:tc>
        <w:tc>
          <w:tcPr>
            <w:tcW w:w="1412" w:type="dxa"/>
            <w:vAlign w:val="center"/>
          </w:tcPr>
          <w:p w:rsidR="00187A4A" w:rsidRPr="00AC1E31" w:rsidRDefault="00187A4A" w:rsidP="00D678AE">
            <w:pPr>
              <w:jc w:val="center"/>
              <w:rPr>
                <w:rFonts w:asciiTheme="minorHAnsi" w:hAnsiTheme="minorHAnsi"/>
              </w:rPr>
            </w:pPr>
            <w:r>
              <w:rPr>
                <w:rFonts w:asciiTheme="minorHAnsi" w:hAnsiTheme="minorHAnsi"/>
              </w:rPr>
              <w:t>2</w:t>
            </w:r>
          </w:p>
        </w:tc>
        <w:tc>
          <w:tcPr>
            <w:tcW w:w="1558" w:type="dxa"/>
            <w:vAlign w:val="center"/>
          </w:tcPr>
          <w:p w:rsidR="00187A4A" w:rsidRPr="00AC1E31" w:rsidRDefault="00187A4A" w:rsidP="00D678AE">
            <w:pPr>
              <w:jc w:val="center"/>
              <w:rPr>
                <w:rFonts w:asciiTheme="minorHAnsi" w:hAnsiTheme="minorHAnsi"/>
              </w:rPr>
            </w:pPr>
            <w:r>
              <w:rPr>
                <w:rFonts w:asciiTheme="minorHAnsi" w:hAnsiTheme="minorHAnsi"/>
              </w:rPr>
              <w:t>1</w:t>
            </w:r>
          </w:p>
        </w:tc>
      </w:tr>
      <w:tr w:rsidR="00187A4A" w:rsidTr="00D678AE">
        <w:tc>
          <w:tcPr>
            <w:tcW w:w="1557" w:type="dxa"/>
          </w:tcPr>
          <w:p w:rsidR="00187A4A" w:rsidRDefault="00187A4A" w:rsidP="00D678AE">
            <w:pPr>
              <w:jc w:val="both"/>
              <w:rPr>
                <w:rFonts w:asciiTheme="minorHAnsi" w:hAnsiTheme="minorHAnsi"/>
                <w:b/>
              </w:rPr>
            </w:pPr>
            <w:r>
              <w:rPr>
                <w:rFonts w:asciiTheme="minorHAnsi" w:hAnsiTheme="minorHAnsi"/>
                <w:b/>
              </w:rPr>
              <w:t>Overall</w:t>
            </w:r>
          </w:p>
        </w:tc>
        <w:tc>
          <w:tcPr>
            <w:tcW w:w="1557" w:type="dxa"/>
            <w:vAlign w:val="center"/>
          </w:tcPr>
          <w:p w:rsidR="00187A4A" w:rsidRPr="00AC1E31" w:rsidRDefault="00187A4A" w:rsidP="00D678AE">
            <w:pPr>
              <w:jc w:val="center"/>
              <w:rPr>
                <w:rFonts w:asciiTheme="minorHAnsi" w:hAnsiTheme="minorHAnsi"/>
              </w:rPr>
            </w:pPr>
            <w:r>
              <w:rPr>
                <w:rFonts w:asciiTheme="minorHAnsi" w:hAnsiTheme="minorHAnsi"/>
              </w:rPr>
              <w:t>252</w:t>
            </w:r>
          </w:p>
        </w:tc>
        <w:tc>
          <w:tcPr>
            <w:tcW w:w="1557" w:type="dxa"/>
            <w:vAlign w:val="center"/>
          </w:tcPr>
          <w:p w:rsidR="00187A4A" w:rsidRPr="00AC1E31" w:rsidRDefault="00187A4A" w:rsidP="00D678AE">
            <w:pPr>
              <w:jc w:val="center"/>
              <w:rPr>
                <w:rFonts w:asciiTheme="minorHAnsi" w:hAnsiTheme="minorHAnsi"/>
              </w:rPr>
            </w:pPr>
            <w:r>
              <w:rPr>
                <w:rFonts w:asciiTheme="minorHAnsi" w:hAnsiTheme="minorHAnsi"/>
              </w:rPr>
              <w:t>2</w:t>
            </w:r>
          </w:p>
        </w:tc>
        <w:tc>
          <w:tcPr>
            <w:tcW w:w="1703" w:type="dxa"/>
            <w:vAlign w:val="center"/>
          </w:tcPr>
          <w:p w:rsidR="00187A4A" w:rsidRPr="00AC1E31" w:rsidRDefault="00187A4A" w:rsidP="00D678AE">
            <w:pPr>
              <w:jc w:val="center"/>
              <w:rPr>
                <w:rFonts w:asciiTheme="minorHAnsi" w:hAnsiTheme="minorHAnsi"/>
              </w:rPr>
            </w:pPr>
            <w:r>
              <w:rPr>
                <w:rFonts w:asciiTheme="minorHAnsi" w:hAnsiTheme="minorHAnsi"/>
              </w:rPr>
              <w:t>13</w:t>
            </w:r>
          </w:p>
        </w:tc>
        <w:tc>
          <w:tcPr>
            <w:tcW w:w="1412" w:type="dxa"/>
            <w:vAlign w:val="center"/>
          </w:tcPr>
          <w:p w:rsidR="00187A4A" w:rsidRPr="00AC1E31" w:rsidRDefault="00187A4A" w:rsidP="00D678AE">
            <w:pPr>
              <w:jc w:val="center"/>
              <w:rPr>
                <w:rFonts w:asciiTheme="minorHAnsi" w:hAnsiTheme="minorHAnsi"/>
              </w:rPr>
            </w:pPr>
            <w:r>
              <w:rPr>
                <w:rFonts w:asciiTheme="minorHAnsi" w:hAnsiTheme="minorHAnsi"/>
              </w:rPr>
              <w:t>2</w:t>
            </w:r>
          </w:p>
        </w:tc>
        <w:tc>
          <w:tcPr>
            <w:tcW w:w="1558" w:type="dxa"/>
            <w:vAlign w:val="center"/>
          </w:tcPr>
          <w:p w:rsidR="00187A4A" w:rsidRPr="00AC1E31" w:rsidRDefault="00187A4A" w:rsidP="00D678AE">
            <w:pPr>
              <w:jc w:val="center"/>
              <w:rPr>
                <w:rFonts w:asciiTheme="minorHAnsi" w:hAnsiTheme="minorHAnsi"/>
              </w:rPr>
            </w:pPr>
            <w:r>
              <w:rPr>
                <w:rFonts w:asciiTheme="minorHAnsi" w:hAnsiTheme="minorHAnsi"/>
              </w:rPr>
              <w:t>1</w:t>
            </w:r>
          </w:p>
        </w:tc>
      </w:tr>
    </w:tbl>
    <w:p w:rsidR="00187A4A" w:rsidRDefault="00187A4A" w:rsidP="00187A4A">
      <w:pPr>
        <w:jc w:val="both"/>
        <w:rPr>
          <w:rFonts w:asciiTheme="minorHAnsi" w:hAnsiTheme="minorHAnsi"/>
          <w:b/>
        </w:rPr>
      </w:pPr>
    </w:p>
    <w:p w:rsidR="00187A4A" w:rsidRPr="00674FB3" w:rsidRDefault="00187A4A" w:rsidP="00187A4A">
      <w:pPr>
        <w:jc w:val="both"/>
        <w:rPr>
          <w:rFonts w:asciiTheme="minorHAnsi" w:hAnsiTheme="minorHAnsi"/>
        </w:rPr>
      </w:pPr>
      <w:r>
        <w:rPr>
          <w:rFonts w:asciiTheme="minorHAnsi" w:hAnsiTheme="minorHAnsi"/>
        </w:rPr>
        <w:t xml:space="preserve">Station-based Crew and Watch Managers are required to hold an ICSV Level 1 qualification. </w:t>
      </w:r>
    </w:p>
    <w:p w:rsidR="00187A4A" w:rsidRDefault="00187A4A" w:rsidP="00187A4A">
      <w:pPr>
        <w:jc w:val="both"/>
        <w:rPr>
          <w:rFonts w:asciiTheme="minorHAnsi" w:hAnsiTheme="minorHAnsi"/>
          <w:b/>
        </w:rPr>
      </w:pPr>
    </w:p>
    <w:p w:rsidR="00187A4A" w:rsidRDefault="00187A4A" w:rsidP="00187A4A">
      <w:pPr>
        <w:jc w:val="both"/>
        <w:rPr>
          <w:rFonts w:asciiTheme="minorHAnsi" w:hAnsiTheme="minorHAnsi"/>
          <w:b/>
        </w:rPr>
      </w:pPr>
      <w:r>
        <w:rPr>
          <w:rFonts w:asciiTheme="minorHAnsi" w:hAnsiTheme="minorHAnsi"/>
          <w:b/>
        </w:rPr>
        <w:t>Emergency Response Driver – Qualifications</w:t>
      </w:r>
    </w:p>
    <w:p w:rsidR="00187A4A" w:rsidRDefault="00187A4A" w:rsidP="00187A4A">
      <w:pPr>
        <w:jc w:val="both"/>
        <w:rPr>
          <w:rFonts w:asciiTheme="minorHAnsi" w:hAnsiTheme="minorHAnsi"/>
          <w:b/>
        </w:rPr>
      </w:pPr>
    </w:p>
    <w:tbl>
      <w:tblPr>
        <w:tblStyle w:val="TableGrid"/>
        <w:tblW w:w="0" w:type="auto"/>
        <w:tblLook w:val="04A0" w:firstRow="1" w:lastRow="0" w:firstColumn="1" w:lastColumn="0" w:noHBand="0" w:noVBand="1"/>
      </w:tblPr>
      <w:tblGrid>
        <w:gridCol w:w="1557"/>
        <w:gridCol w:w="1557"/>
        <w:gridCol w:w="1557"/>
        <w:gridCol w:w="1703"/>
        <w:gridCol w:w="1412"/>
      </w:tblGrid>
      <w:tr w:rsidR="00187A4A" w:rsidRPr="00C9658A" w:rsidTr="00D678AE">
        <w:tc>
          <w:tcPr>
            <w:tcW w:w="1557" w:type="dxa"/>
            <w:shd w:val="clear" w:color="auto" w:fill="0070C0"/>
          </w:tcPr>
          <w:p w:rsidR="00187A4A" w:rsidRPr="00C9658A" w:rsidRDefault="00187A4A" w:rsidP="00D678AE">
            <w:pPr>
              <w:jc w:val="both"/>
              <w:rPr>
                <w:rFonts w:asciiTheme="minorHAnsi" w:hAnsiTheme="minorHAnsi"/>
                <w:b/>
                <w:color w:val="FFFFFF" w:themeColor="background1"/>
              </w:rPr>
            </w:pPr>
          </w:p>
        </w:tc>
        <w:tc>
          <w:tcPr>
            <w:tcW w:w="1557" w:type="dxa"/>
            <w:shd w:val="clear" w:color="auto" w:fill="0070C0"/>
            <w:vAlign w:val="center"/>
          </w:tcPr>
          <w:p w:rsidR="00187A4A" w:rsidRPr="00C9658A" w:rsidRDefault="00187A4A" w:rsidP="00D678AE">
            <w:pPr>
              <w:jc w:val="center"/>
              <w:rPr>
                <w:rFonts w:asciiTheme="minorHAnsi" w:hAnsiTheme="minorHAnsi"/>
                <w:b/>
                <w:color w:val="FFFFFF" w:themeColor="background1"/>
              </w:rPr>
            </w:pPr>
            <w:r>
              <w:rPr>
                <w:rFonts w:asciiTheme="minorHAnsi" w:hAnsiTheme="minorHAnsi"/>
                <w:b/>
                <w:color w:val="FFFFFF" w:themeColor="background1"/>
              </w:rPr>
              <w:t>Valid</w:t>
            </w:r>
          </w:p>
        </w:tc>
        <w:tc>
          <w:tcPr>
            <w:tcW w:w="3260" w:type="dxa"/>
            <w:gridSpan w:val="2"/>
            <w:shd w:val="clear" w:color="auto" w:fill="0070C0"/>
            <w:vAlign w:val="center"/>
          </w:tcPr>
          <w:p w:rsidR="00187A4A" w:rsidRPr="00C9658A" w:rsidRDefault="00187A4A" w:rsidP="00D678AE">
            <w:pPr>
              <w:jc w:val="center"/>
              <w:rPr>
                <w:rFonts w:asciiTheme="minorHAnsi" w:hAnsiTheme="minorHAnsi"/>
                <w:b/>
                <w:color w:val="FFFFFF" w:themeColor="background1"/>
              </w:rPr>
            </w:pPr>
            <w:r>
              <w:rPr>
                <w:rFonts w:asciiTheme="minorHAnsi" w:hAnsiTheme="minorHAnsi"/>
                <w:b/>
                <w:color w:val="FFFFFF" w:themeColor="background1"/>
              </w:rPr>
              <w:t>Expiring within 90 / 30 days</w:t>
            </w:r>
          </w:p>
        </w:tc>
        <w:tc>
          <w:tcPr>
            <w:tcW w:w="1412" w:type="dxa"/>
            <w:shd w:val="clear" w:color="auto" w:fill="0070C0"/>
            <w:vAlign w:val="center"/>
          </w:tcPr>
          <w:p w:rsidR="00187A4A" w:rsidRPr="00C9658A" w:rsidRDefault="00187A4A" w:rsidP="00D678AE">
            <w:pPr>
              <w:jc w:val="center"/>
              <w:rPr>
                <w:rFonts w:asciiTheme="minorHAnsi" w:hAnsiTheme="minorHAnsi"/>
                <w:b/>
                <w:color w:val="FFFFFF" w:themeColor="background1"/>
              </w:rPr>
            </w:pPr>
            <w:r>
              <w:rPr>
                <w:rFonts w:asciiTheme="minorHAnsi" w:hAnsiTheme="minorHAnsi"/>
                <w:b/>
                <w:color w:val="FFFFFF" w:themeColor="background1"/>
              </w:rPr>
              <w:t>Expired</w:t>
            </w:r>
          </w:p>
        </w:tc>
      </w:tr>
      <w:tr w:rsidR="00187A4A" w:rsidTr="00D678AE">
        <w:tc>
          <w:tcPr>
            <w:tcW w:w="1557" w:type="dxa"/>
          </w:tcPr>
          <w:p w:rsidR="00187A4A" w:rsidRDefault="00187A4A" w:rsidP="00D678AE">
            <w:pPr>
              <w:jc w:val="both"/>
              <w:rPr>
                <w:rFonts w:asciiTheme="minorHAnsi" w:hAnsiTheme="minorHAnsi"/>
                <w:b/>
              </w:rPr>
            </w:pPr>
          </w:p>
        </w:tc>
        <w:tc>
          <w:tcPr>
            <w:tcW w:w="1557" w:type="dxa"/>
            <w:shd w:val="clear" w:color="auto" w:fill="00B050"/>
            <w:vAlign w:val="center"/>
          </w:tcPr>
          <w:p w:rsidR="00187A4A" w:rsidRDefault="00187A4A" w:rsidP="00D678AE">
            <w:pPr>
              <w:jc w:val="center"/>
              <w:rPr>
                <w:rFonts w:asciiTheme="minorHAnsi" w:hAnsiTheme="minorHAnsi"/>
                <w:b/>
              </w:rPr>
            </w:pPr>
          </w:p>
        </w:tc>
        <w:tc>
          <w:tcPr>
            <w:tcW w:w="1557" w:type="dxa"/>
            <w:shd w:val="clear" w:color="auto" w:fill="FFC000"/>
            <w:vAlign w:val="center"/>
          </w:tcPr>
          <w:p w:rsidR="00187A4A" w:rsidRPr="00AC1E31" w:rsidRDefault="00187A4A" w:rsidP="00D678AE">
            <w:pPr>
              <w:jc w:val="center"/>
              <w:rPr>
                <w:rFonts w:asciiTheme="minorHAnsi" w:hAnsiTheme="minorHAnsi"/>
              </w:rPr>
            </w:pPr>
            <w:r w:rsidRPr="00AC1E31">
              <w:rPr>
                <w:rFonts w:asciiTheme="minorHAnsi" w:hAnsiTheme="minorHAnsi"/>
              </w:rPr>
              <w:t>30-90 days</w:t>
            </w:r>
          </w:p>
        </w:tc>
        <w:tc>
          <w:tcPr>
            <w:tcW w:w="1703" w:type="dxa"/>
            <w:shd w:val="clear" w:color="auto" w:fill="FF0000"/>
            <w:vAlign w:val="center"/>
          </w:tcPr>
          <w:p w:rsidR="00187A4A" w:rsidRPr="00AC1E31" w:rsidRDefault="00187A4A" w:rsidP="00D678AE">
            <w:pPr>
              <w:jc w:val="center"/>
              <w:rPr>
                <w:rFonts w:asciiTheme="minorHAnsi" w:hAnsiTheme="minorHAnsi"/>
              </w:rPr>
            </w:pPr>
            <w:r>
              <w:rPr>
                <w:rFonts w:asciiTheme="minorHAnsi" w:hAnsiTheme="minorHAnsi"/>
              </w:rPr>
              <w:t>&lt;</w:t>
            </w:r>
            <w:r w:rsidRPr="00AC1E31">
              <w:rPr>
                <w:rFonts w:asciiTheme="minorHAnsi" w:hAnsiTheme="minorHAnsi"/>
              </w:rPr>
              <w:t xml:space="preserve"> 30 days</w:t>
            </w:r>
          </w:p>
        </w:tc>
        <w:tc>
          <w:tcPr>
            <w:tcW w:w="1412" w:type="dxa"/>
            <w:shd w:val="clear" w:color="auto" w:fill="FF0000"/>
            <w:vAlign w:val="center"/>
          </w:tcPr>
          <w:p w:rsidR="00187A4A" w:rsidRDefault="00187A4A" w:rsidP="00D678AE">
            <w:pPr>
              <w:jc w:val="center"/>
              <w:rPr>
                <w:rFonts w:asciiTheme="minorHAnsi" w:hAnsiTheme="minorHAnsi"/>
                <w:b/>
              </w:rPr>
            </w:pPr>
          </w:p>
        </w:tc>
      </w:tr>
      <w:tr w:rsidR="00187A4A" w:rsidTr="00D678AE">
        <w:tc>
          <w:tcPr>
            <w:tcW w:w="1557" w:type="dxa"/>
          </w:tcPr>
          <w:p w:rsidR="00187A4A" w:rsidRDefault="00187A4A" w:rsidP="00D678AE">
            <w:pPr>
              <w:jc w:val="both"/>
              <w:rPr>
                <w:rFonts w:asciiTheme="minorHAnsi" w:hAnsiTheme="minorHAnsi"/>
                <w:b/>
              </w:rPr>
            </w:pPr>
            <w:r>
              <w:rPr>
                <w:rFonts w:asciiTheme="minorHAnsi" w:hAnsiTheme="minorHAnsi"/>
                <w:b/>
              </w:rPr>
              <w:t>Wholetime</w:t>
            </w:r>
          </w:p>
        </w:tc>
        <w:tc>
          <w:tcPr>
            <w:tcW w:w="1557" w:type="dxa"/>
            <w:vAlign w:val="center"/>
          </w:tcPr>
          <w:p w:rsidR="00187A4A" w:rsidRPr="00AC1E31" w:rsidRDefault="00187A4A" w:rsidP="00D678AE">
            <w:pPr>
              <w:jc w:val="center"/>
              <w:rPr>
                <w:rFonts w:asciiTheme="minorHAnsi" w:hAnsiTheme="minorHAnsi"/>
              </w:rPr>
            </w:pPr>
            <w:r>
              <w:rPr>
                <w:rFonts w:asciiTheme="minorHAnsi" w:hAnsiTheme="minorHAnsi"/>
              </w:rPr>
              <w:t>323</w:t>
            </w:r>
          </w:p>
        </w:tc>
        <w:tc>
          <w:tcPr>
            <w:tcW w:w="1557" w:type="dxa"/>
            <w:vAlign w:val="center"/>
          </w:tcPr>
          <w:p w:rsidR="00187A4A" w:rsidRPr="00AC1E31" w:rsidRDefault="00187A4A" w:rsidP="00D678AE">
            <w:pPr>
              <w:jc w:val="center"/>
              <w:rPr>
                <w:rFonts w:asciiTheme="minorHAnsi" w:hAnsiTheme="minorHAnsi"/>
              </w:rPr>
            </w:pPr>
            <w:r>
              <w:rPr>
                <w:rFonts w:asciiTheme="minorHAnsi" w:hAnsiTheme="minorHAnsi"/>
              </w:rPr>
              <w:t>1</w:t>
            </w:r>
          </w:p>
        </w:tc>
        <w:tc>
          <w:tcPr>
            <w:tcW w:w="1703" w:type="dxa"/>
            <w:vAlign w:val="center"/>
          </w:tcPr>
          <w:p w:rsidR="00187A4A" w:rsidRPr="00AC1E31" w:rsidRDefault="00187A4A" w:rsidP="00D678AE">
            <w:pPr>
              <w:jc w:val="center"/>
              <w:rPr>
                <w:rFonts w:asciiTheme="minorHAnsi" w:hAnsiTheme="minorHAnsi"/>
              </w:rPr>
            </w:pPr>
            <w:r>
              <w:rPr>
                <w:rFonts w:asciiTheme="minorHAnsi" w:hAnsiTheme="minorHAnsi"/>
              </w:rPr>
              <w:t>0</w:t>
            </w:r>
          </w:p>
        </w:tc>
        <w:tc>
          <w:tcPr>
            <w:tcW w:w="1412" w:type="dxa"/>
            <w:vAlign w:val="center"/>
          </w:tcPr>
          <w:p w:rsidR="00187A4A" w:rsidRPr="00AC1E31" w:rsidRDefault="00187A4A" w:rsidP="00D678AE">
            <w:pPr>
              <w:jc w:val="center"/>
              <w:rPr>
                <w:rFonts w:asciiTheme="minorHAnsi" w:hAnsiTheme="minorHAnsi"/>
              </w:rPr>
            </w:pPr>
            <w:r>
              <w:rPr>
                <w:rFonts w:asciiTheme="minorHAnsi" w:hAnsiTheme="minorHAnsi"/>
              </w:rPr>
              <w:t>0</w:t>
            </w:r>
          </w:p>
        </w:tc>
      </w:tr>
      <w:tr w:rsidR="00187A4A" w:rsidTr="00D678AE">
        <w:tc>
          <w:tcPr>
            <w:tcW w:w="1557" w:type="dxa"/>
          </w:tcPr>
          <w:p w:rsidR="00187A4A" w:rsidRDefault="00187A4A" w:rsidP="00D678AE">
            <w:pPr>
              <w:jc w:val="both"/>
              <w:rPr>
                <w:rFonts w:asciiTheme="minorHAnsi" w:hAnsiTheme="minorHAnsi"/>
                <w:b/>
              </w:rPr>
            </w:pPr>
            <w:r>
              <w:rPr>
                <w:rFonts w:asciiTheme="minorHAnsi" w:hAnsiTheme="minorHAnsi"/>
                <w:b/>
              </w:rPr>
              <w:t>On-call</w:t>
            </w:r>
          </w:p>
        </w:tc>
        <w:tc>
          <w:tcPr>
            <w:tcW w:w="1557" w:type="dxa"/>
            <w:vAlign w:val="center"/>
          </w:tcPr>
          <w:p w:rsidR="00187A4A" w:rsidRPr="00AC1E31" w:rsidRDefault="00187A4A" w:rsidP="00D678AE">
            <w:pPr>
              <w:jc w:val="center"/>
              <w:rPr>
                <w:rFonts w:asciiTheme="minorHAnsi" w:hAnsiTheme="minorHAnsi"/>
              </w:rPr>
            </w:pPr>
            <w:r>
              <w:rPr>
                <w:rFonts w:asciiTheme="minorHAnsi" w:hAnsiTheme="minorHAnsi"/>
              </w:rPr>
              <w:t>239</w:t>
            </w:r>
          </w:p>
        </w:tc>
        <w:tc>
          <w:tcPr>
            <w:tcW w:w="1557" w:type="dxa"/>
            <w:vAlign w:val="center"/>
          </w:tcPr>
          <w:p w:rsidR="00187A4A" w:rsidRPr="00AC1E31" w:rsidRDefault="00187A4A" w:rsidP="00D678AE">
            <w:pPr>
              <w:jc w:val="center"/>
              <w:rPr>
                <w:rFonts w:asciiTheme="minorHAnsi" w:hAnsiTheme="minorHAnsi"/>
              </w:rPr>
            </w:pPr>
            <w:r>
              <w:rPr>
                <w:rFonts w:asciiTheme="minorHAnsi" w:hAnsiTheme="minorHAnsi"/>
              </w:rPr>
              <w:t>1</w:t>
            </w:r>
          </w:p>
        </w:tc>
        <w:tc>
          <w:tcPr>
            <w:tcW w:w="1703" w:type="dxa"/>
            <w:vAlign w:val="center"/>
          </w:tcPr>
          <w:p w:rsidR="00187A4A" w:rsidRPr="00AC1E31" w:rsidRDefault="00187A4A" w:rsidP="00D678AE">
            <w:pPr>
              <w:jc w:val="center"/>
              <w:rPr>
                <w:rFonts w:asciiTheme="minorHAnsi" w:hAnsiTheme="minorHAnsi"/>
              </w:rPr>
            </w:pPr>
            <w:r>
              <w:rPr>
                <w:rFonts w:asciiTheme="minorHAnsi" w:hAnsiTheme="minorHAnsi"/>
              </w:rPr>
              <w:t>0</w:t>
            </w:r>
          </w:p>
        </w:tc>
        <w:tc>
          <w:tcPr>
            <w:tcW w:w="1412" w:type="dxa"/>
            <w:vAlign w:val="center"/>
          </w:tcPr>
          <w:p w:rsidR="00187A4A" w:rsidRPr="00AC1E31" w:rsidRDefault="00187A4A" w:rsidP="00D678AE">
            <w:pPr>
              <w:jc w:val="center"/>
              <w:rPr>
                <w:rFonts w:asciiTheme="minorHAnsi" w:hAnsiTheme="minorHAnsi"/>
              </w:rPr>
            </w:pPr>
            <w:r>
              <w:rPr>
                <w:rFonts w:asciiTheme="minorHAnsi" w:hAnsiTheme="minorHAnsi"/>
              </w:rPr>
              <w:t>0</w:t>
            </w:r>
          </w:p>
        </w:tc>
      </w:tr>
      <w:tr w:rsidR="00187A4A" w:rsidTr="00D678AE">
        <w:tc>
          <w:tcPr>
            <w:tcW w:w="1557" w:type="dxa"/>
          </w:tcPr>
          <w:p w:rsidR="00187A4A" w:rsidRDefault="00187A4A" w:rsidP="00D678AE">
            <w:pPr>
              <w:jc w:val="both"/>
              <w:rPr>
                <w:rFonts w:asciiTheme="minorHAnsi" w:hAnsiTheme="minorHAnsi"/>
                <w:b/>
              </w:rPr>
            </w:pPr>
            <w:r>
              <w:rPr>
                <w:rFonts w:asciiTheme="minorHAnsi" w:hAnsiTheme="minorHAnsi"/>
                <w:b/>
              </w:rPr>
              <w:t>Overall</w:t>
            </w:r>
          </w:p>
        </w:tc>
        <w:tc>
          <w:tcPr>
            <w:tcW w:w="1557" w:type="dxa"/>
            <w:vAlign w:val="center"/>
          </w:tcPr>
          <w:p w:rsidR="00187A4A" w:rsidRPr="00AC1E31" w:rsidRDefault="00187A4A" w:rsidP="00D678AE">
            <w:pPr>
              <w:jc w:val="center"/>
              <w:rPr>
                <w:rFonts w:asciiTheme="minorHAnsi" w:hAnsiTheme="minorHAnsi"/>
              </w:rPr>
            </w:pPr>
            <w:r>
              <w:rPr>
                <w:rFonts w:asciiTheme="minorHAnsi" w:hAnsiTheme="minorHAnsi"/>
              </w:rPr>
              <w:t>99.6%</w:t>
            </w:r>
          </w:p>
        </w:tc>
        <w:tc>
          <w:tcPr>
            <w:tcW w:w="1557" w:type="dxa"/>
            <w:vAlign w:val="center"/>
          </w:tcPr>
          <w:p w:rsidR="00187A4A" w:rsidRPr="00AC1E31" w:rsidRDefault="00187A4A" w:rsidP="00D678AE">
            <w:pPr>
              <w:jc w:val="center"/>
              <w:rPr>
                <w:rFonts w:asciiTheme="minorHAnsi" w:hAnsiTheme="minorHAnsi"/>
              </w:rPr>
            </w:pPr>
            <w:r>
              <w:rPr>
                <w:rFonts w:asciiTheme="minorHAnsi" w:hAnsiTheme="minorHAnsi"/>
              </w:rPr>
              <w:t>0.4%</w:t>
            </w:r>
          </w:p>
        </w:tc>
        <w:tc>
          <w:tcPr>
            <w:tcW w:w="1703" w:type="dxa"/>
            <w:vAlign w:val="center"/>
          </w:tcPr>
          <w:p w:rsidR="00187A4A" w:rsidRPr="00AC1E31" w:rsidRDefault="00187A4A" w:rsidP="00D678AE">
            <w:pPr>
              <w:jc w:val="center"/>
              <w:rPr>
                <w:rFonts w:asciiTheme="minorHAnsi" w:hAnsiTheme="minorHAnsi"/>
              </w:rPr>
            </w:pPr>
            <w:r>
              <w:rPr>
                <w:rFonts w:asciiTheme="minorHAnsi" w:hAnsiTheme="minorHAnsi"/>
              </w:rPr>
              <w:t>0%</w:t>
            </w:r>
          </w:p>
        </w:tc>
        <w:tc>
          <w:tcPr>
            <w:tcW w:w="1412" w:type="dxa"/>
            <w:vAlign w:val="center"/>
          </w:tcPr>
          <w:p w:rsidR="00187A4A" w:rsidRPr="00AC1E31" w:rsidRDefault="00187A4A" w:rsidP="00D678AE">
            <w:pPr>
              <w:jc w:val="center"/>
              <w:rPr>
                <w:rFonts w:asciiTheme="minorHAnsi" w:hAnsiTheme="minorHAnsi"/>
              </w:rPr>
            </w:pPr>
            <w:r>
              <w:rPr>
                <w:rFonts w:asciiTheme="minorHAnsi" w:hAnsiTheme="minorHAnsi"/>
              </w:rPr>
              <w:t>0%</w:t>
            </w:r>
          </w:p>
        </w:tc>
      </w:tr>
    </w:tbl>
    <w:p w:rsidR="00187A4A" w:rsidRDefault="00187A4A" w:rsidP="00187A4A">
      <w:pPr>
        <w:jc w:val="both"/>
        <w:rPr>
          <w:rFonts w:asciiTheme="minorHAnsi" w:hAnsiTheme="minorHAnsi"/>
        </w:rPr>
      </w:pPr>
    </w:p>
    <w:p w:rsidR="00187A4A" w:rsidRDefault="00187A4A" w:rsidP="00187A4A">
      <w:pPr>
        <w:jc w:val="both"/>
        <w:rPr>
          <w:rFonts w:asciiTheme="minorHAnsi" w:hAnsiTheme="minorHAnsi"/>
        </w:rPr>
      </w:pPr>
      <w:r>
        <w:rPr>
          <w:rFonts w:asciiTheme="minorHAnsi" w:hAnsiTheme="minorHAnsi"/>
        </w:rPr>
        <w:t>Station Based FF, CM, and Watch Managers are included in these figures.</w:t>
      </w:r>
    </w:p>
    <w:p w:rsidR="00187A4A" w:rsidRDefault="00187A4A" w:rsidP="00187A4A">
      <w:pPr>
        <w:jc w:val="both"/>
        <w:rPr>
          <w:rFonts w:asciiTheme="minorHAnsi" w:hAnsiTheme="minorHAnsi"/>
        </w:rPr>
      </w:pPr>
    </w:p>
    <w:p w:rsidR="00187A4A" w:rsidRDefault="00187A4A" w:rsidP="00187A4A">
      <w:pPr>
        <w:jc w:val="both"/>
        <w:rPr>
          <w:rFonts w:asciiTheme="minorHAnsi" w:hAnsiTheme="minorHAnsi"/>
        </w:rPr>
      </w:pPr>
    </w:p>
    <w:p w:rsidR="00187A4A" w:rsidRDefault="00187A4A" w:rsidP="00187A4A">
      <w:pPr>
        <w:jc w:val="both"/>
        <w:rPr>
          <w:rFonts w:asciiTheme="minorHAnsi" w:hAnsiTheme="minorHAnsi"/>
          <w:b/>
        </w:rPr>
      </w:pPr>
      <w:r>
        <w:rPr>
          <w:rFonts w:asciiTheme="minorHAnsi" w:hAnsiTheme="minorHAnsi"/>
          <w:b/>
        </w:rPr>
        <w:t>Emergency Response Driver – Watch Cover</w:t>
      </w:r>
    </w:p>
    <w:p w:rsidR="00187A4A" w:rsidRDefault="00187A4A" w:rsidP="00187A4A">
      <w:pPr>
        <w:jc w:val="both"/>
        <w:rPr>
          <w:rFonts w:asciiTheme="minorHAnsi" w:hAnsiTheme="minorHAnsi"/>
          <w:b/>
        </w:rPr>
      </w:pPr>
    </w:p>
    <w:tbl>
      <w:tblPr>
        <w:tblStyle w:val="TableGrid"/>
        <w:tblW w:w="0" w:type="auto"/>
        <w:tblLook w:val="04A0" w:firstRow="1" w:lastRow="0" w:firstColumn="1" w:lastColumn="0" w:noHBand="0" w:noVBand="1"/>
      </w:tblPr>
      <w:tblGrid>
        <w:gridCol w:w="1557"/>
        <w:gridCol w:w="1297"/>
        <w:gridCol w:w="1298"/>
        <w:gridCol w:w="1298"/>
        <w:gridCol w:w="1298"/>
        <w:gridCol w:w="1298"/>
        <w:gridCol w:w="1298"/>
      </w:tblGrid>
      <w:tr w:rsidR="00187A4A" w:rsidRPr="00C9658A" w:rsidTr="00D678AE">
        <w:trPr>
          <w:trHeight w:val="551"/>
        </w:trPr>
        <w:tc>
          <w:tcPr>
            <w:tcW w:w="1557" w:type="dxa"/>
            <w:shd w:val="clear" w:color="auto" w:fill="0070C0"/>
          </w:tcPr>
          <w:p w:rsidR="00187A4A" w:rsidRPr="00C9658A" w:rsidRDefault="00187A4A" w:rsidP="00D678AE">
            <w:pPr>
              <w:jc w:val="both"/>
              <w:rPr>
                <w:rFonts w:asciiTheme="minorHAnsi" w:hAnsiTheme="minorHAnsi"/>
                <w:b/>
                <w:color w:val="FFFFFF" w:themeColor="background1"/>
              </w:rPr>
            </w:pPr>
          </w:p>
        </w:tc>
        <w:tc>
          <w:tcPr>
            <w:tcW w:w="1297" w:type="dxa"/>
            <w:shd w:val="clear" w:color="auto" w:fill="0070C0"/>
            <w:vAlign w:val="center"/>
          </w:tcPr>
          <w:p w:rsidR="00187A4A" w:rsidRPr="00C9658A" w:rsidRDefault="00187A4A" w:rsidP="00D678AE">
            <w:pPr>
              <w:jc w:val="center"/>
              <w:rPr>
                <w:rFonts w:asciiTheme="minorHAnsi" w:hAnsiTheme="minorHAnsi"/>
                <w:b/>
                <w:color w:val="FFFFFF" w:themeColor="background1"/>
              </w:rPr>
            </w:pPr>
            <w:r>
              <w:rPr>
                <w:rFonts w:asciiTheme="minorHAnsi" w:hAnsiTheme="minorHAnsi"/>
                <w:b/>
                <w:color w:val="FFFFFF" w:themeColor="background1"/>
              </w:rPr>
              <w:t>Blue</w:t>
            </w:r>
          </w:p>
        </w:tc>
        <w:tc>
          <w:tcPr>
            <w:tcW w:w="1298" w:type="dxa"/>
            <w:shd w:val="clear" w:color="auto" w:fill="0070C0"/>
            <w:vAlign w:val="center"/>
          </w:tcPr>
          <w:p w:rsidR="00187A4A" w:rsidRPr="00C9658A" w:rsidRDefault="00187A4A" w:rsidP="00D678AE">
            <w:pPr>
              <w:jc w:val="center"/>
              <w:rPr>
                <w:rFonts w:asciiTheme="minorHAnsi" w:hAnsiTheme="minorHAnsi"/>
                <w:b/>
                <w:color w:val="FFFFFF" w:themeColor="background1"/>
              </w:rPr>
            </w:pPr>
            <w:r>
              <w:rPr>
                <w:rFonts w:asciiTheme="minorHAnsi" w:hAnsiTheme="minorHAnsi"/>
                <w:b/>
                <w:color w:val="FFFFFF" w:themeColor="background1"/>
              </w:rPr>
              <w:t>Green</w:t>
            </w:r>
          </w:p>
        </w:tc>
        <w:tc>
          <w:tcPr>
            <w:tcW w:w="1298" w:type="dxa"/>
            <w:shd w:val="clear" w:color="auto" w:fill="0070C0"/>
            <w:vAlign w:val="center"/>
          </w:tcPr>
          <w:p w:rsidR="00187A4A" w:rsidRPr="00C9658A" w:rsidRDefault="00187A4A" w:rsidP="00D678AE">
            <w:pPr>
              <w:jc w:val="center"/>
              <w:rPr>
                <w:rFonts w:asciiTheme="minorHAnsi" w:hAnsiTheme="minorHAnsi"/>
                <w:b/>
                <w:color w:val="FFFFFF" w:themeColor="background1"/>
              </w:rPr>
            </w:pPr>
            <w:r>
              <w:rPr>
                <w:rFonts w:asciiTheme="minorHAnsi" w:hAnsiTheme="minorHAnsi"/>
                <w:b/>
                <w:color w:val="FFFFFF" w:themeColor="background1"/>
              </w:rPr>
              <w:t>Red</w:t>
            </w:r>
          </w:p>
        </w:tc>
        <w:tc>
          <w:tcPr>
            <w:tcW w:w="1298" w:type="dxa"/>
            <w:shd w:val="clear" w:color="auto" w:fill="0070C0"/>
            <w:vAlign w:val="center"/>
          </w:tcPr>
          <w:p w:rsidR="00187A4A" w:rsidRPr="00C9658A" w:rsidRDefault="00187A4A" w:rsidP="00D678AE">
            <w:pPr>
              <w:jc w:val="center"/>
              <w:rPr>
                <w:rFonts w:asciiTheme="minorHAnsi" w:hAnsiTheme="minorHAnsi"/>
                <w:b/>
                <w:color w:val="FFFFFF" w:themeColor="background1"/>
              </w:rPr>
            </w:pPr>
            <w:r>
              <w:rPr>
                <w:rFonts w:asciiTheme="minorHAnsi" w:hAnsiTheme="minorHAnsi"/>
                <w:b/>
                <w:color w:val="FFFFFF" w:themeColor="background1"/>
              </w:rPr>
              <w:t>White</w:t>
            </w:r>
          </w:p>
        </w:tc>
        <w:tc>
          <w:tcPr>
            <w:tcW w:w="1298" w:type="dxa"/>
            <w:shd w:val="clear" w:color="auto" w:fill="0070C0"/>
            <w:vAlign w:val="center"/>
          </w:tcPr>
          <w:p w:rsidR="00187A4A" w:rsidRPr="00C9658A" w:rsidRDefault="00187A4A" w:rsidP="00D678AE">
            <w:pPr>
              <w:jc w:val="center"/>
              <w:rPr>
                <w:rFonts w:asciiTheme="minorHAnsi" w:hAnsiTheme="minorHAnsi"/>
                <w:b/>
                <w:color w:val="FFFFFF" w:themeColor="background1"/>
              </w:rPr>
            </w:pPr>
            <w:r>
              <w:rPr>
                <w:rFonts w:asciiTheme="minorHAnsi" w:hAnsiTheme="minorHAnsi"/>
                <w:b/>
                <w:color w:val="FFFFFF" w:themeColor="background1"/>
              </w:rPr>
              <w:t>A</w:t>
            </w:r>
          </w:p>
        </w:tc>
        <w:tc>
          <w:tcPr>
            <w:tcW w:w="1298" w:type="dxa"/>
            <w:shd w:val="clear" w:color="auto" w:fill="0070C0"/>
            <w:vAlign w:val="center"/>
          </w:tcPr>
          <w:p w:rsidR="00187A4A" w:rsidRPr="00C9658A" w:rsidRDefault="00187A4A" w:rsidP="00D678AE">
            <w:pPr>
              <w:jc w:val="center"/>
              <w:rPr>
                <w:rFonts w:asciiTheme="minorHAnsi" w:hAnsiTheme="minorHAnsi"/>
                <w:b/>
                <w:color w:val="FFFFFF" w:themeColor="background1"/>
              </w:rPr>
            </w:pPr>
            <w:r>
              <w:rPr>
                <w:rFonts w:asciiTheme="minorHAnsi" w:hAnsiTheme="minorHAnsi"/>
                <w:b/>
                <w:color w:val="FFFFFF" w:themeColor="background1"/>
              </w:rPr>
              <w:t>B</w:t>
            </w:r>
          </w:p>
        </w:tc>
      </w:tr>
      <w:tr w:rsidR="00187A4A" w:rsidTr="00D678AE">
        <w:tc>
          <w:tcPr>
            <w:tcW w:w="1557" w:type="dxa"/>
          </w:tcPr>
          <w:p w:rsidR="00187A4A" w:rsidRDefault="00187A4A" w:rsidP="00D678AE">
            <w:pPr>
              <w:jc w:val="both"/>
              <w:rPr>
                <w:rFonts w:asciiTheme="minorHAnsi" w:hAnsiTheme="minorHAnsi"/>
                <w:b/>
              </w:rPr>
            </w:pPr>
            <w:r>
              <w:rPr>
                <w:rFonts w:asciiTheme="minorHAnsi" w:hAnsiTheme="minorHAnsi"/>
                <w:b/>
              </w:rPr>
              <w:t>Wholetime</w:t>
            </w:r>
          </w:p>
        </w:tc>
        <w:tc>
          <w:tcPr>
            <w:tcW w:w="1297" w:type="dxa"/>
            <w:vAlign w:val="center"/>
          </w:tcPr>
          <w:p w:rsidR="00187A4A" w:rsidRPr="00AC1E31" w:rsidRDefault="00187A4A" w:rsidP="00D678AE">
            <w:pPr>
              <w:jc w:val="center"/>
              <w:rPr>
                <w:rFonts w:asciiTheme="minorHAnsi" w:hAnsiTheme="minorHAnsi"/>
              </w:rPr>
            </w:pPr>
            <w:r>
              <w:rPr>
                <w:rFonts w:asciiTheme="minorHAnsi" w:hAnsiTheme="minorHAnsi"/>
              </w:rPr>
              <w:t>66%</w:t>
            </w:r>
          </w:p>
        </w:tc>
        <w:tc>
          <w:tcPr>
            <w:tcW w:w="1298" w:type="dxa"/>
            <w:vAlign w:val="center"/>
          </w:tcPr>
          <w:p w:rsidR="00187A4A" w:rsidRPr="00AC1E31" w:rsidRDefault="00187A4A" w:rsidP="00D678AE">
            <w:pPr>
              <w:jc w:val="center"/>
              <w:rPr>
                <w:rFonts w:asciiTheme="minorHAnsi" w:hAnsiTheme="minorHAnsi"/>
              </w:rPr>
            </w:pPr>
            <w:r>
              <w:rPr>
                <w:rFonts w:asciiTheme="minorHAnsi" w:hAnsiTheme="minorHAnsi"/>
              </w:rPr>
              <w:t>64%</w:t>
            </w:r>
          </w:p>
        </w:tc>
        <w:tc>
          <w:tcPr>
            <w:tcW w:w="1298" w:type="dxa"/>
            <w:vAlign w:val="center"/>
          </w:tcPr>
          <w:p w:rsidR="00187A4A" w:rsidRPr="00AC1E31" w:rsidRDefault="00187A4A" w:rsidP="00D678AE">
            <w:pPr>
              <w:jc w:val="center"/>
              <w:rPr>
                <w:rFonts w:asciiTheme="minorHAnsi" w:hAnsiTheme="minorHAnsi"/>
              </w:rPr>
            </w:pPr>
            <w:r>
              <w:rPr>
                <w:rFonts w:asciiTheme="minorHAnsi" w:hAnsiTheme="minorHAnsi"/>
              </w:rPr>
              <w:t>61%</w:t>
            </w:r>
          </w:p>
        </w:tc>
        <w:tc>
          <w:tcPr>
            <w:tcW w:w="1298" w:type="dxa"/>
            <w:vAlign w:val="center"/>
          </w:tcPr>
          <w:p w:rsidR="00187A4A" w:rsidRPr="00AC1E31" w:rsidRDefault="00187A4A" w:rsidP="00D678AE">
            <w:pPr>
              <w:jc w:val="center"/>
              <w:rPr>
                <w:rFonts w:asciiTheme="minorHAnsi" w:hAnsiTheme="minorHAnsi"/>
              </w:rPr>
            </w:pPr>
            <w:r>
              <w:rPr>
                <w:rFonts w:asciiTheme="minorHAnsi" w:hAnsiTheme="minorHAnsi"/>
              </w:rPr>
              <w:t>65%</w:t>
            </w:r>
          </w:p>
        </w:tc>
        <w:tc>
          <w:tcPr>
            <w:tcW w:w="1298" w:type="dxa"/>
            <w:shd w:val="clear" w:color="auto" w:fill="FFFFFF" w:themeFill="background1"/>
            <w:vAlign w:val="center"/>
          </w:tcPr>
          <w:p w:rsidR="00187A4A" w:rsidRPr="00AC1E31" w:rsidRDefault="00187A4A" w:rsidP="00D678AE">
            <w:pPr>
              <w:jc w:val="center"/>
              <w:rPr>
                <w:rFonts w:asciiTheme="minorHAnsi" w:hAnsiTheme="minorHAnsi"/>
              </w:rPr>
            </w:pPr>
            <w:r>
              <w:rPr>
                <w:rFonts w:asciiTheme="minorHAnsi" w:hAnsiTheme="minorHAnsi"/>
              </w:rPr>
              <w:t>-</w:t>
            </w:r>
          </w:p>
        </w:tc>
        <w:tc>
          <w:tcPr>
            <w:tcW w:w="1298" w:type="dxa"/>
            <w:shd w:val="clear" w:color="auto" w:fill="FFFFFF" w:themeFill="background1"/>
            <w:vAlign w:val="center"/>
          </w:tcPr>
          <w:p w:rsidR="00187A4A" w:rsidRPr="00AC1E31" w:rsidRDefault="00187A4A" w:rsidP="00D678AE">
            <w:pPr>
              <w:jc w:val="center"/>
              <w:rPr>
                <w:rFonts w:asciiTheme="minorHAnsi" w:hAnsiTheme="minorHAnsi"/>
              </w:rPr>
            </w:pPr>
            <w:r>
              <w:rPr>
                <w:rFonts w:asciiTheme="minorHAnsi" w:hAnsiTheme="minorHAnsi"/>
              </w:rPr>
              <w:t>-</w:t>
            </w:r>
          </w:p>
        </w:tc>
      </w:tr>
      <w:tr w:rsidR="00187A4A" w:rsidTr="00D678AE">
        <w:tc>
          <w:tcPr>
            <w:tcW w:w="1557" w:type="dxa"/>
          </w:tcPr>
          <w:p w:rsidR="00187A4A" w:rsidRDefault="00187A4A" w:rsidP="00D678AE">
            <w:pPr>
              <w:jc w:val="both"/>
              <w:rPr>
                <w:rFonts w:asciiTheme="minorHAnsi" w:hAnsiTheme="minorHAnsi"/>
                <w:b/>
              </w:rPr>
            </w:pPr>
            <w:r>
              <w:rPr>
                <w:rFonts w:asciiTheme="minorHAnsi" w:hAnsiTheme="minorHAnsi"/>
                <w:b/>
              </w:rPr>
              <w:t>Day Crewed</w:t>
            </w:r>
          </w:p>
        </w:tc>
        <w:tc>
          <w:tcPr>
            <w:tcW w:w="1297" w:type="dxa"/>
            <w:vAlign w:val="center"/>
          </w:tcPr>
          <w:p w:rsidR="00187A4A" w:rsidRPr="00AC1E31" w:rsidRDefault="00187A4A" w:rsidP="00D678AE">
            <w:pPr>
              <w:jc w:val="center"/>
              <w:rPr>
                <w:rFonts w:asciiTheme="minorHAnsi" w:hAnsiTheme="minorHAnsi"/>
              </w:rPr>
            </w:pPr>
            <w:r>
              <w:rPr>
                <w:rFonts w:asciiTheme="minorHAnsi" w:hAnsiTheme="minorHAnsi"/>
              </w:rPr>
              <w:t>-</w:t>
            </w:r>
          </w:p>
        </w:tc>
        <w:tc>
          <w:tcPr>
            <w:tcW w:w="1298" w:type="dxa"/>
            <w:vAlign w:val="center"/>
          </w:tcPr>
          <w:p w:rsidR="00187A4A" w:rsidRPr="00AC1E31" w:rsidRDefault="00187A4A" w:rsidP="00D678AE">
            <w:pPr>
              <w:jc w:val="center"/>
              <w:rPr>
                <w:rFonts w:asciiTheme="minorHAnsi" w:hAnsiTheme="minorHAnsi"/>
              </w:rPr>
            </w:pPr>
            <w:r>
              <w:rPr>
                <w:rFonts w:asciiTheme="minorHAnsi" w:hAnsiTheme="minorHAnsi"/>
              </w:rPr>
              <w:t>-</w:t>
            </w:r>
          </w:p>
        </w:tc>
        <w:tc>
          <w:tcPr>
            <w:tcW w:w="1298" w:type="dxa"/>
            <w:vAlign w:val="center"/>
          </w:tcPr>
          <w:p w:rsidR="00187A4A" w:rsidRPr="00AC1E31" w:rsidRDefault="00187A4A" w:rsidP="00D678AE">
            <w:pPr>
              <w:jc w:val="center"/>
              <w:rPr>
                <w:rFonts w:asciiTheme="minorHAnsi" w:hAnsiTheme="minorHAnsi"/>
              </w:rPr>
            </w:pPr>
            <w:r>
              <w:rPr>
                <w:rFonts w:asciiTheme="minorHAnsi" w:hAnsiTheme="minorHAnsi"/>
              </w:rPr>
              <w:t>-</w:t>
            </w:r>
          </w:p>
        </w:tc>
        <w:tc>
          <w:tcPr>
            <w:tcW w:w="1298" w:type="dxa"/>
            <w:vAlign w:val="center"/>
          </w:tcPr>
          <w:p w:rsidR="00187A4A" w:rsidRPr="00AC1E31" w:rsidRDefault="00187A4A" w:rsidP="00D678AE">
            <w:pPr>
              <w:jc w:val="center"/>
              <w:rPr>
                <w:rFonts w:asciiTheme="minorHAnsi" w:hAnsiTheme="minorHAnsi"/>
              </w:rPr>
            </w:pPr>
            <w:r>
              <w:rPr>
                <w:rFonts w:asciiTheme="minorHAnsi" w:hAnsiTheme="minorHAnsi"/>
              </w:rPr>
              <w:t>-</w:t>
            </w:r>
          </w:p>
        </w:tc>
        <w:tc>
          <w:tcPr>
            <w:tcW w:w="1298" w:type="dxa"/>
            <w:shd w:val="clear" w:color="auto" w:fill="FFFFFF" w:themeFill="background1"/>
            <w:vAlign w:val="center"/>
          </w:tcPr>
          <w:p w:rsidR="00187A4A" w:rsidRPr="00AC1E31" w:rsidRDefault="00187A4A" w:rsidP="00D678AE">
            <w:pPr>
              <w:jc w:val="center"/>
              <w:rPr>
                <w:rFonts w:asciiTheme="minorHAnsi" w:hAnsiTheme="minorHAnsi"/>
              </w:rPr>
            </w:pPr>
            <w:r>
              <w:rPr>
                <w:rFonts w:asciiTheme="minorHAnsi" w:hAnsiTheme="minorHAnsi"/>
              </w:rPr>
              <w:t>68%</w:t>
            </w:r>
          </w:p>
        </w:tc>
        <w:tc>
          <w:tcPr>
            <w:tcW w:w="1298" w:type="dxa"/>
            <w:shd w:val="clear" w:color="auto" w:fill="FFFFFF" w:themeFill="background1"/>
            <w:vAlign w:val="center"/>
          </w:tcPr>
          <w:p w:rsidR="00187A4A" w:rsidRPr="00AC1E31" w:rsidRDefault="00187A4A" w:rsidP="00D678AE">
            <w:pPr>
              <w:jc w:val="center"/>
              <w:rPr>
                <w:rFonts w:asciiTheme="minorHAnsi" w:hAnsiTheme="minorHAnsi"/>
              </w:rPr>
            </w:pPr>
            <w:r>
              <w:rPr>
                <w:rFonts w:asciiTheme="minorHAnsi" w:hAnsiTheme="minorHAnsi"/>
              </w:rPr>
              <w:t>65%</w:t>
            </w:r>
          </w:p>
        </w:tc>
      </w:tr>
      <w:tr w:rsidR="00187A4A" w:rsidTr="00D678AE">
        <w:tc>
          <w:tcPr>
            <w:tcW w:w="1557" w:type="dxa"/>
          </w:tcPr>
          <w:p w:rsidR="00187A4A" w:rsidRDefault="00187A4A" w:rsidP="00D678AE">
            <w:pPr>
              <w:jc w:val="both"/>
              <w:rPr>
                <w:rFonts w:asciiTheme="minorHAnsi" w:hAnsiTheme="minorHAnsi"/>
                <w:b/>
              </w:rPr>
            </w:pPr>
            <w:r>
              <w:rPr>
                <w:rFonts w:asciiTheme="minorHAnsi" w:hAnsiTheme="minorHAnsi"/>
                <w:b/>
              </w:rPr>
              <w:t>On-call</w:t>
            </w:r>
          </w:p>
        </w:tc>
        <w:tc>
          <w:tcPr>
            <w:tcW w:w="7787" w:type="dxa"/>
            <w:gridSpan w:val="6"/>
            <w:vAlign w:val="center"/>
          </w:tcPr>
          <w:p w:rsidR="00187A4A" w:rsidRPr="00AC1E31" w:rsidRDefault="00187A4A" w:rsidP="00D678AE">
            <w:pPr>
              <w:jc w:val="center"/>
              <w:rPr>
                <w:rFonts w:asciiTheme="minorHAnsi" w:hAnsiTheme="minorHAnsi"/>
              </w:rPr>
            </w:pPr>
            <w:r>
              <w:rPr>
                <w:rFonts w:asciiTheme="minorHAnsi" w:hAnsiTheme="minorHAnsi"/>
              </w:rPr>
              <w:t>49%</w:t>
            </w:r>
          </w:p>
        </w:tc>
      </w:tr>
    </w:tbl>
    <w:p w:rsidR="00187A4A" w:rsidRDefault="00187A4A" w:rsidP="00187A4A">
      <w:pPr>
        <w:jc w:val="both"/>
        <w:rPr>
          <w:rFonts w:asciiTheme="minorHAnsi" w:hAnsiTheme="minorHAnsi"/>
          <w:b/>
        </w:rPr>
      </w:pPr>
    </w:p>
    <w:p w:rsidR="00187A4A" w:rsidRPr="00EA4141" w:rsidRDefault="00187A4A" w:rsidP="00187A4A">
      <w:pPr>
        <w:jc w:val="both"/>
        <w:rPr>
          <w:rFonts w:asciiTheme="minorHAnsi" w:hAnsiTheme="minorHAnsi"/>
        </w:rPr>
      </w:pPr>
      <w:r w:rsidRPr="00EA4141">
        <w:rPr>
          <w:rFonts w:asciiTheme="minorHAnsi" w:hAnsiTheme="minorHAnsi"/>
        </w:rPr>
        <w:t>Tar</w:t>
      </w:r>
      <w:r>
        <w:rPr>
          <w:rFonts w:asciiTheme="minorHAnsi" w:hAnsiTheme="minorHAnsi"/>
        </w:rPr>
        <w:t>get Cover is 60% per operational watch. Further detailed analysis will be required to break this information down on a station by station, watch by watch basis.</w:t>
      </w:r>
    </w:p>
    <w:p w:rsidR="00187A4A" w:rsidRDefault="00187A4A" w:rsidP="00187A4A">
      <w:pPr>
        <w:jc w:val="both"/>
        <w:rPr>
          <w:rFonts w:asciiTheme="minorHAnsi" w:hAnsiTheme="minorHAnsi"/>
          <w:b/>
        </w:rPr>
      </w:pPr>
    </w:p>
    <w:p w:rsidR="00187A4A" w:rsidRDefault="00187A4A" w:rsidP="00187A4A">
      <w:pPr>
        <w:jc w:val="both"/>
        <w:rPr>
          <w:rFonts w:asciiTheme="minorHAnsi" w:hAnsiTheme="minorHAnsi"/>
        </w:rPr>
      </w:pPr>
      <w:r w:rsidRPr="007A79A8">
        <w:rPr>
          <w:rFonts w:asciiTheme="minorHAnsi" w:hAnsiTheme="minorHAnsi"/>
          <w:b/>
        </w:rPr>
        <w:t>Course Evaluation</w:t>
      </w:r>
    </w:p>
    <w:p w:rsidR="00187A4A" w:rsidRDefault="00187A4A" w:rsidP="00187A4A">
      <w:pPr>
        <w:jc w:val="both"/>
        <w:rPr>
          <w:rFonts w:asciiTheme="minorHAnsi" w:hAnsiTheme="minorHAnsi"/>
        </w:rPr>
      </w:pPr>
      <w:r>
        <w:rPr>
          <w:rFonts w:asciiTheme="minorHAnsi" w:hAnsiTheme="minorHAnsi"/>
        </w:rPr>
        <w:t>Responses for courses delivered during Q2 2018/19.</w:t>
      </w:r>
    </w:p>
    <w:p w:rsidR="00187A4A" w:rsidRDefault="00187A4A" w:rsidP="00187A4A">
      <w:pPr>
        <w:jc w:val="both"/>
        <w:rPr>
          <w:rFonts w:asciiTheme="minorHAnsi" w:hAnsiTheme="minorHAnsi"/>
        </w:rPr>
      </w:pPr>
    </w:p>
    <w:tbl>
      <w:tblPr>
        <w:tblStyle w:val="TableGrid"/>
        <w:tblW w:w="9507" w:type="dxa"/>
        <w:tblLayout w:type="fixed"/>
        <w:tblLook w:val="04A0" w:firstRow="1" w:lastRow="0" w:firstColumn="1" w:lastColumn="0" w:noHBand="0" w:noVBand="1"/>
      </w:tblPr>
      <w:tblGrid>
        <w:gridCol w:w="2405"/>
        <w:gridCol w:w="1420"/>
        <w:gridCol w:w="1420"/>
        <w:gridCol w:w="1421"/>
        <w:gridCol w:w="1420"/>
        <w:gridCol w:w="1421"/>
      </w:tblGrid>
      <w:tr w:rsidR="00187A4A" w:rsidRPr="00AE71B7" w:rsidTr="00D678AE">
        <w:trPr>
          <w:trHeight w:val="720"/>
        </w:trPr>
        <w:tc>
          <w:tcPr>
            <w:tcW w:w="2405" w:type="dxa"/>
            <w:shd w:val="clear" w:color="auto" w:fill="0070C0"/>
            <w:vAlign w:val="center"/>
          </w:tcPr>
          <w:p w:rsidR="00187A4A" w:rsidRPr="00AE71B7" w:rsidRDefault="00187A4A" w:rsidP="00D678AE">
            <w:pPr>
              <w:jc w:val="center"/>
              <w:rPr>
                <w:rFonts w:ascii="Calibri" w:hAnsi="Calibri"/>
                <w:b/>
                <w:color w:val="FFFFFF" w:themeColor="background1"/>
                <w:sz w:val="22"/>
                <w:szCs w:val="22"/>
              </w:rPr>
            </w:pPr>
            <w:r>
              <w:rPr>
                <w:rFonts w:ascii="Calibri" w:hAnsi="Calibri"/>
                <w:b/>
                <w:color w:val="FFFFFF" w:themeColor="background1"/>
                <w:sz w:val="22"/>
                <w:szCs w:val="22"/>
              </w:rPr>
              <w:t>COURSE TYPE</w:t>
            </w:r>
          </w:p>
        </w:tc>
        <w:tc>
          <w:tcPr>
            <w:tcW w:w="1420" w:type="dxa"/>
            <w:shd w:val="clear" w:color="auto" w:fill="0070C0"/>
            <w:vAlign w:val="center"/>
          </w:tcPr>
          <w:p w:rsidR="00187A4A" w:rsidRPr="00AE71B7" w:rsidRDefault="00187A4A" w:rsidP="00D678AE">
            <w:pPr>
              <w:jc w:val="center"/>
              <w:rPr>
                <w:rFonts w:ascii="Calibri" w:hAnsi="Calibri"/>
                <w:b/>
                <w:color w:val="FFFFFF" w:themeColor="background1"/>
                <w:sz w:val="22"/>
                <w:szCs w:val="22"/>
              </w:rPr>
            </w:pPr>
            <w:r>
              <w:rPr>
                <w:rFonts w:ascii="Calibri" w:hAnsi="Calibri"/>
                <w:b/>
                <w:color w:val="FFFFFF" w:themeColor="background1"/>
                <w:sz w:val="22"/>
                <w:szCs w:val="22"/>
              </w:rPr>
              <w:t>TOTAL RESPONSES</w:t>
            </w:r>
          </w:p>
        </w:tc>
        <w:tc>
          <w:tcPr>
            <w:tcW w:w="1420" w:type="dxa"/>
            <w:shd w:val="clear" w:color="auto" w:fill="0070C0"/>
            <w:vAlign w:val="center"/>
          </w:tcPr>
          <w:p w:rsidR="00187A4A" w:rsidRDefault="00187A4A" w:rsidP="00D678AE">
            <w:pPr>
              <w:jc w:val="center"/>
              <w:rPr>
                <w:rFonts w:ascii="Calibri" w:hAnsi="Calibri"/>
                <w:b/>
                <w:color w:val="FFFFFF" w:themeColor="background1"/>
                <w:sz w:val="22"/>
                <w:szCs w:val="22"/>
              </w:rPr>
            </w:pPr>
            <w:r>
              <w:rPr>
                <w:rFonts w:ascii="Calibri" w:hAnsi="Calibri"/>
                <w:b/>
                <w:color w:val="FFFFFF" w:themeColor="background1"/>
                <w:sz w:val="22"/>
                <w:szCs w:val="22"/>
              </w:rPr>
              <w:t>RETURN RATE</w:t>
            </w:r>
          </w:p>
        </w:tc>
        <w:tc>
          <w:tcPr>
            <w:tcW w:w="1421" w:type="dxa"/>
            <w:shd w:val="clear" w:color="auto" w:fill="0070C0"/>
            <w:vAlign w:val="center"/>
          </w:tcPr>
          <w:p w:rsidR="00187A4A" w:rsidRPr="00AE71B7" w:rsidRDefault="00187A4A" w:rsidP="00D678AE">
            <w:pPr>
              <w:jc w:val="center"/>
              <w:rPr>
                <w:rFonts w:ascii="Calibri" w:hAnsi="Calibri"/>
                <w:b/>
                <w:color w:val="FFFFFF" w:themeColor="background1"/>
                <w:sz w:val="22"/>
                <w:szCs w:val="22"/>
              </w:rPr>
            </w:pPr>
            <w:r>
              <w:rPr>
                <w:rFonts w:ascii="Calibri" w:hAnsi="Calibri"/>
                <w:b/>
                <w:color w:val="FFFFFF" w:themeColor="background1"/>
                <w:sz w:val="22"/>
                <w:szCs w:val="22"/>
              </w:rPr>
              <w:t>UNSATISFIED</w:t>
            </w:r>
          </w:p>
        </w:tc>
        <w:tc>
          <w:tcPr>
            <w:tcW w:w="1420" w:type="dxa"/>
            <w:shd w:val="clear" w:color="auto" w:fill="0070C0"/>
            <w:vAlign w:val="center"/>
          </w:tcPr>
          <w:p w:rsidR="00187A4A" w:rsidRPr="00AE71B7" w:rsidRDefault="00187A4A" w:rsidP="00D678AE">
            <w:pPr>
              <w:jc w:val="center"/>
              <w:rPr>
                <w:rFonts w:ascii="Calibri" w:hAnsi="Calibri"/>
                <w:b/>
                <w:color w:val="FFFFFF" w:themeColor="background1"/>
                <w:sz w:val="22"/>
                <w:szCs w:val="22"/>
              </w:rPr>
            </w:pPr>
            <w:r>
              <w:rPr>
                <w:rFonts w:ascii="Calibri" w:hAnsi="Calibri"/>
                <w:b/>
                <w:color w:val="FFFFFF" w:themeColor="background1"/>
                <w:sz w:val="22"/>
                <w:szCs w:val="22"/>
              </w:rPr>
              <w:t>SATISFIED</w:t>
            </w:r>
          </w:p>
        </w:tc>
        <w:tc>
          <w:tcPr>
            <w:tcW w:w="1421" w:type="dxa"/>
            <w:shd w:val="clear" w:color="auto" w:fill="0070C0"/>
            <w:vAlign w:val="center"/>
          </w:tcPr>
          <w:p w:rsidR="00187A4A" w:rsidRPr="00AE71B7" w:rsidRDefault="00187A4A" w:rsidP="00D678AE">
            <w:pPr>
              <w:jc w:val="center"/>
              <w:rPr>
                <w:rFonts w:ascii="Calibri" w:hAnsi="Calibri"/>
                <w:b/>
                <w:color w:val="FFFFFF" w:themeColor="background1"/>
                <w:sz w:val="22"/>
                <w:szCs w:val="22"/>
              </w:rPr>
            </w:pPr>
            <w:r>
              <w:rPr>
                <w:rFonts w:ascii="Calibri" w:hAnsi="Calibri"/>
                <w:b/>
                <w:color w:val="FFFFFF" w:themeColor="background1"/>
                <w:sz w:val="22"/>
                <w:szCs w:val="22"/>
              </w:rPr>
              <w:t>VERY SATISFIED</w:t>
            </w:r>
          </w:p>
        </w:tc>
      </w:tr>
      <w:tr w:rsidR="00187A4A" w:rsidRPr="00AE71B7" w:rsidTr="00D678AE">
        <w:trPr>
          <w:trHeight w:val="397"/>
        </w:trPr>
        <w:tc>
          <w:tcPr>
            <w:tcW w:w="2405" w:type="dxa"/>
            <w:vAlign w:val="center"/>
          </w:tcPr>
          <w:p w:rsidR="00187A4A" w:rsidRPr="0016010E" w:rsidRDefault="00187A4A" w:rsidP="00D678AE">
            <w:pPr>
              <w:rPr>
                <w:rFonts w:asciiTheme="minorHAnsi" w:hAnsiTheme="minorHAnsi"/>
                <w:b/>
                <w:sz w:val="22"/>
                <w:szCs w:val="22"/>
              </w:rPr>
            </w:pPr>
            <w:r>
              <w:rPr>
                <w:rFonts w:asciiTheme="minorHAnsi" w:hAnsiTheme="minorHAnsi"/>
                <w:b/>
                <w:sz w:val="22"/>
                <w:szCs w:val="22"/>
              </w:rPr>
              <w:t>BA</w:t>
            </w:r>
          </w:p>
        </w:tc>
        <w:tc>
          <w:tcPr>
            <w:tcW w:w="1420" w:type="dxa"/>
            <w:vAlign w:val="center"/>
          </w:tcPr>
          <w:p w:rsidR="00187A4A" w:rsidRPr="0016010E" w:rsidRDefault="00187A4A" w:rsidP="00D678AE">
            <w:pPr>
              <w:jc w:val="center"/>
              <w:rPr>
                <w:rFonts w:asciiTheme="minorHAnsi" w:hAnsiTheme="minorHAnsi"/>
                <w:sz w:val="22"/>
                <w:szCs w:val="22"/>
              </w:rPr>
            </w:pPr>
            <w:r>
              <w:rPr>
                <w:rFonts w:asciiTheme="minorHAnsi" w:hAnsiTheme="minorHAnsi"/>
                <w:sz w:val="22"/>
                <w:szCs w:val="22"/>
              </w:rPr>
              <w:t>59</w:t>
            </w:r>
          </w:p>
        </w:tc>
        <w:tc>
          <w:tcPr>
            <w:tcW w:w="1420" w:type="dxa"/>
            <w:vAlign w:val="center"/>
          </w:tcPr>
          <w:p w:rsidR="00187A4A" w:rsidRPr="0016010E" w:rsidRDefault="00187A4A" w:rsidP="00D678AE">
            <w:pPr>
              <w:jc w:val="center"/>
              <w:rPr>
                <w:rFonts w:asciiTheme="minorHAnsi" w:hAnsiTheme="minorHAnsi"/>
                <w:sz w:val="22"/>
                <w:szCs w:val="22"/>
              </w:rPr>
            </w:pPr>
            <w:r>
              <w:rPr>
                <w:rFonts w:asciiTheme="minorHAnsi" w:hAnsiTheme="minorHAnsi"/>
                <w:sz w:val="22"/>
                <w:szCs w:val="22"/>
              </w:rPr>
              <w:t>32%</w:t>
            </w:r>
          </w:p>
        </w:tc>
        <w:tc>
          <w:tcPr>
            <w:tcW w:w="1421" w:type="dxa"/>
            <w:shd w:val="clear" w:color="auto" w:fill="auto"/>
            <w:vAlign w:val="center"/>
          </w:tcPr>
          <w:p w:rsidR="00187A4A" w:rsidRPr="0016010E" w:rsidRDefault="00187A4A" w:rsidP="00D678AE">
            <w:pPr>
              <w:jc w:val="center"/>
              <w:rPr>
                <w:rFonts w:asciiTheme="minorHAnsi" w:hAnsiTheme="minorHAnsi"/>
                <w:sz w:val="22"/>
                <w:szCs w:val="22"/>
              </w:rPr>
            </w:pPr>
            <w:r>
              <w:rPr>
                <w:rFonts w:ascii="Calibri" w:hAnsi="Calibri"/>
                <w:color w:val="000000"/>
                <w:sz w:val="22"/>
                <w:szCs w:val="22"/>
              </w:rPr>
              <w:t>0%</w:t>
            </w:r>
          </w:p>
        </w:tc>
        <w:tc>
          <w:tcPr>
            <w:tcW w:w="1420" w:type="dxa"/>
            <w:shd w:val="clear" w:color="auto" w:fill="auto"/>
            <w:vAlign w:val="center"/>
          </w:tcPr>
          <w:p w:rsidR="00187A4A" w:rsidRPr="0016010E" w:rsidRDefault="00187A4A" w:rsidP="00D678AE">
            <w:pPr>
              <w:jc w:val="center"/>
              <w:rPr>
                <w:rFonts w:asciiTheme="minorHAnsi" w:hAnsiTheme="minorHAnsi"/>
                <w:sz w:val="22"/>
                <w:szCs w:val="22"/>
              </w:rPr>
            </w:pPr>
            <w:r>
              <w:rPr>
                <w:rFonts w:ascii="Calibri" w:hAnsi="Calibri"/>
                <w:color w:val="000000"/>
                <w:sz w:val="22"/>
                <w:szCs w:val="22"/>
              </w:rPr>
              <w:t>31%</w:t>
            </w:r>
          </w:p>
        </w:tc>
        <w:tc>
          <w:tcPr>
            <w:tcW w:w="1421" w:type="dxa"/>
            <w:shd w:val="clear" w:color="auto" w:fill="auto"/>
            <w:vAlign w:val="center"/>
          </w:tcPr>
          <w:p w:rsidR="00187A4A" w:rsidRPr="0016010E" w:rsidRDefault="00187A4A" w:rsidP="00D678AE">
            <w:pPr>
              <w:jc w:val="center"/>
              <w:rPr>
                <w:rFonts w:asciiTheme="minorHAnsi" w:hAnsiTheme="minorHAnsi"/>
                <w:sz w:val="22"/>
                <w:szCs w:val="22"/>
              </w:rPr>
            </w:pPr>
            <w:r>
              <w:rPr>
                <w:rFonts w:ascii="Calibri" w:hAnsi="Calibri"/>
                <w:color w:val="000000"/>
                <w:sz w:val="22"/>
                <w:szCs w:val="22"/>
              </w:rPr>
              <w:t>69%</w:t>
            </w:r>
          </w:p>
        </w:tc>
      </w:tr>
      <w:tr w:rsidR="00187A4A" w:rsidRPr="00AE71B7" w:rsidTr="00D678AE">
        <w:trPr>
          <w:trHeight w:val="397"/>
        </w:trPr>
        <w:tc>
          <w:tcPr>
            <w:tcW w:w="2405" w:type="dxa"/>
            <w:vAlign w:val="center"/>
          </w:tcPr>
          <w:p w:rsidR="00187A4A" w:rsidRPr="0016010E" w:rsidRDefault="00187A4A" w:rsidP="00D678AE">
            <w:pPr>
              <w:rPr>
                <w:rFonts w:asciiTheme="minorHAnsi" w:hAnsiTheme="minorHAnsi"/>
                <w:b/>
                <w:sz w:val="22"/>
                <w:szCs w:val="22"/>
              </w:rPr>
            </w:pPr>
            <w:r>
              <w:rPr>
                <w:rFonts w:asciiTheme="minorHAnsi" w:hAnsiTheme="minorHAnsi"/>
                <w:b/>
                <w:sz w:val="22"/>
                <w:szCs w:val="22"/>
              </w:rPr>
              <w:t>Command and Control</w:t>
            </w:r>
          </w:p>
        </w:tc>
        <w:tc>
          <w:tcPr>
            <w:tcW w:w="1420" w:type="dxa"/>
            <w:vAlign w:val="center"/>
          </w:tcPr>
          <w:p w:rsidR="00187A4A" w:rsidRPr="0016010E" w:rsidRDefault="00187A4A" w:rsidP="00D678AE">
            <w:pPr>
              <w:jc w:val="center"/>
              <w:rPr>
                <w:rFonts w:asciiTheme="minorHAnsi" w:hAnsiTheme="minorHAnsi"/>
                <w:sz w:val="22"/>
                <w:szCs w:val="22"/>
              </w:rPr>
            </w:pPr>
            <w:r>
              <w:rPr>
                <w:rFonts w:asciiTheme="minorHAnsi" w:hAnsiTheme="minorHAnsi"/>
                <w:sz w:val="22"/>
                <w:szCs w:val="22"/>
              </w:rPr>
              <w:t>7</w:t>
            </w:r>
          </w:p>
        </w:tc>
        <w:tc>
          <w:tcPr>
            <w:tcW w:w="1420" w:type="dxa"/>
            <w:vAlign w:val="center"/>
          </w:tcPr>
          <w:p w:rsidR="00187A4A" w:rsidRPr="0016010E" w:rsidRDefault="00187A4A" w:rsidP="00D678AE">
            <w:pPr>
              <w:jc w:val="center"/>
              <w:rPr>
                <w:rFonts w:asciiTheme="minorHAnsi" w:hAnsiTheme="minorHAnsi"/>
                <w:sz w:val="22"/>
                <w:szCs w:val="22"/>
              </w:rPr>
            </w:pPr>
            <w:r>
              <w:rPr>
                <w:rFonts w:asciiTheme="minorHAnsi" w:hAnsiTheme="minorHAnsi"/>
                <w:sz w:val="22"/>
                <w:szCs w:val="22"/>
              </w:rPr>
              <w:t>30%</w:t>
            </w:r>
          </w:p>
        </w:tc>
        <w:tc>
          <w:tcPr>
            <w:tcW w:w="1421" w:type="dxa"/>
            <w:shd w:val="clear" w:color="auto" w:fill="auto"/>
            <w:vAlign w:val="center"/>
          </w:tcPr>
          <w:p w:rsidR="00187A4A" w:rsidRPr="0016010E" w:rsidRDefault="00187A4A" w:rsidP="00D678AE">
            <w:pPr>
              <w:jc w:val="center"/>
              <w:rPr>
                <w:rFonts w:asciiTheme="minorHAnsi" w:hAnsiTheme="minorHAnsi"/>
                <w:sz w:val="22"/>
                <w:szCs w:val="22"/>
              </w:rPr>
            </w:pPr>
            <w:r>
              <w:rPr>
                <w:rFonts w:ascii="Calibri" w:hAnsi="Calibri"/>
                <w:color w:val="000000"/>
                <w:sz w:val="22"/>
                <w:szCs w:val="22"/>
              </w:rPr>
              <w:t>0%</w:t>
            </w:r>
          </w:p>
        </w:tc>
        <w:tc>
          <w:tcPr>
            <w:tcW w:w="1420" w:type="dxa"/>
            <w:shd w:val="clear" w:color="auto" w:fill="auto"/>
            <w:vAlign w:val="center"/>
          </w:tcPr>
          <w:p w:rsidR="00187A4A" w:rsidRPr="0016010E" w:rsidRDefault="00187A4A" w:rsidP="00D678AE">
            <w:pPr>
              <w:jc w:val="center"/>
              <w:rPr>
                <w:rFonts w:asciiTheme="minorHAnsi" w:hAnsiTheme="minorHAnsi"/>
                <w:sz w:val="22"/>
                <w:szCs w:val="22"/>
              </w:rPr>
            </w:pPr>
            <w:r>
              <w:rPr>
                <w:rFonts w:ascii="Calibri" w:hAnsi="Calibri"/>
                <w:color w:val="000000"/>
                <w:sz w:val="22"/>
                <w:szCs w:val="22"/>
              </w:rPr>
              <w:t>29%</w:t>
            </w:r>
          </w:p>
        </w:tc>
        <w:tc>
          <w:tcPr>
            <w:tcW w:w="1421" w:type="dxa"/>
            <w:shd w:val="clear" w:color="auto" w:fill="auto"/>
            <w:vAlign w:val="center"/>
          </w:tcPr>
          <w:p w:rsidR="00187A4A" w:rsidRPr="0016010E" w:rsidRDefault="00187A4A" w:rsidP="00D678AE">
            <w:pPr>
              <w:jc w:val="center"/>
              <w:rPr>
                <w:rFonts w:asciiTheme="minorHAnsi" w:hAnsiTheme="minorHAnsi"/>
                <w:sz w:val="22"/>
                <w:szCs w:val="22"/>
              </w:rPr>
            </w:pPr>
            <w:r>
              <w:rPr>
                <w:rFonts w:ascii="Calibri" w:hAnsi="Calibri"/>
                <w:color w:val="000000"/>
                <w:sz w:val="22"/>
                <w:szCs w:val="22"/>
              </w:rPr>
              <w:t>71%</w:t>
            </w:r>
          </w:p>
        </w:tc>
      </w:tr>
      <w:tr w:rsidR="00187A4A" w:rsidRPr="00AE71B7" w:rsidTr="00D678AE">
        <w:trPr>
          <w:trHeight w:val="397"/>
        </w:trPr>
        <w:tc>
          <w:tcPr>
            <w:tcW w:w="2405" w:type="dxa"/>
            <w:vAlign w:val="center"/>
          </w:tcPr>
          <w:p w:rsidR="00187A4A" w:rsidRPr="0016010E" w:rsidRDefault="00187A4A" w:rsidP="00D678AE">
            <w:pPr>
              <w:rPr>
                <w:rFonts w:asciiTheme="minorHAnsi" w:hAnsiTheme="minorHAnsi"/>
                <w:b/>
                <w:sz w:val="22"/>
                <w:szCs w:val="22"/>
              </w:rPr>
            </w:pPr>
            <w:r>
              <w:rPr>
                <w:rFonts w:asciiTheme="minorHAnsi" w:hAnsiTheme="minorHAnsi"/>
                <w:b/>
                <w:sz w:val="22"/>
                <w:szCs w:val="22"/>
              </w:rPr>
              <w:t>Driving</w:t>
            </w:r>
          </w:p>
        </w:tc>
        <w:tc>
          <w:tcPr>
            <w:tcW w:w="1420" w:type="dxa"/>
            <w:vAlign w:val="center"/>
          </w:tcPr>
          <w:p w:rsidR="00187A4A" w:rsidRPr="0016010E" w:rsidRDefault="00187A4A" w:rsidP="00D678AE">
            <w:pPr>
              <w:jc w:val="center"/>
              <w:rPr>
                <w:rFonts w:asciiTheme="minorHAnsi" w:hAnsiTheme="minorHAnsi"/>
                <w:sz w:val="22"/>
                <w:szCs w:val="22"/>
              </w:rPr>
            </w:pPr>
            <w:r>
              <w:rPr>
                <w:rFonts w:asciiTheme="minorHAnsi" w:hAnsiTheme="minorHAnsi"/>
                <w:sz w:val="22"/>
                <w:szCs w:val="22"/>
              </w:rPr>
              <w:t>14</w:t>
            </w:r>
          </w:p>
        </w:tc>
        <w:tc>
          <w:tcPr>
            <w:tcW w:w="1420" w:type="dxa"/>
            <w:vAlign w:val="center"/>
          </w:tcPr>
          <w:p w:rsidR="00187A4A" w:rsidRPr="0016010E" w:rsidRDefault="00187A4A" w:rsidP="00D678AE">
            <w:pPr>
              <w:jc w:val="center"/>
              <w:rPr>
                <w:rFonts w:asciiTheme="minorHAnsi" w:hAnsiTheme="minorHAnsi"/>
                <w:sz w:val="22"/>
                <w:szCs w:val="22"/>
              </w:rPr>
            </w:pPr>
            <w:r>
              <w:rPr>
                <w:rFonts w:asciiTheme="minorHAnsi" w:hAnsiTheme="minorHAnsi"/>
                <w:sz w:val="22"/>
                <w:szCs w:val="22"/>
              </w:rPr>
              <w:t>13%</w:t>
            </w:r>
          </w:p>
        </w:tc>
        <w:tc>
          <w:tcPr>
            <w:tcW w:w="1421" w:type="dxa"/>
            <w:shd w:val="clear" w:color="auto" w:fill="auto"/>
            <w:vAlign w:val="center"/>
          </w:tcPr>
          <w:p w:rsidR="00187A4A" w:rsidRPr="0016010E" w:rsidRDefault="00187A4A" w:rsidP="00D678AE">
            <w:pPr>
              <w:jc w:val="center"/>
              <w:rPr>
                <w:rFonts w:asciiTheme="minorHAnsi" w:hAnsiTheme="minorHAnsi"/>
                <w:sz w:val="22"/>
                <w:szCs w:val="22"/>
              </w:rPr>
            </w:pPr>
            <w:r>
              <w:rPr>
                <w:rFonts w:ascii="Calibri" w:hAnsi="Calibri"/>
                <w:color w:val="000000"/>
                <w:sz w:val="22"/>
                <w:szCs w:val="22"/>
              </w:rPr>
              <w:t>7%</w:t>
            </w:r>
          </w:p>
        </w:tc>
        <w:tc>
          <w:tcPr>
            <w:tcW w:w="1420" w:type="dxa"/>
            <w:shd w:val="clear" w:color="auto" w:fill="auto"/>
            <w:vAlign w:val="center"/>
          </w:tcPr>
          <w:p w:rsidR="00187A4A" w:rsidRPr="0016010E" w:rsidRDefault="00187A4A" w:rsidP="00D678AE">
            <w:pPr>
              <w:jc w:val="center"/>
              <w:rPr>
                <w:rFonts w:asciiTheme="minorHAnsi" w:hAnsiTheme="minorHAnsi"/>
                <w:sz w:val="22"/>
                <w:szCs w:val="22"/>
              </w:rPr>
            </w:pPr>
            <w:r>
              <w:rPr>
                <w:rFonts w:ascii="Calibri" w:hAnsi="Calibri"/>
                <w:color w:val="000000"/>
                <w:sz w:val="22"/>
                <w:szCs w:val="22"/>
              </w:rPr>
              <w:t>86%</w:t>
            </w:r>
          </w:p>
        </w:tc>
        <w:tc>
          <w:tcPr>
            <w:tcW w:w="1421" w:type="dxa"/>
            <w:shd w:val="clear" w:color="auto" w:fill="auto"/>
            <w:vAlign w:val="center"/>
          </w:tcPr>
          <w:p w:rsidR="00187A4A" w:rsidRPr="0016010E" w:rsidRDefault="00187A4A" w:rsidP="00D678AE">
            <w:pPr>
              <w:jc w:val="center"/>
              <w:rPr>
                <w:rFonts w:asciiTheme="minorHAnsi" w:hAnsiTheme="minorHAnsi"/>
                <w:sz w:val="22"/>
                <w:szCs w:val="22"/>
              </w:rPr>
            </w:pPr>
            <w:r>
              <w:rPr>
                <w:rFonts w:ascii="Calibri" w:hAnsi="Calibri"/>
                <w:color w:val="000000"/>
                <w:sz w:val="22"/>
                <w:szCs w:val="22"/>
              </w:rPr>
              <w:t>7%</w:t>
            </w:r>
          </w:p>
        </w:tc>
      </w:tr>
      <w:tr w:rsidR="00187A4A" w:rsidRPr="00AE71B7" w:rsidTr="00D678AE">
        <w:trPr>
          <w:trHeight w:val="397"/>
        </w:trPr>
        <w:tc>
          <w:tcPr>
            <w:tcW w:w="2405" w:type="dxa"/>
            <w:vAlign w:val="center"/>
          </w:tcPr>
          <w:p w:rsidR="00187A4A" w:rsidRPr="0016010E" w:rsidRDefault="00187A4A" w:rsidP="00D678AE">
            <w:pPr>
              <w:rPr>
                <w:rFonts w:asciiTheme="minorHAnsi" w:hAnsiTheme="minorHAnsi"/>
                <w:b/>
                <w:sz w:val="22"/>
                <w:szCs w:val="22"/>
              </w:rPr>
            </w:pPr>
            <w:r>
              <w:rPr>
                <w:rFonts w:asciiTheme="minorHAnsi" w:hAnsiTheme="minorHAnsi"/>
                <w:b/>
                <w:sz w:val="22"/>
                <w:szCs w:val="22"/>
              </w:rPr>
              <w:t>OVERALL</w:t>
            </w:r>
          </w:p>
        </w:tc>
        <w:tc>
          <w:tcPr>
            <w:tcW w:w="1420" w:type="dxa"/>
            <w:vAlign w:val="center"/>
          </w:tcPr>
          <w:p w:rsidR="00187A4A" w:rsidRPr="00BC2E07" w:rsidRDefault="00187A4A" w:rsidP="00D678AE">
            <w:pPr>
              <w:jc w:val="center"/>
              <w:rPr>
                <w:rFonts w:asciiTheme="minorHAnsi" w:hAnsiTheme="minorHAnsi"/>
                <w:b/>
                <w:sz w:val="22"/>
                <w:szCs w:val="22"/>
              </w:rPr>
            </w:pPr>
            <w:r w:rsidRPr="00BC2E07">
              <w:rPr>
                <w:rFonts w:asciiTheme="minorHAnsi" w:hAnsiTheme="minorHAnsi"/>
                <w:b/>
                <w:sz w:val="22"/>
                <w:szCs w:val="22"/>
              </w:rPr>
              <w:t>80</w:t>
            </w:r>
          </w:p>
        </w:tc>
        <w:tc>
          <w:tcPr>
            <w:tcW w:w="1420" w:type="dxa"/>
            <w:vAlign w:val="center"/>
          </w:tcPr>
          <w:p w:rsidR="00187A4A" w:rsidRPr="00BC2E07" w:rsidRDefault="00187A4A" w:rsidP="00D678AE">
            <w:pPr>
              <w:jc w:val="center"/>
              <w:rPr>
                <w:rFonts w:asciiTheme="minorHAnsi" w:hAnsiTheme="minorHAnsi"/>
                <w:b/>
                <w:sz w:val="22"/>
                <w:szCs w:val="22"/>
              </w:rPr>
            </w:pPr>
            <w:r w:rsidRPr="00BC2E07">
              <w:rPr>
                <w:rFonts w:asciiTheme="minorHAnsi" w:hAnsiTheme="minorHAnsi"/>
                <w:b/>
                <w:sz w:val="22"/>
                <w:szCs w:val="22"/>
              </w:rPr>
              <w:t>-</w:t>
            </w:r>
          </w:p>
        </w:tc>
        <w:tc>
          <w:tcPr>
            <w:tcW w:w="1421" w:type="dxa"/>
            <w:shd w:val="clear" w:color="auto" w:fill="auto"/>
            <w:vAlign w:val="center"/>
          </w:tcPr>
          <w:p w:rsidR="00187A4A" w:rsidRPr="00BC2E07" w:rsidRDefault="00187A4A" w:rsidP="00D678AE">
            <w:pPr>
              <w:jc w:val="center"/>
              <w:rPr>
                <w:rFonts w:asciiTheme="minorHAnsi" w:hAnsiTheme="minorHAnsi"/>
                <w:b/>
                <w:sz w:val="22"/>
                <w:szCs w:val="22"/>
              </w:rPr>
            </w:pPr>
            <w:r w:rsidRPr="00BC2E07">
              <w:rPr>
                <w:rFonts w:ascii="Calibri" w:hAnsi="Calibri"/>
                <w:b/>
                <w:color w:val="000000"/>
                <w:sz w:val="22"/>
                <w:szCs w:val="22"/>
              </w:rPr>
              <w:t>1%</w:t>
            </w:r>
          </w:p>
        </w:tc>
        <w:tc>
          <w:tcPr>
            <w:tcW w:w="1420" w:type="dxa"/>
            <w:shd w:val="clear" w:color="auto" w:fill="auto"/>
            <w:vAlign w:val="center"/>
          </w:tcPr>
          <w:p w:rsidR="00187A4A" w:rsidRPr="00BC2E07" w:rsidRDefault="00187A4A" w:rsidP="00D678AE">
            <w:pPr>
              <w:jc w:val="center"/>
              <w:rPr>
                <w:rFonts w:asciiTheme="minorHAnsi" w:hAnsiTheme="minorHAnsi"/>
                <w:b/>
                <w:sz w:val="22"/>
                <w:szCs w:val="22"/>
              </w:rPr>
            </w:pPr>
            <w:r w:rsidRPr="00BC2E07">
              <w:rPr>
                <w:rFonts w:ascii="Calibri" w:hAnsi="Calibri"/>
                <w:b/>
                <w:color w:val="000000"/>
                <w:sz w:val="22"/>
                <w:szCs w:val="22"/>
              </w:rPr>
              <w:t>40%</w:t>
            </w:r>
          </w:p>
        </w:tc>
        <w:tc>
          <w:tcPr>
            <w:tcW w:w="1421" w:type="dxa"/>
            <w:shd w:val="clear" w:color="auto" w:fill="auto"/>
            <w:vAlign w:val="center"/>
          </w:tcPr>
          <w:p w:rsidR="00187A4A" w:rsidRPr="00BC2E07" w:rsidRDefault="00187A4A" w:rsidP="00D678AE">
            <w:pPr>
              <w:jc w:val="center"/>
              <w:rPr>
                <w:rFonts w:asciiTheme="minorHAnsi" w:hAnsiTheme="minorHAnsi"/>
                <w:b/>
                <w:sz w:val="22"/>
                <w:szCs w:val="22"/>
              </w:rPr>
            </w:pPr>
            <w:r w:rsidRPr="00BC2E07">
              <w:rPr>
                <w:rFonts w:ascii="Calibri" w:hAnsi="Calibri"/>
                <w:b/>
                <w:color w:val="000000"/>
                <w:sz w:val="22"/>
                <w:szCs w:val="22"/>
              </w:rPr>
              <w:t>59%</w:t>
            </w:r>
          </w:p>
        </w:tc>
      </w:tr>
    </w:tbl>
    <w:p w:rsidR="00187A4A" w:rsidRDefault="00187A4A" w:rsidP="00187A4A">
      <w:pPr>
        <w:jc w:val="both"/>
        <w:rPr>
          <w:rFonts w:asciiTheme="minorHAnsi" w:hAnsiTheme="minorHAnsi"/>
        </w:rPr>
      </w:pPr>
    </w:p>
    <w:p w:rsidR="00187A4A" w:rsidRDefault="00187A4A" w:rsidP="00187A4A">
      <w:pPr>
        <w:jc w:val="both"/>
        <w:rPr>
          <w:rFonts w:asciiTheme="minorHAnsi" w:hAnsiTheme="minorHAnsi"/>
        </w:rPr>
      </w:pPr>
      <w:r w:rsidRPr="007A79A8">
        <w:rPr>
          <w:rFonts w:asciiTheme="minorHAnsi" w:hAnsiTheme="minorHAnsi"/>
          <w:u w:val="single"/>
        </w:rPr>
        <w:t>Note</w:t>
      </w:r>
      <w:r>
        <w:rPr>
          <w:rFonts w:asciiTheme="minorHAnsi" w:hAnsiTheme="minorHAnsi"/>
        </w:rPr>
        <w:t>: The total number of delegates on each course were not available at the time of preparation, hence unable to calculate an overall evaluation response/return rate.</w:t>
      </w:r>
    </w:p>
    <w:p w:rsidR="00187A4A" w:rsidRPr="00F820BC" w:rsidRDefault="00187A4A" w:rsidP="00187A4A">
      <w:pPr>
        <w:jc w:val="both"/>
        <w:rPr>
          <w:rFonts w:asciiTheme="minorHAnsi" w:hAnsiTheme="minorHAnsi"/>
        </w:rPr>
      </w:pPr>
    </w:p>
    <w:p w:rsidR="00187A4A" w:rsidRPr="00F820BC" w:rsidRDefault="00187A4A" w:rsidP="00187A4A">
      <w:pPr>
        <w:jc w:val="both"/>
        <w:rPr>
          <w:rFonts w:asciiTheme="minorHAnsi" w:hAnsiTheme="minorHAnsi"/>
        </w:rPr>
      </w:pPr>
      <w:r w:rsidRPr="00F820BC">
        <w:rPr>
          <w:rFonts w:asciiTheme="minorHAnsi" w:hAnsiTheme="minorHAnsi"/>
        </w:rPr>
        <w:t>Return rates for Evaluation Forms are low and we will take the following steps to increase these:</w:t>
      </w:r>
    </w:p>
    <w:p w:rsidR="00187A4A" w:rsidRPr="00F820BC" w:rsidRDefault="00187A4A" w:rsidP="00187A4A">
      <w:pPr>
        <w:jc w:val="both"/>
        <w:rPr>
          <w:rFonts w:asciiTheme="minorHAnsi" w:hAnsiTheme="minorHAnsi"/>
        </w:rPr>
      </w:pPr>
    </w:p>
    <w:p w:rsidR="00187A4A" w:rsidRPr="00F820BC" w:rsidRDefault="00187A4A" w:rsidP="00187A4A">
      <w:pPr>
        <w:pStyle w:val="ListParagraph"/>
        <w:numPr>
          <w:ilvl w:val="0"/>
          <w:numId w:val="49"/>
        </w:numPr>
        <w:jc w:val="both"/>
        <w:rPr>
          <w:rFonts w:asciiTheme="minorHAnsi" w:hAnsiTheme="minorHAnsi"/>
        </w:rPr>
      </w:pPr>
      <w:r w:rsidRPr="00F820BC">
        <w:rPr>
          <w:rFonts w:asciiTheme="minorHAnsi" w:hAnsiTheme="minorHAnsi"/>
        </w:rPr>
        <w:t>Course Evaluation Forms will be made available for all internal training courses.</w:t>
      </w:r>
    </w:p>
    <w:p w:rsidR="00187A4A" w:rsidRPr="00F820BC" w:rsidRDefault="00187A4A" w:rsidP="00187A4A">
      <w:pPr>
        <w:pStyle w:val="ListParagraph"/>
        <w:numPr>
          <w:ilvl w:val="0"/>
          <w:numId w:val="49"/>
        </w:numPr>
        <w:jc w:val="both"/>
        <w:rPr>
          <w:rFonts w:asciiTheme="minorHAnsi" w:hAnsiTheme="minorHAnsi"/>
        </w:rPr>
      </w:pPr>
      <w:r w:rsidRPr="00F820BC">
        <w:rPr>
          <w:rFonts w:asciiTheme="minorHAnsi" w:hAnsiTheme="minorHAnsi"/>
        </w:rPr>
        <w:t>Course joining instructions will refer to the value of completing and returning evaluation forms to the L&amp;D Team.</w:t>
      </w:r>
    </w:p>
    <w:p w:rsidR="00187A4A" w:rsidRPr="00F820BC" w:rsidRDefault="00187A4A" w:rsidP="00187A4A">
      <w:pPr>
        <w:pStyle w:val="ListParagraph"/>
        <w:numPr>
          <w:ilvl w:val="0"/>
          <w:numId w:val="49"/>
        </w:numPr>
        <w:jc w:val="both"/>
        <w:rPr>
          <w:rFonts w:asciiTheme="minorHAnsi" w:hAnsiTheme="minorHAnsi"/>
        </w:rPr>
      </w:pPr>
      <w:r w:rsidRPr="00F820BC">
        <w:rPr>
          <w:rFonts w:asciiTheme="minorHAnsi" w:hAnsiTheme="minorHAnsi"/>
        </w:rPr>
        <w:t>At the beginning of each course delivery session, trainers will explain to delegates why we are asking for their feedback and will encourage them to complete the evaluation form.</w:t>
      </w:r>
    </w:p>
    <w:p w:rsidR="00187A4A" w:rsidRDefault="00187A4A" w:rsidP="00187A4A">
      <w:pPr>
        <w:pStyle w:val="ListParagraph"/>
        <w:jc w:val="both"/>
        <w:rPr>
          <w:rFonts w:asciiTheme="minorHAnsi" w:hAnsiTheme="minorHAnsi"/>
        </w:rPr>
      </w:pPr>
      <w:r>
        <w:rPr>
          <w:rFonts w:asciiTheme="minorHAnsi" w:hAnsiTheme="minorHAnsi"/>
        </w:rPr>
        <w:t xml:space="preserve"> </w:t>
      </w:r>
    </w:p>
    <w:p w:rsidR="00187A4A" w:rsidRDefault="00187A4A" w:rsidP="00187A4A">
      <w:pPr>
        <w:jc w:val="center"/>
        <w:rPr>
          <w:rFonts w:asciiTheme="minorHAnsi" w:hAnsiTheme="minorHAnsi"/>
        </w:rPr>
      </w:pPr>
      <w:r w:rsidRPr="00BC2E07">
        <w:rPr>
          <w:rFonts w:asciiTheme="minorHAnsi" w:hAnsiTheme="minorHAnsi"/>
          <w:noProof/>
          <w:lang w:eastAsia="en-GB"/>
        </w:rPr>
        <w:drawing>
          <wp:inline distT="0" distB="0" distL="0" distR="0" wp14:anchorId="4BAB5EE5" wp14:editId="08645C0C">
            <wp:extent cx="4876800" cy="2476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0" cy="2476500"/>
                    </a:xfrm>
                    <a:prstGeom prst="rect">
                      <a:avLst/>
                    </a:prstGeom>
                    <a:noFill/>
                    <a:ln>
                      <a:noFill/>
                    </a:ln>
                  </pic:spPr>
                </pic:pic>
              </a:graphicData>
            </a:graphic>
          </wp:inline>
        </w:drawing>
      </w:r>
    </w:p>
    <w:p w:rsidR="00187A4A" w:rsidRDefault="00187A4A" w:rsidP="00187A4A">
      <w:pPr>
        <w:jc w:val="both"/>
        <w:rPr>
          <w:rFonts w:asciiTheme="minorHAnsi" w:hAnsiTheme="minorHAnsi"/>
        </w:rPr>
      </w:pPr>
    </w:p>
    <w:p w:rsidR="00187A4A" w:rsidRDefault="00187A4A" w:rsidP="00187A4A">
      <w:pPr>
        <w:jc w:val="both"/>
        <w:rPr>
          <w:rFonts w:asciiTheme="minorHAnsi" w:hAnsiTheme="minorHAnsi"/>
          <w:b/>
        </w:rPr>
      </w:pPr>
    </w:p>
    <w:p w:rsidR="00187A4A" w:rsidRDefault="00187A4A" w:rsidP="00187A4A">
      <w:pPr>
        <w:jc w:val="both"/>
        <w:rPr>
          <w:rFonts w:asciiTheme="minorHAnsi" w:hAnsiTheme="minorHAnsi"/>
        </w:rPr>
      </w:pPr>
      <w:r w:rsidRPr="007A79A8">
        <w:rPr>
          <w:rFonts w:asciiTheme="minorHAnsi" w:hAnsiTheme="minorHAnsi"/>
          <w:b/>
        </w:rPr>
        <w:t xml:space="preserve">Course </w:t>
      </w:r>
      <w:r>
        <w:rPr>
          <w:rFonts w:asciiTheme="minorHAnsi" w:hAnsiTheme="minorHAnsi"/>
          <w:b/>
        </w:rPr>
        <w:t>Attendance Cancellations/No Shows</w:t>
      </w:r>
    </w:p>
    <w:p w:rsidR="00187A4A" w:rsidRDefault="00187A4A" w:rsidP="00187A4A">
      <w:pPr>
        <w:jc w:val="both"/>
        <w:rPr>
          <w:rFonts w:asciiTheme="minorHAnsi" w:hAnsiTheme="minorHAnsi"/>
        </w:rPr>
      </w:pPr>
      <w:r>
        <w:rPr>
          <w:rFonts w:asciiTheme="minorHAnsi" w:hAnsiTheme="minorHAnsi"/>
        </w:rPr>
        <w:t>Reasons given for non attendance during Q1 and Q2 were as follows.</w:t>
      </w:r>
    </w:p>
    <w:p w:rsidR="00187A4A" w:rsidRDefault="00187A4A" w:rsidP="00187A4A">
      <w:pPr>
        <w:jc w:val="both"/>
        <w:rPr>
          <w:rFonts w:asciiTheme="minorHAnsi" w:hAnsiTheme="minorHAnsi"/>
        </w:rPr>
      </w:pPr>
      <w:r>
        <w:rPr>
          <w:rFonts w:asciiTheme="minorHAnsi" w:hAnsiTheme="minorHAnsi"/>
        </w:rPr>
        <w:t>These figures are based upon</w:t>
      </w:r>
      <w:r w:rsidRPr="00711B32">
        <w:rPr>
          <w:rFonts w:asciiTheme="minorHAnsi" w:hAnsiTheme="minorHAnsi"/>
        </w:rPr>
        <w:t xml:space="preserve"> </w:t>
      </w:r>
      <w:r>
        <w:rPr>
          <w:rFonts w:asciiTheme="minorHAnsi" w:hAnsiTheme="minorHAnsi"/>
        </w:rPr>
        <w:t>logged reasons for cancellation/non-attendance, as captured by the L&amp;D Administration Team.</w:t>
      </w:r>
    </w:p>
    <w:p w:rsidR="00187A4A" w:rsidRDefault="00187A4A" w:rsidP="00187A4A">
      <w:pPr>
        <w:jc w:val="both"/>
        <w:rPr>
          <w:rFonts w:asciiTheme="minorHAnsi" w:hAnsiTheme="minorHAnsi"/>
        </w:rPr>
      </w:pPr>
    </w:p>
    <w:tbl>
      <w:tblPr>
        <w:tblStyle w:val="TableGrid"/>
        <w:tblW w:w="6658" w:type="dxa"/>
        <w:tblLayout w:type="fixed"/>
        <w:tblLook w:val="04A0" w:firstRow="1" w:lastRow="0" w:firstColumn="1" w:lastColumn="0" w:noHBand="0" w:noVBand="1"/>
      </w:tblPr>
      <w:tblGrid>
        <w:gridCol w:w="4248"/>
        <w:gridCol w:w="1205"/>
        <w:gridCol w:w="1205"/>
      </w:tblGrid>
      <w:tr w:rsidR="00187A4A" w:rsidRPr="00AE71B7" w:rsidTr="00D678AE">
        <w:trPr>
          <w:trHeight w:val="782"/>
        </w:trPr>
        <w:tc>
          <w:tcPr>
            <w:tcW w:w="4248" w:type="dxa"/>
            <w:shd w:val="clear" w:color="auto" w:fill="0070C0"/>
            <w:vAlign w:val="center"/>
          </w:tcPr>
          <w:p w:rsidR="00187A4A" w:rsidRPr="00AE71B7" w:rsidRDefault="00187A4A" w:rsidP="00D678AE">
            <w:pPr>
              <w:jc w:val="center"/>
              <w:rPr>
                <w:rFonts w:ascii="Calibri" w:hAnsi="Calibri"/>
                <w:b/>
                <w:color w:val="FFFFFF" w:themeColor="background1"/>
                <w:sz w:val="22"/>
                <w:szCs w:val="22"/>
              </w:rPr>
            </w:pPr>
            <w:r>
              <w:rPr>
                <w:rFonts w:ascii="Calibri" w:hAnsi="Calibri"/>
                <w:b/>
                <w:color w:val="FFFFFF" w:themeColor="background1"/>
                <w:sz w:val="22"/>
                <w:szCs w:val="22"/>
              </w:rPr>
              <w:t>REASON FOR NON-ATTENDANCE</w:t>
            </w:r>
          </w:p>
        </w:tc>
        <w:tc>
          <w:tcPr>
            <w:tcW w:w="1205" w:type="dxa"/>
            <w:shd w:val="clear" w:color="auto" w:fill="0070C0"/>
            <w:vAlign w:val="center"/>
          </w:tcPr>
          <w:p w:rsidR="00187A4A" w:rsidRPr="00AE71B7" w:rsidRDefault="00187A4A" w:rsidP="00D678AE">
            <w:pPr>
              <w:jc w:val="center"/>
              <w:rPr>
                <w:rFonts w:ascii="Calibri" w:hAnsi="Calibri"/>
                <w:b/>
                <w:color w:val="FFFFFF" w:themeColor="background1"/>
                <w:sz w:val="22"/>
                <w:szCs w:val="22"/>
              </w:rPr>
            </w:pPr>
            <w:r>
              <w:rPr>
                <w:rFonts w:ascii="Calibri" w:hAnsi="Calibri"/>
                <w:b/>
                <w:color w:val="FFFFFF" w:themeColor="background1"/>
                <w:sz w:val="22"/>
                <w:szCs w:val="22"/>
              </w:rPr>
              <w:t>Q1</w:t>
            </w:r>
          </w:p>
        </w:tc>
        <w:tc>
          <w:tcPr>
            <w:tcW w:w="1205" w:type="dxa"/>
            <w:shd w:val="clear" w:color="auto" w:fill="0070C0"/>
            <w:vAlign w:val="center"/>
          </w:tcPr>
          <w:p w:rsidR="00187A4A" w:rsidRDefault="00187A4A" w:rsidP="00D678AE">
            <w:pPr>
              <w:jc w:val="center"/>
              <w:rPr>
                <w:rFonts w:ascii="Calibri" w:hAnsi="Calibri"/>
                <w:b/>
                <w:color w:val="FFFFFF" w:themeColor="background1"/>
                <w:sz w:val="22"/>
                <w:szCs w:val="22"/>
              </w:rPr>
            </w:pPr>
            <w:r>
              <w:rPr>
                <w:rFonts w:ascii="Calibri" w:hAnsi="Calibri"/>
                <w:b/>
                <w:color w:val="FFFFFF" w:themeColor="background1"/>
                <w:sz w:val="22"/>
                <w:szCs w:val="22"/>
              </w:rPr>
              <w:t>Q2</w:t>
            </w:r>
          </w:p>
        </w:tc>
      </w:tr>
      <w:tr w:rsidR="00187A4A" w:rsidRPr="00AE71B7" w:rsidTr="00D678AE">
        <w:trPr>
          <w:trHeight w:val="340"/>
        </w:trPr>
        <w:tc>
          <w:tcPr>
            <w:tcW w:w="4248" w:type="dxa"/>
            <w:vAlign w:val="center"/>
          </w:tcPr>
          <w:p w:rsidR="00187A4A" w:rsidRPr="0016010E" w:rsidRDefault="00187A4A" w:rsidP="00D678AE">
            <w:pPr>
              <w:rPr>
                <w:rFonts w:asciiTheme="minorHAnsi" w:hAnsiTheme="minorHAnsi"/>
                <w:b/>
                <w:sz w:val="22"/>
                <w:szCs w:val="22"/>
              </w:rPr>
            </w:pPr>
            <w:r>
              <w:rPr>
                <w:rFonts w:ascii="Calibri" w:hAnsi="Calibri"/>
                <w:color w:val="000000"/>
                <w:sz w:val="22"/>
                <w:szCs w:val="22"/>
              </w:rPr>
              <w:t>Childcare Issues</w:t>
            </w:r>
          </w:p>
        </w:tc>
        <w:tc>
          <w:tcPr>
            <w:tcW w:w="1205" w:type="dxa"/>
            <w:vAlign w:val="center"/>
          </w:tcPr>
          <w:p w:rsidR="00187A4A" w:rsidRPr="007A79A8" w:rsidRDefault="00187A4A" w:rsidP="00D678AE">
            <w:pPr>
              <w:jc w:val="center"/>
              <w:rPr>
                <w:rFonts w:asciiTheme="minorHAnsi" w:hAnsiTheme="minorHAnsi"/>
                <w:sz w:val="22"/>
                <w:szCs w:val="22"/>
              </w:rPr>
            </w:pPr>
            <w:r w:rsidRPr="007A79A8">
              <w:rPr>
                <w:rFonts w:ascii="Calibri" w:hAnsi="Calibri"/>
                <w:color w:val="000000"/>
                <w:sz w:val="22"/>
                <w:szCs w:val="22"/>
              </w:rPr>
              <w:t>3</w:t>
            </w:r>
          </w:p>
        </w:tc>
        <w:tc>
          <w:tcPr>
            <w:tcW w:w="1205" w:type="dxa"/>
            <w:vAlign w:val="center"/>
          </w:tcPr>
          <w:p w:rsidR="00187A4A" w:rsidRPr="007A79A8" w:rsidRDefault="00187A4A" w:rsidP="00D678AE">
            <w:pPr>
              <w:jc w:val="center"/>
              <w:rPr>
                <w:rFonts w:asciiTheme="minorHAnsi" w:hAnsiTheme="minorHAnsi"/>
                <w:sz w:val="22"/>
                <w:szCs w:val="22"/>
              </w:rPr>
            </w:pPr>
            <w:r w:rsidRPr="007A79A8">
              <w:rPr>
                <w:rFonts w:asciiTheme="minorHAnsi" w:hAnsiTheme="minorHAnsi"/>
                <w:sz w:val="22"/>
                <w:szCs w:val="22"/>
              </w:rPr>
              <w:t>0</w:t>
            </w:r>
          </w:p>
        </w:tc>
      </w:tr>
      <w:tr w:rsidR="00187A4A" w:rsidRPr="00AE71B7" w:rsidTr="00D678AE">
        <w:trPr>
          <w:trHeight w:val="340"/>
        </w:trPr>
        <w:tc>
          <w:tcPr>
            <w:tcW w:w="4248" w:type="dxa"/>
            <w:vAlign w:val="center"/>
          </w:tcPr>
          <w:p w:rsidR="00187A4A" w:rsidRPr="0016010E" w:rsidRDefault="00187A4A" w:rsidP="00D678AE">
            <w:pPr>
              <w:rPr>
                <w:rFonts w:asciiTheme="minorHAnsi" w:hAnsiTheme="minorHAnsi"/>
                <w:b/>
                <w:sz w:val="22"/>
                <w:szCs w:val="22"/>
              </w:rPr>
            </w:pPr>
            <w:r>
              <w:rPr>
                <w:rFonts w:ascii="Calibri" w:hAnsi="Calibri"/>
                <w:color w:val="000000"/>
                <w:sz w:val="22"/>
                <w:szCs w:val="22"/>
              </w:rPr>
              <w:t>Commitment to Primary Employment</w:t>
            </w:r>
          </w:p>
        </w:tc>
        <w:tc>
          <w:tcPr>
            <w:tcW w:w="1205" w:type="dxa"/>
            <w:vAlign w:val="center"/>
          </w:tcPr>
          <w:p w:rsidR="00187A4A" w:rsidRPr="007A79A8" w:rsidRDefault="00187A4A" w:rsidP="00D678AE">
            <w:pPr>
              <w:jc w:val="center"/>
              <w:rPr>
                <w:rFonts w:asciiTheme="minorHAnsi" w:hAnsiTheme="minorHAnsi"/>
                <w:sz w:val="22"/>
                <w:szCs w:val="22"/>
              </w:rPr>
            </w:pPr>
            <w:r w:rsidRPr="007A79A8">
              <w:rPr>
                <w:rFonts w:asciiTheme="minorHAnsi" w:hAnsiTheme="minorHAnsi"/>
                <w:sz w:val="22"/>
                <w:szCs w:val="22"/>
              </w:rPr>
              <w:t>0</w:t>
            </w:r>
          </w:p>
        </w:tc>
        <w:tc>
          <w:tcPr>
            <w:tcW w:w="1205" w:type="dxa"/>
            <w:vAlign w:val="center"/>
          </w:tcPr>
          <w:p w:rsidR="00187A4A" w:rsidRPr="007A79A8" w:rsidRDefault="00187A4A" w:rsidP="00D678AE">
            <w:pPr>
              <w:jc w:val="center"/>
              <w:rPr>
                <w:rFonts w:asciiTheme="minorHAnsi" w:hAnsiTheme="minorHAnsi"/>
                <w:sz w:val="22"/>
                <w:szCs w:val="22"/>
              </w:rPr>
            </w:pPr>
            <w:r w:rsidRPr="007A79A8">
              <w:rPr>
                <w:rFonts w:ascii="Calibri" w:hAnsi="Calibri"/>
                <w:color w:val="000000"/>
                <w:sz w:val="22"/>
                <w:szCs w:val="22"/>
              </w:rPr>
              <w:t>1</w:t>
            </w:r>
          </w:p>
        </w:tc>
      </w:tr>
      <w:tr w:rsidR="00187A4A" w:rsidRPr="00AE71B7" w:rsidTr="00D678AE">
        <w:trPr>
          <w:trHeight w:val="340"/>
        </w:trPr>
        <w:tc>
          <w:tcPr>
            <w:tcW w:w="4248" w:type="dxa"/>
            <w:vAlign w:val="center"/>
          </w:tcPr>
          <w:p w:rsidR="00187A4A" w:rsidRPr="0016010E" w:rsidRDefault="00187A4A" w:rsidP="00D678AE">
            <w:pPr>
              <w:rPr>
                <w:rFonts w:asciiTheme="minorHAnsi" w:hAnsiTheme="minorHAnsi"/>
                <w:b/>
                <w:sz w:val="22"/>
                <w:szCs w:val="22"/>
              </w:rPr>
            </w:pPr>
            <w:r>
              <w:rPr>
                <w:rFonts w:ascii="Calibri" w:hAnsi="Calibri"/>
                <w:color w:val="000000"/>
                <w:sz w:val="22"/>
                <w:szCs w:val="22"/>
              </w:rPr>
              <w:t>Forgot</w:t>
            </w:r>
          </w:p>
        </w:tc>
        <w:tc>
          <w:tcPr>
            <w:tcW w:w="1205" w:type="dxa"/>
            <w:vAlign w:val="center"/>
          </w:tcPr>
          <w:p w:rsidR="00187A4A" w:rsidRPr="007A79A8" w:rsidRDefault="00187A4A" w:rsidP="00D678AE">
            <w:pPr>
              <w:jc w:val="center"/>
              <w:rPr>
                <w:rFonts w:asciiTheme="minorHAnsi" w:hAnsiTheme="minorHAnsi"/>
                <w:sz w:val="22"/>
                <w:szCs w:val="22"/>
              </w:rPr>
            </w:pPr>
            <w:r w:rsidRPr="007A79A8">
              <w:rPr>
                <w:rFonts w:ascii="Calibri" w:hAnsi="Calibri"/>
                <w:color w:val="000000"/>
                <w:sz w:val="22"/>
                <w:szCs w:val="22"/>
              </w:rPr>
              <w:t>1</w:t>
            </w:r>
          </w:p>
        </w:tc>
        <w:tc>
          <w:tcPr>
            <w:tcW w:w="1205" w:type="dxa"/>
            <w:vAlign w:val="center"/>
          </w:tcPr>
          <w:p w:rsidR="00187A4A" w:rsidRPr="007A79A8" w:rsidRDefault="00187A4A" w:rsidP="00D678AE">
            <w:pPr>
              <w:jc w:val="center"/>
              <w:rPr>
                <w:rFonts w:asciiTheme="minorHAnsi" w:hAnsiTheme="minorHAnsi"/>
                <w:sz w:val="22"/>
                <w:szCs w:val="22"/>
              </w:rPr>
            </w:pPr>
            <w:r w:rsidRPr="007A79A8">
              <w:rPr>
                <w:rFonts w:asciiTheme="minorHAnsi" w:hAnsiTheme="minorHAnsi"/>
                <w:sz w:val="22"/>
                <w:szCs w:val="22"/>
              </w:rPr>
              <w:t>0</w:t>
            </w:r>
          </w:p>
        </w:tc>
      </w:tr>
      <w:tr w:rsidR="00187A4A" w:rsidRPr="00AE71B7" w:rsidTr="00D678AE">
        <w:trPr>
          <w:trHeight w:val="340"/>
        </w:trPr>
        <w:tc>
          <w:tcPr>
            <w:tcW w:w="4248" w:type="dxa"/>
            <w:vAlign w:val="center"/>
          </w:tcPr>
          <w:p w:rsidR="00187A4A" w:rsidRPr="0016010E" w:rsidRDefault="00187A4A" w:rsidP="00D678AE">
            <w:pPr>
              <w:rPr>
                <w:rFonts w:asciiTheme="minorHAnsi" w:hAnsiTheme="minorHAnsi"/>
                <w:b/>
                <w:sz w:val="22"/>
                <w:szCs w:val="22"/>
              </w:rPr>
            </w:pPr>
            <w:r>
              <w:rPr>
                <w:rFonts w:ascii="Calibri" w:hAnsi="Calibri"/>
                <w:color w:val="000000"/>
                <w:sz w:val="22"/>
                <w:szCs w:val="22"/>
              </w:rPr>
              <w:t>No Show</w:t>
            </w:r>
          </w:p>
        </w:tc>
        <w:tc>
          <w:tcPr>
            <w:tcW w:w="1205" w:type="dxa"/>
            <w:vAlign w:val="center"/>
          </w:tcPr>
          <w:p w:rsidR="00187A4A" w:rsidRPr="007A79A8" w:rsidRDefault="00187A4A" w:rsidP="00D678AE">
            <w:pPr>
              <w:jc w:val="center"/>
              <w:rPr>
                <w:rFonts w:asciiTheme="minorHAnsi" w:hAnsiTheme="minorHAnsi"/>
                <w:sz w:val="22"/>
                <w:szCs w:val="22"/>
              </w:rPr>
            </w:pPr>
            <w:r w:rsidRPr="007A79A8">
              <w:rPr>
                <w:rFonts w:ascii="Calibri" w:hAnsi="Calibri"/>
                <w:color w:val="000000"/>
                <w:sz w:val="22"/>
                <w:szCs w:val="22"/>
              </w:rPr>
              <w:t>1</w:t>
            </w:r>
          </w:p>
        </w:tc>
        <w:tc>
          <w:tcPr>
            <w:tcW w:w="1205" w:type="dxa"/>
            <w:vAlign w:val="center"/>
          </w:tcPr>
          <w:p w:rsidR="00187A4A" w:rsidRPr="007A79A8" w:rsidRDefault="00187A4A" w:rsidP="00D678AE">
            <w:pPr>
              <w:jc w:val="center"/>
              <w:rPr>
                <w:rFonts w:asciiTheme="minorHAnsi" w:hAnsiTheme="minorHAnsi"/>
                <w:sz w:val="22"/>
                <w:szCs w:val="22"/>
              </w:rPr>
            </w:pPr>
            <w:r w:rsidRPr="007A79A8">
              <w:rPr>
                <w:rFonts w:ascii="Calibri" w:hAnsi="Calibri"/>
                <w:color w:val="000000"/>
                <w:sz w:val="22"/>
                <w:szCs w:val="22"/>
              </w:rPr>
              <w:t>13</w:t>
            </w:r>
            <w:r>
              <w:rPr>
                <w:rFonts w:ascii="Calibri" w:hAnsi="Calibri"/>
                <w:color w:val="000000"/>
                <w:sz w:val="22"/>
                <w:szCs w:val="22"/>
              </w:rPr>
              <w:t xml:space="preserve"> </w:t>
            </w:r>
            <w:r w:rsidRPr="00711B32">
              <w:rPr>
                <w:rFonts w:ascii="Calibri" w:hAnsi="Calibri"/>
                <w:color w:val="000000"/>
                <w:sz w:val="22"/>
                <w:szCs w:val="22"/>
                <w:vertAlign w:val="superscript"/>
              </w:rPr>
              <w:t>1</w:t>
            </w:r>
          </w:p>
        </w:tc>
      </w:tr>
      <w:tr w:rsidR="00187A4A" w:rsidRPr="00AE71B7" w:rsidTr="00D678AE">
        <w:trPr>
          <w:trHeight w:val="340"/>
        </w:trPr>
        <w:tc>
          <w:tcPr>
            <w:tcW w:w="4248" w:type="dxa"/>
            <w:vAlign w:val="center"/>
          </w:tcPr>
          <w:p w:rsidR="00187A4A" w:rsidRDefault="00187A4A" w:rsidP="00D678AE">
            <w:pPr>
              <w:rPr>
                <w:rFonts w:asciiTheme="minorHAnsi" w:hAnsiTheme="minorHAnsi"/>
                <w:b/>
                <w:sz w:val="22"/>
                <w:szCs w:val="22"/>
              </w:rPr>
            </w:pPr>
            <w:r>
              <w:rPr>
                <w:rFonts w:ascii="Calibri" w:hAnsi="Calibri"/>
                <w:color w:val="000000"/>
                <w:sz w:val="22"/>
                <w:szCs w:val="22"/>
              </w:rPr>
              <w:t>Operational Cover</w:t>
            </w:r>
          </w:p>
        </w:tc>
        <w:tc>
          <w:tcPr>
            <w:tcW w:w="1205" w:type="dxa"/>
            <w:vAlign w:val="center"/>
          </w:tcPr>
          <w:p w:rsidR="00187A4A" w:rsidRPr="007A79A8" w:rsidRDefault="00187A4A" w:rsidP="00D678AE">
            <w:pPr>
              <w:jc w:val="center"/>
              <w:rPr>
                <w:rFonts w:asciiTheme="minorHAnsi" w:hAnsiTheme="minorHAnsi"/>
                <w:sz w:val="22"/>
                <w:szCs w:val="22"/>
              </w:rPr>
            </w:pPr>
            <w:r w:rsidRPr="007A79A8">
              <w:rPr>
                <w:rFonts w:ascii="Calibri" w:hAnsi="Calibri"/>
                <w:color w:val="000000"/>
                <w:sz w:val="22"/>
                <w:szCs w:val="22"/>
              </w:rPr>
              <w:t>2</w:t>
            </w:r>
          </w:p>
        </w:tc>
        <w:tc>
          <w:tcPr>
            <w:tcW w:w="1205" w:type="dxa"/>
            <w:vAlign w:val="center"/>
          </w:tcPr>
          <w:p w:rsidR="00187A4A" w:rsidRPr="007A79A8" w:rsidRDefault="00187A4A" w:rsidP="00D678AE">
            <w:pPr>
              <w:jc w:val="center"/>
              <w:rPr>
                <w:rFonts w:asciiTheme="minorHAnsi" w:hAnsiTheme="minorHAnsi"/>
                <w:sz w:val="22"/>
                <w:szCs w:val="22"/>
              </w:rPr>
            </w:pPr>
            <w:r w:rsidRPr="007A79A8">
              <w:rPr>
                <w:rFonts w:asciiTheme="minorHAnsi" w:hAnsiTheme="minorHAnsi"/>
                <w:sz w:val="22"/>
                <w:szCs w:val="22"/>
              </w:rPr>
              <w:t>0</w:t>
            </w:r>
          </w:p>
        </w:tc>
      </w:tr>
      <w:tr w:rsidR="00187A4A" w:rsidRPr="00AE71B7" w:rsidTr="00D678AE">
        <w:trPr>
          <w:trHeight w:val="340"/>
        </w:trPr>
        <w:tc>
          <w:tcPr>
            <w:tcW w:w="4248" w:type="dxa"/>
            <w:vAlign w:val="center"/>
          </w:tcPr>
          <w:p w:rsidR="00187A4A" w:rsidRDefault="00187A4A" w:rsidP="00D678AE">
            <w:pPr>
              <w:rPr>
                <w:rFonts w:asciiTheme="minorHAnsi" w:hAnsiTheme="minorHAnsi"/>
                <w:b/>
                <w:sz w:val="22"/>
                <w:szCs w:val="22"/>
              </w:rPr>
            </w:pPr>
            <w:r>
              <w:rPr>
                <w:rFonts w:ascii="Calibri" w:hAnsi="Calibri"/>
                <w:color w:val="000000"/>
                <w:sz w:val="22"/>
                <w:szCs w:val="22"/>
              </w:rPr>
              <w:t>Support Cover (e.g. low staffing levels)</w:t>
            </w:r>
          </w:p>
        </w:tc>
        <w:tc>
          <w:tcPr>
            <w:tcW w:w="1205" w:type="dxa"/>
            <w:vAlign w:val="center"/>
          </w:tcPr>
          <w:p w:rsidR="00187A4A" w:rsidRPr="007A79A8" w:rsidRDefault="00187A4A" w:rsidP="00D678AE">
            <w:pPr>
              <w:jc w:val="center"/>
              <w:rPr>
                <w:rFonts w:asciiTheme="minorHAnsi" w:hAnsiTheme="minorHAnsi"/>
                <w:sz w:val="22"/>
                <w:szCs w:val="22"/>
              </w:rPr>
            </w:pPr>
            <w:r w:rsidRPr="007A79A8">
              <w:rPr>
                <w:rFonts w:asciiTheme="minorHAnsi" w:hAnsiTheme="minorHAnsi"/>
                <w:sz w:val="22"/>
                <w:szCs w:val="22"/>
              </w:rPr>
              <w:t>0</w:t>
            </w:r>
          </w:p>
        </w:tc>
        <w:tc>
          <w:tcPr>
            <w:tcW w:w="1205" w:type="dxa"/>
            <w:vAlign w:val="center"/>
          </w:tcPr>
          <w:p w:rsidR="00187A4A" w:rsidRPr="007A79A8" w:rsidRDefault="00187A4A" w:rsidP="00D678AE">
            <w:pPr>
              <w:jc w:val="center"/>
              <w:rPr>
                <w:rFonts w:asciiTheme="minorHAnsi" w:hAnsiTheme="minorHAnsi"/>
                <w:sz w:val="22"/>
                <w:szCs w:val="22"/>
              </w:rPr>
            </w:pPr>
            <w:r w:rsidRPr="007A79A8">
              <w:rPr>
                <w:rFonts w:ascii="Calibri" w:hAnsi="Calibri"/>
                <w:color w:val="000000"/>
                <w:sz w:val="22"/>
                <w:szCs w:val="22"/>
              </w:rPr>
              <w:t>2</w:t>
            </w:r>
          </w:p>
        </w:tc>
      </w:tr>
      <w:tr w:rsidR="00187A4A" w:rsidRPr="00AE71B7" w:rsidTr="00D678AE">
        <w:trPr>
          <w:trHeight w:val="340"/>
        </w:trPr>
        <w:tc>
          <w:tcPr>
            <w:tcW w:w="4248" w:type="dxa"/>
            <w:vAlign w:val="center"/>
          </w:tcPr>
          <w:p w:rsidR="00187A4A" w:rsidRDefault="00187A4A" w:rsidP="00D678AE">
            <w:pPr>
              <w:rPr>
                <w:rFonts w:asciiTheme="minorHAnsi" w:hAnsiTheme="minorHAnsi"/>
                <w:b/>
                <w:sz w:val="22"/>
                <w:szCs w:val="22"/>
              </w:rPr>
            </w:pPr>
            <w:r>
              <w:rPr>
                <w:rFonts w:ascii="Calibri" w:hAnsi="Calibri"/>
                <w:color w:val="000000"/>
                <w:sz w:val="22"/>
                <w:szCs w:val="22"/>
              </w:rPr>
              <w:t>Sick</w:t>
            </w:r>
          </w:p>
        </w:tc>
        <w:tc>
          <w:tcPr>
            <w:tcW w:w="1205" w:type="dxa"/>
            <w:vAlign w:val="center"/>
          </w:tcPr>
          <w:p w:rsidR="00187A4A" w:rsidRPr="007A79A8" w:rsidRDefault="00187A4A" w:rsidP="00D678AE">
            <w:pPr>
              <w:jc w:val="center"/>
              <w:rPr>
                <w:rFonts w:asciiTheme="minorHAnsi" w:hAnsiTheme="minorHAnsi"/>
                <w:sz w:val="22"/>
                <w:szCs w:val="22"/>
              </w:rPr>
            </w:pPr>
            <w:r w:rsidRPr="007A79A8">
              <w:rPr>
                <w:rFonts w:ascii="Calibri" w:hAnsi="Calibri"/>
                <w:color w:val="000000"/>
                <w:sz w:val="22"/>
                <w:szCs w:val="22"/>
              </w:rPr>
              <w:t>2</w:t>
            </w:r>
          </w:p>
        </w:tc>
        <w:tc>
          <w:tcPr>
            <w:tcW w:w="1205" w:type="dxa"/>
            <w:vAlign w:val="center"/>
          </w:tcPr>
          <w:p w:rsidR="00187A4A" w:rsidRPr="007A79A8" w:rsidRDefault="00187A4A" w:rsidP="00D678AE">
            <w:pPr>
              <w:jc w:val="center"/>
              <w:rPr>
                <w:rFonts w:asciiTheme="minorHAnsi" w:hAnsiTheme="minorHAnsi"/>
                <w:sz w:val="22"/>
                <w:szCs w:val="22"/>
              </w:rPr>
            </w:pPr>
            <w:r w:rsidRPr="007A79A8">
              <w:rPr>
                <w:rFonts w:asciiTheme="minorHAnsi" w:hAnsiTheme="minorHAnsi"/>
                <w:sz w:val="22"/>
                <w:szCs w:val="22"/>
              </w:rPr>
              <w:t>0</w:t>
            </w:r>
          </w:p>
        </w:tc>
      </w:tr>
      <w:tr w:rsidR="00187A4A" w:rsidRPr="00AE71B7" w:rsidTr="00D678AE">
        <w:trPr>
          <w:trHeight w:val="340"/>
        </w:trPr>
        <w:tc>
          <w:tcPr>
            <w:tcW w:w="4248" w:type="dxa"/>
            <w:vAlign w:val="center"/>
          </w:tcPr>
          <w:p w:rsidR="00187A4A" w:rsidRDefault="00187A4A" w:rsidP="00D678AE">
            <w:pPr>
              <w:rPr>
                <w:rFonts w:asciiTheme="minorHAnsi" w:hAnsiTheme="minorHAnsi"/>
                <w:b/>
                <w:sz w:val="22"/>
                <w:szCs w:val="22"/>
              </w:rPr>
            </w:pPr>
            <w:r>
              <w:rPr>
                <w:rFonts w:ascii="Calibri" w:hAnsi="Calibri"/>
                <w:color w:val="000000"/>
                <w:sz w:val="22"/>
                <w:szCs w:val="22"/>
              </w:rPr>
              <w:t>Other, not listed above</w:t>
            </w:r>
          </w:p>
        </w:tc>
        <w:tc>
          <w:tcPr>
            <w:tcW w:w="1205" w:type="dxa"/>
            <w:vAlign w:val="center"/>
          </w:tcPr>
          <w:p w:rsidR="00187A4A" w:rsidRPr="007A79A8" w:rsidRDefault="00187A4A" w:rsidP="00D678AE">
            <w:pPr>
              <w:jc w:val="center"/>
              <w:rPr>
                <w:rFonts w:asciiTheme="minorHAnsi" w:hAnsiTheme="minorHAnsi"/>
                <w:sz w:val="22"/>
                <w:szCs w:val="22"/>
              </w:rPr>
            </w:pPr>
            <w:r w:rsidRPr="007A79A8">
              <w:rPr>
                <w:rFonts w:ascii="Calibri" w:hAnsi="Calibri"/>
                <w:color w:val="000000"/>
                <w:sz w:val="22"/>
                <w:szCs w:val="22"/>
              </w:rPr>
              <w:t>4</w:t>
            </w:r>
          </w:p>
        </w:tc>
        <w:tc>
          <w:tcPr>
            <w:tcW w:w="1205" w:type="dxa"/>
            <w:vAlign w:val="center"/>
          </w:tcPr>
          <w:p w:rsidR="00187A4A" w:rsidRPr="007A79A8" w:rsidRDefault="00187A4A" w:rsidP="00D678AE">
            <w:pPr>
              <w:jc w:val="center"/>
              <w:rPr>
                <w:rFonts w:asciiTheme="minorHAnsi" w:hAnsiTheme="minorHAnsi"/>
                <w:sz w:val="22"/>
                <w:szCs w:val="22"/>
              </w:rPr>
            </w:pPr>
            <w:r w:rsidRPr="007A79A8">
              <w:rPr>
                <w:rFonts w:ascii="Calibri" w:hAnsi="Calibri"/>
                <w:color w:val="000000"/>
                <w:sz w:val="22"/>
                <w:szCs w:val="22"/>
              </w:rPr>
              <w:t>4</w:t>
            </w:r>
          </w:p>
        </w:tc>
      </w:tr>
    </w:tbl>
    <w:p w:rsidR="00187A4A" w:rsidRPr="00F820BC" w:rsidRDefault="00187A4A" w:rsidP="00187A4A">
      <w:pPr>
        <w:jc w:val="both"/>
        <w:rPr>
          <w:rFonts w:asciiTheme="minorHAnsi" w:hAnsiTheme="minorHAnsi"/>
        </w:rPr>
      </w:pPr>
      <w:r w:rsidRPr="00F820BC">
        <w:rPr>
          <w:rFonts w:asciiTheme="minorHAnsi" w:hAnsiTheme="minorHAnsi"/>
        </w:rPr>
        <w:t>Note 1): Of the 13 no-shows in Q2, 9 were line managers that did not attend a “Safer Recruitment” full day course. Valid Service-related reasons were provided, but the non-attendance still meant that the course was under-utilised and spaces were wasted.</w:t>
      </w:r>
    </w:p>
    <w:p w:rsidR="00187A4A" w:rsidRDefault="00187A4A" w:rsidP="00187A4A">
      <w:pPr>
        <w:rPr>
          <w:rFonts w:asciiTheme="minorHAnsi" w:hAnsiTheme="minorHAnsi"/>
          <w:b/>
        </w:rPr>
      </w:pPr>
    </w:p>
    <w:p w:rsidR="00187A4A" w:rsidRDefault="00187A4A" w:rsidP="00187A4A">
      <w:pPr>
        <w:rPr>
          <w:rFonts w:asciiTheme="minorHAnsi" w:hAnsiTheme="minorHAnsi"/>
          <w:b/>
        </w:rPr>
      </w:pPr>
    </w:p>
    <w:p w:rsidR="00187A4A" w:rsidRDefault="00187A4A" w:rsidP="00187A4A">
      <w:pPr>
        <w:jc w:val="both"/>
        <w:rPr>
          <w:rFonts w:asciiTheme="minorHAnsi" w:hAnsiTheme="minorHAnsi"/>
          <w:b/>
        </w:rPr>
      </w:pPr>
      <w:r w:rsidRPr="007A79A8">
        <w:rPr>
          <w:rFonts w:asciiTheme="minorHAnsi" w:hAnsiTheme="minorHAnsi"/>
          <w:b/>
        </w:rPr>
        <w:t xml:space="preserve">Course </w:t>
      </w:r>
      <w:r>
        <w:rPr>
          <w:rFonts w:asciiTheme="minorHAnsi" w:hAnsiTheme="minorHAnsi"/>
          <w:b/>
        </w:rPr>
        <w:t>Delivery – 2018/19</w:t>
      </w:r>
    </w:p>
    <w:p w:rsidR="00187A4A" w:rsidRDefault="00187A4A" w:rsidP="00187A4A">
      <w:pPr>
        <w:jc w:val="both"/>
        <w:rPr>
          <w:rFonts w:asciiTheme="minorHAnsi" w:hAnsiTheme="minorHAnsi"/>
          <w:b/>
        </w:rPr>
      </w:pPr>
    </w:p>
    <w:tbl>
      <w:tblPr>
        <w:tblStyle w:val="TableGrid"/>
        <w:tblW w:w="3310" w:type="dxa"/>
        <w:tblLayout w:type="fixed"/>
        <w:tblLook w:val="04A0" w:firstRow="1" w:lastRow="0" w:firstColumn="1" w:lastColumn="0" w:noHBand="0" w:noVBand="1"/>
      </w:tblPr>
      <w:tblGrid>
        <w:gridCol w:w="1696"/>
        <w:gridCol w:w="1614"/>
      </w:tblGrid>
      <w:tr w:rsidR="00187A4A" w:rsidRPr="005629D9" w:rsidTr="00D678AE">
        <w:trPr>
          <w:trHeight w:val="557"/>
        </w:trPr>
        <w:tc>
          <w:tcPr>
            <w:tcW w:w="1696" w:type="dxa"/>
            <w:shd w:val="clear" w:color="auto" w:fill="0070C0"/>
            <w:vAlign w:val="center"/>
          </w:tcPr>
          <w:p w:rsidR="00187A4A" w:rsidRPr="005629D9" w:rsidRDefault="00187A4A" w:rsidP="00D678AE">
            <w:pPr>
              <w:rPr>
                <w:rFonts w:asciiTheme="minorHAnsi" w:hAnsiTheme="minorHAnsi"/>
                <w:b/>
                <w:color w:val="FFFFFF" w:themeColor="background1"/>
              </w:rPr>
            </w:pPr>
            <w:r>
              <w:rPr>
                <w:rFonts w:asciiTheme="minorHAnsi" w:hAnsiTheme="minorHAnsi"/>
                <w:b/>
                <w:color w:val="FFFFFF" w:themeColor="background1"/>
              </w:rPr>
              <w:t>Period</w:t>
            </w:r>
          </w:p>
        </w:tc>
        <w:tc>
          <w:tcPr>
            <w:tcW w:w="1614" w:type="dxa"/>
            <w:shd w:val="clear" w:color="auto" w:fill="0070C0"/>
            <w:vAlign w:val="center"/>
          </w:tcPr>
          <w:p w:rsidR="00187A4A" w:rsidRPr="005629D9" w:rsidRDefault="00187A4A" w:rsidP="00D678AE">
            <w:pPr>
              <w:jc w:val="center"/>
              <w:rPr>
                <w:rFonts w:asciiTheme="minorHAnsi" w:hAnsiTheme="minorHAnsi"/>
                <w:b/>
                <w:color w:val="FFFFFF" w:themeColor="background1"/>
              </w:rPr>
            </w:pPr>
            <w:r>
              <w:rPr>
                <w:rFonts w:asciiTheme="minorHAnsi" w:hAnsiTheme="minorHAnsi"/>
                <w:b/>
                <w:color w:val="FFFFFF" w:themeColor="background1"/>
              </w:rPr>
              <w:t>Places</w:t>
            </w:r>
          </w:p>
        </w:tc>
      </w:tr>
      <w:tr w:rsidR="00187A4A" w:rsidRPr="005629D9" w:rsidTr="00D678AE">
        <w:trPr>
          <w:trHeight w:val="341"/>
        </w:trPr>
        <w:tc>
          <w:tcPr>
            <w:tcW w:w="1696" w:type="dxa"/>
            <w:shd w:val="clear" w:color="auto" w:fill="auto"/>
            <w:vAlign w:val="center"/>
          </w:tcPr>
          <w:p w:rsidR="00187A4A" w:rsidRPr="0075375C" w:rsidRDefault="00187A4A" w:rsidP="00D678AE">
            <w:pPr>
              <w:rPr>
                <w:rFonts w:asciiTheme="minorHAnsi" w:hAnsiTheme="minorHAnsi"/>
              </w:rPr>
            </w:pPr>
            <w:r>
              <w:rPr>
                <w:rFonts w:asciiTheme="minorHAnsi" w:hAnsiTheme="minorHAnsi"/>
              </w:rPr>
              <w:t>Q1 – Apr-Jun</w:t>
            </w:r>
          </w:p>
        </w:tc>
        <w:tc>
          <w:tcPr>
            <w:tcW w:w="1614" w:type="dxa"/>
            <w:shd w:val="clear" w:color="auto" w:fill="auto"/>
            <w:vAlign w:val="center"/>
          </w:tcPr>
          <w:p w:rsidR="00187A4A" w:rsidRPr="0075375C" w:rsidRDefault="00187A4A" w:rsidP="00D678AE">
            <w:pPr>
              <w:jc w:val="center"/>
              <w:rPr>
                <w:rFonts w:asciiTheme="minorHAnsi" w:hAnsiTheme="minorHAnsi"/>
              </w:rPr>
            </w:pPr>
            <w:r>
              <w:rPr>
                <w:rFonts w:asciiTheme="minorHAnsi" w:hAnsiTheme="minorHAnsi"/>
              </w:rPr>
              <w:t>1,535</w:t>
            </w:r>
          </w:p>
        </w:tc>
      </w:tr>
      <w:tr w:rsidR="00187A4A" w:rsidRPr="005629D9" w:rsidTr="00D678AE">
        <w:trPr>
          <w:trHeight w:val="341"/>
        </w:trPr>
        <w:tc>
          <w:tcPr>
            <w:tcW w:w="1696" w:type="dxa"/>
            <w:shd w:val="clear" w:color="auto" w:fill="auto"/>
            <w:vAlign w:val="center"/>
          </w:tcPr>
          <w:p w:rsidR="00187A4A" w:rsidRPr="0075375C" w:rsidRDefault="00187A4A" w:rsidP="00D678AE">
            <w:pPr>
              <w:rPr>
                <w:rFonts w:asciiTheme="minorHAnsi" w:hAnsiTheme="minorHAnsi"/>
              </w:rPr>
            </w:pPr>
            <w:r>
              <w:rPr>
                <w:rFonts w:asciiTheme="minorHAnsi" w:hAnsiTheme="minorHAnsi"/>
              </w:rPr>
              <w:t>Q2 – Jul-Sep</w:t>
            </w:r>
          </w:p>
        </w:tc>
        <w:tc>
          <w:tcPr>
            <w:tcW w:w="1614" w:type="dxa"/>
            <w:shd w:val="clear" w:color="auto" w:fill="auto"/>
            <w:vAlign w:val="center"/>
          </w:tcPr>
          <w:p w:rsidR="00187A4A" w:rsidRPr="0075375C" w:rsidRDefault="00187A4A" w:rsidP="00D678AE">
            <w:pPr>
              <w:jc w:val="center"/>
              <w:rPr>
                <w:rFonts w:asciiTheme="minorHAnsi" w:hAnsiTheme="minorHAnsi"/>
              </w:rPr>
            </w:pPr>
            <w:r>
              <w:rPr>
                <w:rFonts w:asciiTheme="minorHAnsi" w:hAnsiTheme="minorHAnsi"/>
              </w:rPr>
              <w:t>1,553</w:t>
            </w:r>
          </w:p>
        </w:tc>
      </w:tr>
      <w:tr w:rsidR="00187A4A" w:rsidRPr="005629D9" w:rsidTr="00D678AE">
        <w:trPr>
          <w:trHeight w:val="341"/>
        </w:trPr>
        <w:tc>
          <w:tcPr>
            <w:tcW w:w="1696" w:type="dxa"/>
            <w:shd w:val="clear" w:color="auto" w:fill="auto"/>
            <w:vAlign w:val="center"/>
          </w:tcPr>
          <w:p w:rsidR="00187A4A" w:rsidRPr="00711B32" w:rsidRDefault="00187A4A" w:rsidP="00D678AE">
            <w:pPr>
              <w:rPr>
                <w:rFonts w:asciiTheme="minorHAnsi" w:hAnsiTheme="minorHAnsi"/>
                <w:b/>
              </w:rPr>
            </w:pPr>
            <w:r w:rsidRPr="00711B32">
              <w:rPr>
                <w:rFonts w:asciiTheme="minorHAnsi" w:hAnsiTheme="minorHAnsi"/>
                <w:b/>
              </w:rPr>
              <w:t>TOTAL</w:t>
            </w:r>
          </w:p>
        </w:tc>
        <w:tc>
          <w:tcPr>
            <w:tcW w:w="1614" w:type="dxa"/>
            <w:shd w:val="clear" w:color="auto" w:fill="auto"/>
            <w:vAlign w:val="center"/>
          </w:tcPr>
          <w:p w:rsidR="00187A4A" w:rsidRPr="00711B32" w:rsidRDefault="00187A4A" w:rsidP="00D678AE">
            <w:pPr>
              <w:jc w:val="center"/>
              <w:rPr>
                <w:rFonts w:asciiTheme="minorHAnsi" w:hAnsiTheme="minorHAnsi"/>
                <w:b/>
              </w:rPr>
            </w:pPr>
            <w:r w:rsidRPr="00711B32">
              <w:rPr>
                <w:rFonts w:asciiTheme="minorHAnsi" w:hAnsiTheme="minorHAnsi"/>
                <w:b/>
              </w:rPr>
              <w:t>3,088</w:t>
            </w:r>
          </w:p>
        </w:tc>
      </w:tr>
    </w:tbl>
    <w:p w:rsidR="00187A4A" w:rsidRDefault="00187A4A" w:rsidP="00187A4A">
      <w:pPr>
        <w:jc w:val="both"/>
        <w:rPr>
          <w:rFonts w:asciiTheme="minorHAnsi" w:hAnsiTheme="minorHAnsi"/>
          <w:b/>
        </w:rPr>
      </w:pPr>
    </w:p>
    <w:p w:rsidR="00187A4A" w:rsidRDefault="00187A4A" w:rsidP="00187A4A">
      <w:pPr>
        <w:jc w:val="both"/>
        <w:rPr>
          <w:rFonts w:asciiTheme="minorHAnsi" w:hAnsiTheme="minorHAnsi"/>
        </w:rPr>
      </w:pPr>
    </w:p>
    <w:p w:rsidR="00187A4A" w:rsidRDefault="00187A4A" w:rsidP="00187A4A">
      <w:pPr>
        <w:jc w:val="center"/>
        <w:rPr>
          <w:rFonts w:asciiTheme="minorHAnsi" w:hAnsiTheme="minorHAnsi"/>
        </w:rPr>
      </w:pPr>
      <w:r>
        <w:rPr>
          <w:noProof/>
          <w:lang w:eastAsia="en-GB"/>
        </w:rPr>
        <w:drawing>
          <wp:inline distT="0" distB="0" distL="0" distR="0" wp14:anchorId="0D2BFE92" wp14:editId="6BD1E215">
            <wp:extent cx="4896000" cy="2520000"/>
            <wp:effectExtent l="0" t="0" r="0" b="1397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87A4A" w:rsidRDefault="00187A4A" w:rsidP="00187A4A">
      <w:pPr>
        <w:jc w:val="both"/>
        <w:rPr>
          <w:rFonts w:asciiTheme="minorHAnsi" w:hAnsiTheme="minorHAnsi"/>
        </w:rPr>
      </w:pPr>
    </w:p>
    <w:p w:rsidR="00187A4A" w:rsidRDefault="00187A4A" w:rsidP="00187A4A">
      <w:pPr>
        <w:jc w:val="both"/>
        <w:rPr>
          <w:rFonts w:asciiTheme="minorHAnsi" w:hAnsiTheme="minorHAnsi"/>
          <w:b/>
        </w:rPr>
      </w:pPr>
    </w:p>
    <w:p w:rsidR="00187A4A" w:rsidRDefault="00187A4A" w:rsidP="00187A4A">
      <w:pPr>
        <w:jc w:val="both"/>
        <w:rPr>
          <w:rFonts w:asciiTheme="minorHAnsi" w:hAnsiTheme="minorHAnsi"/>
          <w:b/>
        </w:rPr>
      </w:pPr>
      <w:r>
        <w:rPr>
          <w:rFonts w:asciiTheme="minorHAnsi" w:hAnsiTheme="minorHAnsi"/>
          <w:b/>
        </w:rPr>
        <w:t>Quality Assurance Meeting</w:t>
      </w:r>
    </w:p>
    <w:p w:rsidR="00187A4A" w:rsidRDefault="00187A4A" w:rsidP="00187A4A">
      <w:pPr>
        <w:jc w:val="both"/>
        <w:rPr>
          <w:rFonts w:asciiTheme="minorHAnsi" w:hAnsiTheme="minorHAnsi"/>
          <w:b/>
        </w:rPr>
      </w:pPr>
    </w:p>
    <w:p w:rsidR="00187A4A" w:rsidRDefault="00187A4A" w:rsidP="00187A4A">
      <w:pPr>
        <w:jc w:val="both"/>
        <w:rPr>
          <w:rFonts w:asciiTheme="minorHAnsi" w:hAnsiTheme="minorHAnsi"/>
        </w:rPr>
      </w:pPr>
      <w:r>
        <w:rPr>
          <w:rFonts w:asciiTheme="minorHAnsi" w:hAnsiTheme="minorHAnsi"/>
        </w:rPr>
        <w:t>The Q1 Quality Assurance meeting took place on 30 July 2018.  Items covered included reviewing the standardised evaluation process to increase return rate, embedding Standardisation Meetings, the Driver Training review and the External Verifier Visit of 8 May 2018.  Reports were received from Professional Development, STC, BA, Incident Command and Water.  Trainer CPD was discussed.  Minutes attached.</w:t>
      </w:r>
    </w:p>
    <w:p w:rsidR="00187A4A" w:rsidRDefault="00187A4A" w:rsidP="00187A4A">
      <w:pPr>
        <w:jc w:val="both"/>
        <w:rPr>
          <w:rFonts w:asciiTheme="minorHAnsi" w:hAnsiTheme="minorHAnsi"/>
        </w:rPr>
      </w:pPr>
    </w:p>
    <w:p w:rsidR="00187A4A" w:rsidRPr="00E4489A" w:rsidRDefault="00187A4A" w:rsidP="00187A4A">
      <w:pPr>
        <w:jc w:val="both"/>
        <w:rPr>
          <w:rFonts w:asciiTheme="minorHAnsi" w:hAnsiTheme="minorHAnsi"/>
          <w:b/>
        </w:rPr>
      </w:pPr>
      <w:r w:rsidRPr="00E4489A">
        <w:rPr>
          <w:rFonts w:asciiTheme="minorHAnsi" w:hAnsiTheme="minorHAnsi"/>
          <w:b/>
        </w:rPr>
        <w:t>Learning and Development Advisory Group</w:t>
      </w:r>
    </w:p>
    <w:p w:rsidR="00187A4A" w:rsidRDefault="00187A4A" w:rsidP="00187A4A">
      <w:pPr>
        <w:jc w:val="both"/>
        <w:rPr>
          <w:rFonts w:asciiTheme="minorHAnsi" w:hAnsiTheme="minorHAnsi"/>
        </w:rPr>
      </w:pPr>
    </w:p>
    <w:p w:rsidR="00187A4A" w:rsidRPr="00E4489A" w:rsidRDefault="00187A4A" w:rsidP="00187A4A">
      <w:pPr>
        <w:jc w:val="both"/>
        <w:rPr>
          <w:rFonts w:asciiTheme="minorHAnsi" w:hAnsiTheme="minorHAnsi"/>
        </w:rPr>
      </w:pPr>
      <w:r>
        <w:rPr>
          <w:rFonts w:asciiTheme="minorHAnsi" w:hAnsiTheme="minorHAnsi"/>
        </w:rPr>
        <w:t>The first meeting of the Learning and development Advisory Group is due to take place on 5 October 2018.  Items to be discussed include Apprenticeships, e-learning, Civica and the user specification for a competency recording system.</w:t>
      </w:r>
    </w:p>
    <w:p w:rsidR="0016231C" w:rsidRDefault="0016231C" w:rsidP="0016231C">
      <w:pPr>
        <w:rPr>
          <w:b/>
        </w:rPr>
      </w:pPr>
      <w:r>
        <w:rPr>
          <w:b/>
        </w:rPr>
        <w:t xml:space="preserve"> </w:t>
      </w:r>
    </w:p>
    <w:sectPr w:rsidR="0016231C" w:rsidSect="00A8212D">
      <w:headerReference w:type="default" r:id="rId12"/>
      <w:footerReference w:type="default" r:id="rId13"/>
      <w:footerReference w:type="first" r:id="rId14"/>
      <w:type w:val="continuous"/>
      <w:pgSz w:w="11906" w:h="16838" w:code="9"/>
      <w:pgMar w:top="1134" w:right="1276"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1F2" w:rsidRDefault="002B41F2">
      <w:r>
        <w:separator/>
      </w:r>
    </w:p>
  </w:endnote>
  <w:endnote w:type="continuationSeparator" w:id="0">
    <w:p w:rsidR="002B41F2" w:rsidRDefault="002B4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416" w:rsidRDefault="000A0416" w:rsidP="00A8212D">
    <w:pPr>
      <w:pStyle w:val="Footer"/>
      <w:jc w:val="center"/>
      <w:rPr>
        <w:sz w:val="22"/>
        <w:szCs w:val="22"/>
      </w:rPr>
    </w:pPr>
  </w:p>
  <w:p w:rsidR="000A0416" w:rsidRPr="00A8212D" w:rsidRDefault="000A0416" w:rsidP="00A8212D">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DA76FB">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DA76FB">
      <w:rPr>
        <w:noProof/>
        <w:sz w:val="22"/>
        <w:szCs w:val="22"/>
      </w:rPr>
      <w:t>19</w:t>
    </w:r>
    <w:r w:rsidRPr="00AA60E6">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416" w:rsidRDefault="000A0416" w:rsidP="00AA60E6">
    <w:pPr>
      <w:pStyle w:val="Footer"/>
      <w:jc w:val="center"/>
      <w:rPr>
        <w:sz w:val="22"/>
        <w:szCs w:val="22"/>
      </w:rPr>
    </w:pPr>
  </w:p>
  <w:p w:rsidR="000A0416" w:rsidRPr="00AA60E6" w:rsidRDefault="000A0416" w:rsidP="00AA60E6">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DA76FB">
      <w:rPr>
        <w:noProof/>
        <w:sz w:val="22"/>
        <w:szCs w:val="22"/>
      </w:rPr>
      <w:t>8</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DA76FB">
      <w:rPr>
        <w:noProof/>
        <w:sz w:val="22"/>
        <w:szCs w:val="22"/>
      </w:rPr>
      <w:t>19</w:t>
    </w:r>
    <w:r w:rsidRPr="00AA60E6">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416" w:rsidRPr="00AA60E6" w:rsidRDefault="000A0416" w:rsidP="00D13372">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Pr>
        <w:noProof/>
        <w:sz w:val="22"/>
        <w:szCs w:val="22"/>
      </w:rPr>
      <w:t>23</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Pr>
        <w:noProof/>
        <w:sz w:val="22"/>
        <w:szCs w:val="22"/>
      </w:rPr>
      <w:t>33</w:t>
    </w:r>
    <w:r w:rsidRPr="00AA60E6">
      <w:rPr>
        <w:sz w:val="22"/>
        <w:szCs w:val="22"/>
      </w:rPr>
      <w:fldChar w:fldCharType="end"/>
    </w:r>
  </w:p>
  <w:p w:rsidR="000A0416" w:rsidRDefault="000A0416" w:rsidP="00D133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1F2" w:rsidRDefault="002B41F2">
      <w:r>
        <w:separator/>
      </w:r>
    </w:p>
  </w:footnote>
  <w:footnote w:type="continuationSeparator" w:id="0">
    <w:p w:rsidR="002B41F2" w:rsidRDefault="002B4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416" w:rsidRPr="00A8212D" w:rsidRDefault="000A0416" w:rsidP="00A82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0B9"/>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44BA4"/>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5466B"/>
    <w:multiLevelType w:val="hybridMultilevel"/>
    <w:tmpl w:val="ABD0FCA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0A7969BA"/>
    <w:multiLevelType w:val="hybridMultilevel"/>
    <w:tmpl w:val="A0EE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5180F"/>
    <w:multiLevelType w:val="hybridMultilevel"/>
    <w:tmpl w:val="7FE6F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B1FC0"/>
    <w:multiLevelType w:val="hybridMultilevel"/>
    <w:tmpl w:val="9460C1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EC319B"/>
    <w:multiLevelType w:val="hybridMultilevel"/>
    <w:tmpl w:val="D376D6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871DB0"/>
    <w:multiLevelType w:val="hybridMultilevel"/>
    <w:tmpl w:val="6304E4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B006BA"/>
    <w:multiLevelType w:val="hybridMultilevel"/>
    <w:tmpl w:val="6E5A11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19051C6"/>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9D1F64"/>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9696D70"/>
    <w:multiLevelType w:val="hybridMultilevel"/>
    <w:tmpl w:val="60286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044B50"/>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8015F9"/>
    <w:multiLevelType w:val="hybridMultilevel"/>
    <w:tmpl w:val="29AE7C58"/>
    <w:lvl w:ilvl="0" w:tplc="A730581C">
      <w:start w:val="1"/>
      <w:numFmt w:val="bullet"/>
      <w:pStyle w:val="Bulleted"/>
      <w:lvlText w:val=""/>
      <w:lvlJc w:val="left"/>
      <w:pPr>
        <w:tabs>
          <w:tab w:val="num" w:pos="1077"/>
        </w:tabs>
        <w:ind w:left="1077" w:hanging="39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5B0DA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9E848ED"/>
    <w:multiLevelType w:val="hybridMultilevel"/>
    <w:tmpl w:val="F322E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4C1572"/>
    <w:multiLevelType w:val="hybridMultilevel"/>
    <w:tmpl w:val="CF0C8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EA275B"/>
    <w:multiLevelType w:val="hybridMultilevel"/>
    <w:tmpl w:val="3516F5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32757B"/>
    <w:multiLevelType w:val="hybridMultilevel"/>
    <w:tmpl w:val="53846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DE0181"/>
    <w:multiLevelType w:val="hybridMultilevel"/>
    <w:tmpl w:val="D6B6C414"/>
    <w:lvl w:ilvl="0" w:tplc="D41A62D0">
      <w:start w:val="1"/>
      <w:numFmt w:val="decimal"/>
      <w:pStyle w:val="NumbList3"/>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4150A04"/>
    <w:multiLevelType w:val="hybridMultilevel"/>
    <w:tmpl w:val="F45AE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B5223B"/>
    <w:multiLevelType w:val="hybridMultilevel"/>
    <w:tmpl w:val="E72C3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9477EB"/>
    <w:multiLevelType w:val="hybridMultilevel"/>
    <w:tmpl w:val="8D522C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D027DEC"/>
    <w:multiLevelType w:val="hybridMultilevel"/>
    <w:tmpl w:val="28CA380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4" w15:restartNumberingAfterBreak="0">
    <w:nsid w:val="51317D9E"/>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8A207EB"/>
    <w:multiLevelType w:val="hybridMultilevel"/>
    <w:tmpl w:val="ED9AA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DC4A71"/>
    <w:multiLevelType w:val="hybridMultilevel"/>
    <w:tmpl w:val="1EF053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C126A8A"/>
    <w:multiLevelType w:val="hybridMultilevel"/>
    <w:tmpl w:val="126899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5C2E18C6"/>
    <w:multiLevelType w:val="hybridMultilevel"/>
    <w:tmpl w:val="4DB222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D085525"/>
    <w:multiLevelType w:val="hybridMultilevel"/>
    <w:tmpl w:val="43DE1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4B2F78"/>
    <w:multiLevelType w:val="hybridMultilevel"/>
    <w:tmpl w:val="756E6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632282"/>
    <w:multiLevelType w:val="hybridMultilevel"/>
    <w:tmpl w:val="0952D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F20CED"/>
    <w:multiLevelType w:val="hybridMultilevel"/>
    <w:tmpl w:val="3F1EC1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2D29E5"/>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72111A"/>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5ED03A4"/>
    <w:multiLevelType w:val="hybridMultilevel"/>
    <w:tmpl w:val="C44AC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0F2082"/>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7377A06"/>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DD96217"/>
    <w:multiLevelType w:val="hybridMultilevel"/>
    <w:tmpl w:val="D2C68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D20D09"/>
    <w:multiLevelType w:val="hybridMultilevel"/>
    <w:tmpl w:val="8E303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C46092"/>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8E5433"/>
    <w:multiLevelType w:val="hybridMultilevel"/>
    <w:tmpl w:val="E12CF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3F5CD2"/>
    <w:multiLevelType w:val="hybridMultilevel"/>
    <w:tmpl w:val="F5A2D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617AFC"/>
    <w:multiLevelType w:val="hybridMultilevel"/>
    <w:tmpl w:val="9E3CF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97029C"/>
    <w:multiLevelType w:val="hybridMultilevel"/>
    <w:tmpl w:val="7CC0762C"/>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45" w15:restartNumberingAfterBreak="0">
    <w:nsid w:val="78E41ABF"/>
    <w:multiLevelType w:val="hybridMultilevel"/>
    <w:tmpl w:val="6E343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E71DE9"/>
    <w:multiLevelType w:val="hybridMultilevel"/>
    <w:tmpl w:val="3F2AA3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9"/>
  </w:num>
  <w:num w:numId="3">
    <w:abstractNumId w:val="8"/>
  </w:num>
  <w:num w:numId="4">
    <w:abstractNumId w:val="0"/>
  </w:num>
  <w:num w:numId="5">
    <w:abstractNumId w:val="33"/>
  </w:num>
  <w:num w:numId="6">
    <w:abstractNumId w:val="12"/>
  </w:num>
  <w:num w:numId="7">
    <w:abstractNumId w:val="9"/>
  </w:num>
  <w:num w:numId="8">
    <w:abstractNumId w:val="1"/>
  </w:num>
  <w:num w:numId="9">
    <w:abstractNumId w:val="19"/>
  </w:num>
  <w:num w:numId="10">
    <w:abstractNumId w:val="19"/>
  </w:num>
  <w:num w:numId="11">
    <w:abstractNumId w:val="22"/>
  </w:num>
  <w:num w:numId="12">
    <w:abstractNumId w:val="30"/>
  </w:num>
  <w:num w:numId="13">
    <w:abstractNumId w:val="26"/>
  </w:num>
  <w:num w:numId="14">
    <w:abstractNumId w:val="32"/>
  </w:num>
  <w:num w:numId="15">
    <w:abstractNumId w:val="5"/>
  </w:num>
  <w:num w:numId="16">
    <w:abstractNumId w:val="15"/>
  </w:num>
  <w:num w:numId="17">
    <w:abstractNumId w:val="43"/>
  </w:num>
  <w:num w:numId="18">
    <w:abstractNumId w:val="34"/>
  </w:num>
  <w:num w:numId="19">
    <w:abstractNumId w:val="14"/>
  </w:num>
  <w:num w:numId="20">
    <w:abstractNumId w:val="24"/>
  </w:num>
  <w:num w:numId="21">
    <w:abstractNumId w:val="10"/>
  </w:num>
  <w:num w:numId="22">
    <w:abstractNumId w:val="37"/>
  </w:num>
  <w:num w:numId="23">
    <w:abstractNumId w:val="36"/>
  </w:num>
  <w:num w:numId="24">
    <w:abstractNumId w:val="7"/>
  </w:num>
  <w:num w:numId="25">
    <w:abstractNumId w:val="29"/>
  </w:num>
  <w:num w:numId="26">
    <w:abstractNumId w:val="25"/>
  </w:num>
  <w:num w:numId="27">
    <w:abstractNumId w:val="27"/>
  </w:num>
  <w:num w:numId="28">
    <w:abstractNumId w:val="23"/>
  </w:num>
  <w:num w:numId="29">
    <w:abstractNumId w:val="2"/>
  </w:num>
  <w:num w:numId="30">
    <w:abstractNumId w:val="16"/>
  </w:num>
  <w:num w:numId="31">
    <w:abstractNumId w:val="21"/>
  </w:num>
  <w:num w:numId="32">
    <w:abstractNumId w:val="17"/>
  </w:num>
  <w:num w:numId="33">
    <w:abstractNumId w:val="45"/>
  </w:num>
  <w:num w:numId="34">
    <w:abstractNumId w:val="35"/>
  </w:num>
  <w:num w:numId="35">
    <w:abstractNumId w:val="46"/>
  </w:num>
  <w:num w:numId="36">
    <w:abstractNumId w:val="4"/>
  </w:num>
  <w:num w:numId="37">
    <w:abstractNumId w:val="42"/>
  </w:num>
  <w:num w:numId="38">
    <w:abstractNumId w:val="11"/>
  </w:num>
  <w:num w:numId="39">
    <w:abstractNumId w:val="31"/>
  </w:num>
  <w:num w:numId="40">
    <w:abstractNumId w:val="39"/>
  </w:num>
  <w:num w:numId="41">
    <w:abstractNumId w:val="18"/>
  </w:num>
  <w:num w:numId="42">
    <w:abstractNumId w:val="20"/>
  </w:num>
  <w:num w:numId="43">
    <w:abstractNumId w:val="41"/>
  </w:num>
  <w:num w:numId="44">
    <w:abstractNumId w:val="44"/>
  </w:num>
  <w:num w:numId="45">
    <w:abstractNumId w:val="40"/>
  </w:num>
  <w:num w:numId="46">
    <w:abstractNumId w:val="38"/>
  </w:num>
  <w:num w:numId="47">
    <w:abstractNumId w:val="3"/>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22"/>
    <w:rsid w:val="000007B4"/>
    <w:rsid w:val="00000F31"/>
    <w:rsid w:val="00001B3C"/>
    <w:rsid w:val="000035D1"/>
    <w:rsid w:val="0000398F"/>
    <w:rsid w:val="0000484C"/>
    <w:rsid w:val="00006B4F"/>
    <w:rsid w:val="00006C81"/>
    <w:rsid w:val="00007F2F"/>
    <w:rsid w:val="000127F2"/>
    <w:rsid w:val="000129FE"/>
    <w:rsid w:val="00014B58"/>
    <w:rsid w:val="0001605A"/>
    <w:rsid w:val="00016E9E"/>
    <w:rsid w:val="000172A6"/>
    <w:rsid w:val="00017E73"/>
    <w:rsid w:val="00021C6E"/>
    <w:rsid w:val="00022849"/>
    <w:rsid w:val="000232BD"/>
    <w:rsid w:val="00023A84"/>
    <w:rsid w:val="00024588"/>
    <w:rsid w:val="00024D0E"/>
    <w:rsid w:val="00025C65"/>
    <w:rsid w:val="00026CE5"/>
    <w:rsid w:val="0003039A"/>
    <w:rsid w:val="00030D92"/>
    <w:rsid w:val="00031DE4"/>
    <w:rsid w:val="0003296A"/>
    <w:rsid w:val="00032BE5"/>
    <w:rsid w:val="00032EE9"/>
    <w:rsid w:val="000340B9"/>
    <w:rsid w:val="00035151"/>
    <w:rsid w:val="000351C5"/>
    <w:rsid w:val="00035A87"/>
    <w:rsid w:val="00035B01"/>
    <w:rsid w:val="00037C5B"/>
    <w:rsid w:val="000440A4"/>
    <w:rsid w:val="00047123"/>
    <w:rsid w:val="00050A61"/>
    <w:rsid w:val="00050FB5"/>
    <w:rsid w:val="000562DA"/>
    <w:rsid w:val="00057E76"/>
    <w:rsid w:val="000609B3"/>
    <w:rsid w:val="00061F0C"/>
    <w:rsid w:val="000640F3"/>
    <w:rsid w:val="000649BD"/>
    <w:rsid w:val="000651F2"/>
    <w:rsid w:val="000655B3"/>
    <w:rsid w:val="00067B17"/>
    <w:rsid w:val="000708BF"/>
    <w:rsid w:val="000737A1"/>
    <w:rsid w:val="00074824"/>
    <w:rsid w:val="0007685A"/>
    <w:rsid w:val="0007715F"/>
    <w:rsid w:val="0007728B"/>
    <w:rsid w:val="00077D61"/>
    <w:rsid w:val="000816CB"/>
    <w:rsid w:val="00081A13"/>
    <w:rsid w:val="00082A0E"/>
    <w:rsid w:val="0008484A"/>
    <w:rsid w:val="00085616"/>
    <w:rsid w:val="00085F5A"/>
    <w:rsid w:val="000860C5"/>
    <w:rsid w:val="00086F1C"/>
    <w:rsid w:val="00092822"/>
    <w:rsid w:val="000952E3"/>
    <w:rsid w:val="000961DD"/>
    <w:rsid w:val="00096D9B"/>
    <w:rsid w:val="00097190"/>
    <w:rsid w:val="000A0416"/>
    <w:rsid w:val="000A4F77"/>
    <w:rsid w:val="000A58C0"/>
    <w:rsid w:val="000A5D6C"/>
    <w:rsid w:val="000A68F1"/>
    <w:rsid w:val="000A77CF"/>
    <w:rsid w:val="000A7A2A"/>
    <w:rsid w:val="000A7C91"/>
    <w:rsid w:val="000B0FF6"/>
    <w:rsid w:val="000B3154"/>
    <w:rsid w:val="000B3582"/>
    <w:rsid w:val="000B42D8"/>
    <w:rsid w:val="000B4668"/>
    <w:rsid w:val="000B48BC"/>
    <w:rsid w:val="000B7DB2"/>
    <w:rsid w:val="000B7ECF"/>
    <w:rsid w:val="000C21A3"/>
    <w:rsid w:val="000C4119"/>
    <w:rsid w:val="000C427F"/>
    <w:rsid w:val="000C44E1"/>
    <w:rsid w:val="000C5166"/>
    <w:rsid w:val="000C5169"/>
    <w:rsid w:val="000C6226"/>
    <w:rsid w:val="000C6736"/>
    <w:rsid w:val="000C6AF7"/>
    <w:rsid w:val="000C711F"/>
    <w:rsid w:val="000C72ED"/>
    <w:rsid w:val="000D0335"/>
    <w:rsid w:val="000D2229"/>
    <w:rsid w:val="000D28AC"/>
    <w:rsid w:val="000D2B69"/>
    <w:rsid w:val="000D2BAC"/>
    <w:rsid w:val="000D34CF"/>
    <w:rsid w:val="000D664C"/>
    <w:rsid w:val="000E01B6"/>
    <w:rsid w:val="000E4379"/>
    <w:rsid w:val="000E4CAB"/>
    <w:rsid w:val="000E6924"/>
    <w:rsid w:val="000F1BFE"/>
    <w:rsid w:val="000F24CB"/>
    <w:rsid w:val="000F38B9"/>
    <w:rsid w:val="000F3B16"/>
    <w:rsid w:val="000F41F3"/>
    <w:rsid w:val="000F4C0E"/>
    <w:rsid w:val="000F633D"/>
    <w:rsid w:val="000F65A2"/>
    <w:rsid w:val="00100492"/>
    <w:rsid w:val="00100810"/>
    <w:rsid w:val="00101758"/>
    <w:rsid w:val="00103FA4"/>
    <w:rsid w:val="001041C9"/>
    <w:rsid w:val="00106736"/>
    <w:rsid w:val="0010759D"/>
    <w:rsid w:val="001123A9"/>
    <w:rsid w:val="0011396F"/>
    <w:rsid w:val="0011420E"/>
    <w:rsid w:val="00115CBB"/>
    <w:rsid w:val="00115D0F"/>
    <w:rsid w:val="001160E8"/>
    <w:rsid w:val="001167F8"/>
    <w:rsid w:val="00116860"/>
    <w:rsid w:val="00116F06"/>
    <w:rsid w:val="00120C6E"/>
    <w:rsid w:val="00121537"/>
    <w:rsid w:val="00121710"/>
    <w:rsid w:val="00121C63"/>
    <w:rsid w:val="00124DF5"/>
    <w:rsid w:val="00126B19"/>
    <w:rsid w:val="0012725A"/>
    <w:rsid w:val="00127D18"/>
    <w:rsid w:val="00127ED9"/>
    <w:rsid w:val="00131182"/>
    <w:rsid w:val="00131632"/>
    <w:rsid w:val="001323A9"/>
    <w:rsid w:val="00132E56"/>
    <w:rsid w:val="00133CC7"/>
    <w:rsid w:val="00134004"/>
    <w:rsid w:val="001359B3"/>
    <w:rsid w:val="00135A17"/>
    <w:rsid w:val="00136449"/>
    <w:rsid w:val="00136873"/>
    <w:rsid w:val="00136ED5"/>
    <w:rsid w:val="00140960"/>
    <w:rsid w:val="00141BAD"/>
    <w:rsid w:val="00141D9F"/>
    <w:rsid w:val="001430F8"/>
    <w:rsid w:val="00145602"/>
    <w:rsid w:val="00145D73"/>
    <w:rsid w:val="0014714B"/>
    <w:rsid w:val="00151327"/>
    <w:rsid w:val="00153361"/>
    <w:rsid w:val="0015497F"/>
    <w:rsid w:val="00154F7E"/>
    <w:rsid w:val="00160C32"/>
    <w:rsid w:val="001619B4"/>
    <w:rsid w:val="0016231C"/>
    <w:rsid w:val="00164527"/>
    <w:rsid w:val="001666C0"/>
    <w:rsid w:val="0016715E"/>
    <w:rsid w:val="00167C02"/>
    <w:rsid w:val="00167E80"/>
    <w:rsid w:val="00171207"/>
    <w:rsid w:val="00171B3F"/>
    <w:rsid w:val="00172383"/>
    <w:rsid w:val="00175029"/>
    <w:rsid w:val="0017517B"/>
    <w:rsid w:val="00176705"/>
    <w:rsid w:val="00181604"/>
    <w:rsid w:val="00181851"/>
    <w:rsid w:val="0018191C"/>
    <w:rsid w:val="0018427B"/>
    <w:rsid w:val="001846AE"/>
    <w:rsid w:val="00186320"/>
    <w:rsid w:val="00186B3F"/>
    <w:rsid w:val="00187579"/>
    <w:rsid w:val="00187A4A"/>
    <w:rsid w:val="00187C47"/>
    <w:rsid w:val="00187FB1"/>
    <w:rsid w:val="00190BF5"/>
    <w:rsid w:val="00191D89"/>
    <w:rsid w:val="0019293A"/>
    <w:rsid w:val="0019306B"/>
    <w:rsid w:val="00196CAA"/>
    <w:rsid w:val="001A013D"/>
    <w:rsid w:val="001A05AD"/>
    <w:rsid w:val="001A0754"/>
    <w:rsid w:val="001A07A4"/>
    <w:rsid w:val="001A0CB3"/>
    <w:rsid w:val="001A4AC0"/>
    <w:rsid w:val="001A4D55"/>
    <w:rsid w:val="001A7C3E"/>
    <w:rsid w:val="001B2635"/>
    <w:rsid w:val="001B2E8F"/>
    <w:rsid w:val="001B4A01"/>
    <w:rsid w:val="001B4C05"/>
    <w:rsid w:val="001B7629"/>
    <w:rsid w:val="001C2A15"/>
    <w:rsid w:val="001C38A3"/>
    <w:rsid w:val="001C474C"/>
    <w:rsid w:val="001C5581"/>
    <w:rsid w:val="001C5E31"/>
    <w:rsid w:val="001C5FD5"/>
    <w:rsid w:val="001C6A87"/>
    <w:rsid w:val="001D0EF3"/>
    <w:rsid w:val="001D21F4"/>
    <w:rsid w:val="001D391E"/>
    <w:rsid w:val="001D3CCE"/>
    <w:rsid w:val="001D555B"/>
    <w:rsid w:val="001D58E7"/>
    <w:rsid w:val="001D6166"/>
    <w:rsid w:val="001D63B7"/>
    <w:rsid w:val="001D66D7"/>
    <w:rsid w:val="001E0EA4"/>
    <w:rsid w:val="001E1D30"/>
    <w:rsid w:val="001E3211"/>
    <w:rsid w:val="001E608C"/>
    <w:rsid w:val="001E6FA7"/>
    <w:rsid w:val="001E71C9"/>
    <w:rsid w:val="001E76E0"/>
    <w:rsid w:val="001E7C2B"/>
    <w:rsid w:val="001F133E"/>
    <w:rsid w:val="001F1937"/>
    <w:rsid w:val="001F2550"/>
    <w:rsid w:val="001F38C8"/>
    <w:rsid w:val="001F44D5"/>
    <w:rsid w:val="001F4842"/>
    <w:rsid w:val="001F4941"/>
    <w:rsid w:val="001F61D1"/>
    <w:rsid w:val="001F6ACB"/>
    <w:rsid w:val="001F7EE7"/>
    <w:rsid w:val="0020041F"/>
    <w:rsid w:val="00200C8D"/>
    <w:rsid w:val="00203EB0"/>
    <w:rsid w:val="0020595C"/>
    <w:rsid w:val="00205FB6"/>
    <w:rsid w:val="00211179"/>
    <w:rsid w:val="00211330"/>
    <w:rsid w:val="002128A8"/>
    <w:rsid w:val="0021368E"/>
    <w:rsid w:val="0021521F"/>
    <w:rsid w:val="002156C7"/>
    <w:rsid w:val="00216527"/>
    <w:rsid w:val="002175AC"/>
    <w:rsid w:val="00217E03"/>
    <w:rsid w:val="002203A9"/>
    <w:rsid w:val="002207C3"/>
    <w:rsid w:val="00221F30"/>
    <w:rsid w:val="00223C26"/>
    <w:rsid w:val="00223D52"/>
    <w:rsid w:val="00224260"/>
    <w:rsid w:val="0022498A"/>
    <w:rsid w:val="002249D3"/>
    <w:rsid w:val="00224A46"/>
    <w:rsid w:val="00224A56"/>
    <w:rsid w:val="002255B8"/>
    <w:rsid w:val="002265B5"/>
    <w:rsid w:val="00226E73"/>
    <w:rsid w:val="002273BB"/>
    <w:rsid w:val="00227A04"/>
    <w:rsid w:val="00230EFC"/>
    <w:rsid w:val="00231574"/>
    <w:rsid w:val="002320AB"/>
    <w:rsid w:val="002332EC"/>
    <w:rsid w:val="002354A2"/>
    <w:rsid w:val="00235DF6"/>
    <w:rsid w:val="0023731D"/>
    <w:rsid w:val="00241168"/>
    <w:rsid w:val="002414C2"/>
    <w:rsid w:val="00241F9B"/>
    <w:rsid w:val="00242BDE"/>
    <w:rsid w:val="00243CF7"/>
    <w:rsid w:val="002467FB"/>
    <w:rsid w:val="00246DBB"/>
    <w:rsid w:val="00246DE0"/>
    <w:rsid w:val="00247326"/>
    <w:rsid w:val="00247A49"/>
    <w:rsid w:val="002501DF"/>
    <w:rsid w:val="002507E2"/>
    <w:rsid w:val="002515E4"/>
    <w:rsid w:val="00251B83"/>
    <w:rsid w:val="00251EC5"/>
    <w:rsid w:val="00251FD2"/>
    <w:rsid w:val="00252076"/>
    <w:rsid w:val="0025315B"/>
    <w:rsid w:val="00254127"/>
    <w:rsid w:val="00256991"/>
    <w:rsid w:val="0026017D"/>
    <w:rsid w:val="002604C2"/>
    <w:rsid w:val="0026099E"/>
    <w:rsid w:val="00260C5B"/>
    <w:rsid w:val="00261662"/>
    <w:rsid w:val="0026264D"/>
    <w:rsid w:val="00263B8A"/>
    <w:rsid w:val="00263D8D"/>
    <w:rsid w:val="002661B8"/>
    <w:rsid w:val="00266A44"/>
    <w:rsid w:val="00270F11"/>
    <w:rsid w:val="0027171A"/>
    <w:rsid w:val="00272039"/>
    <w:rsid w:val="002746DA"/>
    <w:rsid w:val="00274BF2"/>
    <w:rsid w:val="00276428"/>
    <w:rsid w:val="002764BA"/>
    <w:rsid w:val="002766D2"/>
    <w:rsid w:val="0028061A"/>
    <w:rsid w:val="00280A2B"/>
    <w:rsid w:val="00280D92"/>
    <w:rsid w:val="00280DCB"/>
    <w:rsid w:val="00281A3E"/>
    <w:rsid w:val="00281EF4"/>
    <w:rsid w:val="00283429"/>
    <w:rsid w:val="00283D27"/>
    <w:rsid w:val="00283D6E"/>
    <w:rsid w:val="00283D8D"/>
    <w:rsid w:val="002844D3"/>
    <w:rsid w:val="00285409"/>
    <w:rsid w:val="00285B53"/>
    <w:rsid w:val="00286926"/>
    <w:rsid w:val="00287195"/>
    <w:rsid w:val="0028722A"/>
    <w:rsid w:val="00287AF0"/>
    <w:rsid w:val="0029107F"/>
    <w:rsid w:val="002911D7"/>
    <w:rsid w:val="002919BB"/>
    <w:rsid w:val="00292719"/>
    <w:rsid w:val="00293E36"/>
    <w:rsid w:val="00297596"/>
    <w:rsid w:val="002A0622"/>
    <w:rsid w:val="002A10AF"/>
    <w:rsid w:val="002A26B2"/>
    <w:rsid w:val="002A4CFC"/>
    <w:rsid w:val="002A567E"/>
    <w:rsid w:val="002A5BC9"/>
    <w:rsid w:val="002A6854"/>
    <w:rsid w:val="002A7357"/>
    <w:rsid w:val="002A78AE"/>
    <w:rsid w:val="002B14D7"/>
    <w:rsid w:val="002B14DD"/>
    <w:rsid w:val="002B2C36"/>
    <w:rsid w:val="002B3411"/>
    <w:rsid w:val="002B41F2"/>
    <w:rsid w:val="002B61FB"/>
    <w:rsid w:val="002B631D"/>
    <w:rsid w:val="002B67B3"/>
    <w:rsid w:val="002B7F25"/>
    <w:rsid w:val="002C0FAA"/>
    <w:rsid w:val="002C1247"/>
    <w:rsid w:val="002C30F2"/>
    <w:rsid w:val="002C3628"/>
    <w:rsid w:val="002C3DAB"/>
    <w:rsid w:val="002C4FDD"/>
    <w:rsid w:val="002C5DFB"/>
    <w:rsid w:val="002C6728"/>
    <w:rsid w:val="002C7BB1"/>
    <w:rsid w:val="002D1648"/>
    <w:rsid w:val="002D24A7"/>
    <w:rsid w:val="002D2AAD"/>
    <w:rsid w:val="002D4ACF"/>
    <w:rsid w:val="002D560C"/>
    <w:rsid w:val="002D678D"/>
    <w:rsid w:val="002D6A56"/>
    <w:rsid w:val="002D700B"/>
    <w:rsid w:val="002E08E8"/>
    <w:rsid w:val="002E10B1"/>
    <w:rsid w:val="002E2693"/>
    <w:rsid w:val="002E36F8"/>
    <w:rsid w:val="002E49EB"/>
    <w:rsid w:val="002E4C9F"/>
    <w:rsid w:val="002E4FF7"/>
    <w:rsid w:val="002E6D94"/>
    <w:rsid w:val="002E7974"/>
    <w:rsid w:val="002E7B4A"/>
    <w:rsid w:val="002F0392"/>
    <w:rsid w:val="002F0617"/>
    <w:rsid w:val="002F120B"/>
    <w:rsid w:val="002F1805"/>
    <w:rsid w:val="002F19E9"/>
    <w:rsid w:val="002F24E3"/>
    <w:rsid w:val="002F45F7"/>
    <w:rsid w:val="002F634D"/>
    <w:rsid w:val="002F6550"/>
    <w:rsid w:val="00303742"/>
    <w:rsid w:val="00304F86"/>
    <w:rsid w:val="00307E2F"/>
    <w:rsid w:val="00310FB4"/>
    <w:rsid w:val="00311DE8"/>
    <w:rsid w:val="003123B7"/>
    <w:rsid w:val="0031264D"/>
    <w:rsid w:val="00313226"/>
    <w:rsid w:val="00313AC9"/>
    <w:rsid w:val="00320AFF"/>
    <w:rsid w:val="003213BF"/>
    <w:rsid w:val="00321BED"/>
    <w:rsid w:val="00322997"/>
    <w:rsid w:val="00322E3E"/>
    <w:rsid w:val="003242F3"/>
    <w:rsid w:val="00324549"/>
    <w:rsid w:val="003247B7"/>
    <w:rsid w:val="003247D0"/>
    <w:rsid w:val="00325B97"/>
    <w:rsid w:val="00326EE8"/>
    <w:rsid w:val="00327063"/>
    <w:rsid w:val="0032754E"/>
    <w:rsid w:val="00330F33"/>
    <w:rsid w:val="003321FF"/>
    <w:rsid w:val="00334143"/>
    <w:rsid w:val="003372DC"/>
    <w:rsid w:val="0033767C"/>
    <w:rsid w:val="00337BFE"/>
    <w:rsid w:val="00337E0A"/>
    <w:rsid w:val="00345B4F"/>
    <w:rsid w:val="00347FCD"/>
    <w:rsid w:val="00350E86"/>
    <w:rsid w:val="00351CEC"/>
    <w:rsid w:val="0035223F"/>
    <w:rsid w:val="003528A1"/>
    <w:rsid w:val="00353461"/>
    <w:rsid w:val="00354DCE"/>
    <w:rsid w:val="00356339"/>
    <w:rsid w:val="00356C2D"/>
    <w:rsid w:val="003606A2"/>
    <w:rsid w:val="00360A3A"/>
    <w:rsid w:val="0036149C"/>
    <w:rsid w:val="00364850"/>
    <w:rsid w:val="003650E4"/>
    <w:rsid w:val="00365FBE"/>
    <w:rsid w:val="003660C3"/>
    <w:rsid w:val="00367B21"/>
    <w:rsid w:val="003703D3"/>
    <w:rsid w:val="00371DD3"/>
    <w:rsid w:val="003724D0"/>
    <w:rsid w:val="003727BC"/>
    <w:rsid w:val="0037618E"/>
    <w:rsid w:val="00380585"/>
    <w:rsid w:val="00380A82"/>
    <w:rsid w:val="00380FE4"/>
    <w:rsid w:val="00382B0F"/>
    <w:rsid w:val="0039069F"/>
    <w:rsid w:val="00391893"/>
    <w:rsid w:val="0039269C"/>
    <w:rsid w:val="00392E6F"/>
    <w:rsid w:val="003935F3"/>
    <w:rsid w:val="003947DD"/>
    <w:rsid w:val="00396119"/>
    <w:rsid w:val="00397073"/>
    <w:rsid w:val="003974D8"/>
    <w:rsid w:val="003A00B9"/>
    <w:rsid w:val="003A1BF7"/>
    <w:rsid w:val="003A2929"/>
    <w:rsid w:val="003A46D1"/>
    <w:rsid w:val="003A5A2F"/>
    <w:rsid w:val="003A6392"/>
    <w:rsid w:val="003A689D"/>
    <w:rsid w:val="003A7548"/>
    <w:rsid w:val="003A7A3F"/>
    <w:rsid w:val="003A7E58"/>
    <w:rsid w:val="003A7F21"/>
    <w:rsid w:val="003B0B0C"/>
    <w:rsid w:val="003B0ED4"/>
    <w:rsid w:val="003B12E2"/>
    <w:rsid w:val="003B415C"/>
    <w:rsid w:val="003B4C60"/>
    <w:rsid w:val="003B7070"/>
    <w:rsid w:val="003B7201"/>
    <w:rsid w:val="003B73DA"/>
    <w:rsid w:val="003C03B5"/>
    <w:rsid w:val="003C06ED"/>
    <w:rsid w:val="003C07C3"/>
    <w:rsid w:val="003C1A2C"/>
    <w:rsid w:val="003C33C4"/>
    <w:rsid w:val="003C603E"/>
    <w:rsid w:val="003C62FF"/>
    <w:rsid w:val="003C6904"/>
    <w:rsid w:val="003D22D1"/>
    <w:rsid w:val="003D3327"/>
    <w:rsid w:val="003D3504"/>
    <w:rsid w:val="003D5E8A"/>
    <w:rsid w:val="003E0237"/>
    <w:rsid w:val="003E09E5"/>
    <w:rsid w:val="003E23C5"/>
    <w:rsid w:val="003E2B63"/>
    <w:rsid w:val="003E3748"/>
    <w:rsid w:val="003E4DCE"/>
    <w:rsid w:val="003E621F"/>
    <w:rsid w:val="003E707F"/>
    <w:rsid w:val="003E773C"/>
    <w:rsid w:val="003E7E2F"/>
    <w:rsid w:val="003F1243"/>
    <w:rsid w:val="003F15B7"/>
    <w:rsid w:val="003F3081"/>
    <w:rsid w:val="003F40D7"/>
    <w:rsid w:val="003F4A6B"/>
    <w:rsid w:val="003F4C81"/>
    <w:rsid w:val="003F60A0"/>
    <w:rsid w:val="003F684E"/>
    <w:rsid w:val="003F6C0F"/>
    <w:rsid w:val="004003A2"/>
    <w:rsid w:val="00400510"/>
    <w:rsid w:val="00404002"/>
    <w:rsid w:val="00405469"/>
    <w:rsid w:val="00406B88"/>
    <w:rsid w:val="00406CE1"/>
    <w:rsid w:val="00407528"/>
    <w:rsid w:val="00410923"/>
    <w:rsid w:val="0041116E"/>
    <w:rsid w:val="0041154E"/>
    <w:rsid w:val="00411F90"/>
    <w:rsid w:val="00413B48"/>
    <w:rsid w:val="00414FE6"/>
    <w:rsid w:val="00416883"/>
    <w:rsid w:val="00420BDF"/>
    <w:rsid w:val="00420F52"/>
    <w:rsid w:val="00421629"/>
    <w:rsid w:val="00422E5F"/>
    <w:rsid w:val="004239D4"/>
    <w:rsid w:val="004261E7"/>
    <w:rsid w:val="00426266"/>
    <w:rsid w:val="00432D1D"/>
    <w:rsid w:val="00433283"/>
    <w:rsid w:val="00433768"/>
    <w:rsid w:val="00433AFA"/>
    <w:rsid w:val="00433D68"/>
    <w:rsid w:val="004340FE"/>
    <w:rsid w:val="0043708D"/>
    <w:rsid w:val="004401FD"/>
    <w:rsid w:val="00440CFC"/>
    <w:rsid w:val="0044109C"/>
    <w:rsid w:val="0044279D"/>
    <w:rsid w:val="004438D2"/>
    <w:rsid w:val="00445032"/>
    <w:rsid w:val="00446BE6"/>
    <w:rsid w:val="00447ECF"/>
    <w:rsid w:val="004521A1"/>
    <w:rsid w:val="0045506D"/>
    <w:rsid w:val="004576F0"/>
    <w:rsid w:val="00457FF3"/>
    <w:rsid w:val="00460210"/>
    <w:rsid w:val="004618FB"/>
    <w:rsid w:val="00463C77"/>
    <w:rsid w:val="00464B78"/>
    <w:rsid w:val="00464C3C"/>
    <w:rsid w:val="00465BBB"/>
    <w:rsid w:val="00466B4D"/>
    <w:rsid w:val="00466D89"/>
    <w:rsid w:val="00467072"/>
    <w:rsid w:val="00467CDC"/>
    <w:rsid w:val="00471E19"/>
    <w:rsid w:val="00473409"/>
    <w:rsid w:val="00473927"/>
    <w:rsid w:val="00474F6A"/>
    <w:rsid w:val="00475CA4"/>
    <w:rsid w:val="00476300"/>
    <w:rsid w:val="00480728"/>
    <w:rsid w:val="00480C49"/>
    <w:rsid w:val="004819E5"/>
    <w:rsid w:val="0048282B"/>
    <w:rsid w:val="004830B5"/>
    <w:rsid w:val="00484012"/>
    <w:rsid w:val="00485D14"/>
    <w:rsid w:val="0048662A"/>
    <w:rsid w:val="00486EEC"/>
    <w:rsid w:val="00487199"/>
    <w:rsid w:val="004914B7"/>
    <w:rsid w:val="00491C6B"/>
    <w:rsid w:val="004944C6"/>
    <w:rsid w:val="00495F79"/>
    <w:rsid w:val="00496384"/>
    <w:rsid w:val="00496C27"/>
    <w:rsid w:val="00497525"/>
    <w:rsid w:val="004A0F5A"/>
    <w:rsid w:val="004A11EB"/>
    <w:rsid w:val="004A31F7"/>
    <w:rsid w:val="004A323C"/>
    <w:rsid w:val="004A62B2"/>
    <w:rsid w:val="004B0C8C"/>
    <w:rsid w:val="004B2041"/>
    <w:rsid w:val="004B28AE"/>
    <w:rsid w:val="004B3393"/>
    <w:rsid w:val="004B357C"/>
    <w:rsid w:val="004B37E1"/>
    <w:rsid w:val="004B4F48"/>
    <w:rsid w:val="004B6551"/>
    <w:rsid w:val="004B6BFF"/>
    <w:rsid w:val="004C0ACD"/>
    <w:rsid w:val="004C0BB5"/>
    <w:rsid w:val="004C1069"/>
    <w:rsid w:val="004C1952"/>
    <w:rsid w:val="004C35FD"/>
    <w:rsid w:val="004C3CA7"/>
    <w:rsid w:val="004C4D69"/>
    <w:rsid w:val="004C543A"/>
    <w:rsid w:val="004C60E0"/>
    <w:rsid w:val="004C6240"/>
    <w:rsid w:val="004C7546"/>
    <w:rsid w:val="004D03B6"/>
    <w:rsid w:val="004D186D"/>
    <w:rsid w:val="004D26F4"/>
    <w:rsid w:val="004D2B1A"/>
    <w:rsid w:val="004D3FBF"/>
    <w:rsid w:val="004D43FF"/>
    <w:rsid w:val="004D5048"/>
    <w:rsid w:val="004D549F"/>
    <w:rsid w:val="004D6709"/>
    <w:rsid w:val="004D69B7"/>
    <w:rsid w:val="004D70D3"/>
    <w:rsid w:val="004D740F"/>
    <w:rsid w:val="004D742A"/>
    <w:rsid w:val="004D7F3F"/>
    <w:rsid w:val="004E1391"/>
    <w:rsid w:val="004E2135"/>
    <w:rsid w:val="004E26BD"/>
    <w:rsid w:val="004E3DAC"/>
    <w:rsid w:val="004E5CAD"/>
    <w:rsid w:val="004E60A8"/>
    <w:rsid w:val="004F012F"/>
    <w:rsid w:val="004F02E8"/>
    <w:rsid w:val="004F0997"/>
    <w:rsid w:val="004F155F"/>
    <w:rsid w:val="004F19B9"/>
    <w:rsid w:val="004F23CA"/>
    <w:rsid w:val="004F2C41"/>
    <w:rsid w:val="004F3663"/>
    <w:rsid w:val="004F3A47"/>
    <w:rsid w:val="004F550C"/>
    <w:rsid w:val="004F7179"/>
    <w:rsid w:val="00500754"/>
    <w:rsid w:val="00502356"/>
    <w:rsid w:val="0050277E"/>
    <w:rsid w:val="00502ADB"/>
    <w:rsid w:val="00503D85"/>
    <w:rsid w:val="00505420"/>
    <w:rsid w:val="005063F1"/>
    <w:rsid w:val="0050677A"/>
    <w:rsid w:val="005103A0"/>
    <w:rsid w:val="00510C59"/>
    <w:rsid w:val="00511043"/>
    <w:rsid w:val="005131D1"/>
    <w:rsid w:val="0051689E"/>
    <w:rsid w:val="00517DE4"/>
    <w:rsid w:val="00520A8B"/>
    <w:rsid w:val="00521BBE"/>
    <w:rsid w:val="0052597D"/>
    <w:rsid w:val="00526681"/>
    <w:rsid w:val="00530432"/>
    <w:rsid w:val="00531668"/>
    <w:rsid w:val="00534B30"/>
    <w:rsid w:val="005357B0"/>
    <w:rsid w:val="00535F5C"/>
    <w:rsid w:val="00543DC6"/>
    <w:rsid w:val="005461F6"/>
    <w:rsid w:val="00550384"/>
    <w:rsid w:val="005509FE"/>
    <w:rsid w:val="005525B4"/>
    <w:rsid w:val="0055273B"/>
    <w:rsid w:val="00552EF2"/>
    <w:rsid w:val="00552FA4"/>
    <w:rsid w:val="00555BA5"/>
    <w:rsid w:val="00562129"/>
    <w:rsid w:val="005647DD"/>
    <w:rsid w:val="00567022"/>
    <w:rsid w:val="00567AB8"/>
    <w:rsid w:val="0057017A"/>
    <w:rsid w:val="005702DA"/>
    <w:rsid w:val="00570A03"/>
    <w:rsid w:val="00570C22"/>
    <w:rsid w:val="00572BD4"/>
    <w:rsid w:val="00572EA4"/>
    <w:rsid w:val="005754AF"/>
    <w:rsid w:val="005761F4"/>
    <w:rsid w:val="00576820"/>
    <w:rsid w:val="0057749B"/>
    <w:rsid w:val="005774AC"/>
    <w:rsid w:val="00577918"/>
    <w:rsid w:val="00577E0B"/>
    <w:rsid w:val="00580692"/>
    <w:rsid w:val="00582203"/>
    <w:rsid w:val="0058237F"/>
    <w:rsid w:val="00582538"/>
    <w:rsid w:val="005825D2"/>
    <w:rsid w:val="0058284E"/>
    <w:rsid w:val="005849EB"/>
    <w:rsid w:val="00586041"/>
    <w:rsid w:val="00587957"/>
    <w:rsid w:val="00591204"/>
    <w:rsid w:val="00591805"/>
    <w:rsid w:val="00591CBC"/>
    <w:rsid w:val="00592A99"/>
    <w:rsid w:val="00593B2A"/>
    <w:rsid w:val="00595416"/>
    <w:rsid w:val="00595954"/>
    <w:rsid w:val="00596CC4"/>
    <w:rsid w:val="005A186C"/>
    <w:rsid w:val="005A2872"/>
    <w:rsid w:val="005A433F"/>
    <w:rsid w:val="005A4EA0"/>
    <w:rsid w:val="005A53DB"/>
    <w:rsid w:val="005A568A"/>
    <w:rsid w:val="005A6FFA"/>
    <w:rsid w:val="005A7917"/>
    <w:rsid w:val="005B0195"/>
    <w:rsid w:val="005B0353"/>
    <w:rsid w:val="005B0A84"/>
    <w:rsid w:val="005B3085"/>
    <w:rsid w:val="005B55EA"/>
    <w:rsid w:val="005B6366"/>
    <w:rsid w:val="005B7713"/>
    <w:rsid w:val="005C1EC5"/>
    <w:rsid w:val="005C1F49"/>
    <w:rsid w:val="005C23A4"/>
    <w:rsid w:val="005C324B"/>
    <w:rsid w:val="005C3712"/>
    <w:rsid w:val="005C488E"/>
    <w:rsid w:val="005C6BA6"/>
    <w:rsid w:val="005D0C3D"/>
    <w:rsid w:val="005D1589"/>
    <w:rsid w:val="005D1595"/>
    <w:rsid w:val="005D1D2F"/>
    <w:rsid w:val="005D41E9"/>
    <w:rsid w:val="005D74B8"/>
    <w:rsid w:val="005E0DB3"/>
    <w:rsid w:val="005E1ABF"/>
    <w:rsid w:val="005E317F"/>
    <w:rsid w:val="005E360D"/>
    <w:rsid w:val="005E41B0"/>
    <w:rsid w:val="005E539D"/>
    <w:rsid w:val="005E5B4A"/>
    <w:rsid w:val="005F06DF"/>
    <w:rsid w:val="005F0721"/>
    <w:rsid w:val="005F1929"/>
    <w:rsid w:val="005F4245"/>
    <w:rsid w:val="005F50B7"/>
    <w:rsid w:val="005F64B4"/>
    <w:rsid w:val="005F6D3C"/>
    <w:rsid w:val="005F7DDE"/>
    <w:rsid w:val="0060091C"/>
    <w:rsid w:val="00600FC8"/>
    <w:rsid w:val="006013F6"/>
    <w:rsid w:val="00602FFF"/>
    <w:rsid w:val="00604664"/>
    <w:rsid w:val="0060473C"/>
    <w:rsid w:val="006071D7"/>
    <w:rsid w:val="00612012"/>
    <w:rsid w:val="00613206"/>
    <w:rsid w:val="006138CD"/>
    <w:rsid w:val="0061459E"/>
    <w:rsid w:val="0061598E"/>
    <w:rsid w:val="006167A7"/>
    <w:rsid w:val="006236EB"/>
    <w:rsid w:val="00626166"/>
    <w:rsid w:val="006265EC"/>
    <w:rsid w:val="006275AD"/>
    <w:rsid w:val="00632B60"/>
    <w:rsid w:val="00633C11"/>
    <w:rsid w:val="00635565"/>
    <w:rsid w:val="00635E10"/>
    <w:rsid w:val="006422FE"/>
    <w:rsid w:val="00642EC1"/>
    <w:rsid w:val="006441AB"/>
    <w:rsid w:val="0064446C"/>
    <w:rsid w:val="006447C3"/>
    <w:rsid w:val="006447E3"/>
    <w:rsid w:val="00646A4B"/>
    <w:rsid w:val="006470F5"/>
    <w:rsid w:val="00647A05"/>
    <w:rsid w:val="0065014B"/>
    <w:rsid w:val="00651C98"/>
    <w:rsid w:val="00651F0E"/>
    <w:rsid w:val="00652929"/>
    <w:rsid w:val="00653E4C"/>
    <w:rsid w:val="00654841"/>
    <w:rsid w:val="00655B3C"/>
    <w:rsid w:val="00655EF3"/>
    <w:rsid w:val="00665ED6"/>
    <w:rsid w:val="0066631D"/>
    <w:rsid w:val="00666D7B"/>
    <w:rsid w:val="0066769F"/>
    <w:rsid w:val="0067032E"/>
    <w:rsid w:val="00670BC3"/>
    <w:rsid w:val="006729AD"/>
    <w:rsid w:val="00674926"/>
    <w:rsid w:val="006759F4"/>
    <w:rsid w:val="00675C98"/>
    <w:rsid w:val="00675E9D"/>
    <w:rsid w:val="0067624F"/>
    <w:rsid w:val="0067750B"/>
    <w:rsid w:val="0068042F"/>
    <w:rsid w:val="006839B0"/>
    <w:rsid w:val="00683BFD"/>
    <w:rsid w:val="006845B4"/>
    <w:rsid w:val="00684D13"/>
    <w:rsid w:val="00685071"/>
    <w:rsid w:val="00686715"/>
    <w:rsid w:val="00686DAE"/>
    <w:rsid w:val="006914DC"/>
    <w:rsid w:val="00691A70"/>
    <w:rsid w:val="00692E79"/>
    <w:rsid w:val="00693ABE"/>
    <w:rsid w:val="00693C95"/>
    <w:rsid w:val="00693D23"/>
    <w:rsid w:val="00694482"/>
    <w:rsid w:val="006A0DC2"/>
    <w:rsid w:val="006A10FC"/>
    <w:rsid w:val="006A2B71"/>
    <w:rsid w:val="006A3E36"/>
    <w:rsid w:val="006A4DED"/>
    <w:rsid w:val="006A5076"/>
    <w:rsid w:val="006A54CE"/>
    <w:rsid w:val="006A7058"/>
    <w:rsid w:val="006A7F0D"/>
    <w:rsid w:val="006B0A82"/>
    <w:rsid w:val="006B0C26"/>
    <w:rsid w:val="006B2378"/>
    <w:rsid w:val="006B27CC"/>
    <w:rsid w:val="006B2D2F"/>
    <w:rsid w:val="006B2F88"/>
    <w:rsid w:val="006B328C"/>
    <w:rsid w:val="006B41B0"/>
    <w:rsid w:val="006B4381"/>
    <w:rsid w:val="006B4E92"/>
    <w:rsid w:val="006B5B17"/>
    <w:rsid w:val="006B6514"/>
    <w:rsid w:val="006B682F"/>
    <w:rsid w:val="006B6DAD"/>
    <w:rsid w:val="006C0AF4"/>
    <w:rsid w:val="006C2B32"/>
    <w:rsid w:val="006C312B"/>
    <w:rsid w:val="006C32F8"/>
    <w:rsid w:val="006C3A34"/>
    <w:rsid w:val="006C4A58"/>
    <w:rsid w:val="006C797E"/>
    <w:rsid w:val="006C7C78"/>
    <w:rsid w:val="006C7D76"/>
    <w:rsid w:val="006D1066"/>
    <w:rsid w:val="006D1EC8"/>
    <w:rsid w:val="006D351B"/>
    <w:rsid w:val="006D430F"/>
    <w:rsid w:val="006D50F9"/>
    <w:rsid w:val="006D6C74"/>
    <w:rsid w:val="006E096D"/>
    <w:rsid w:val="006E0BE4"/>
    <w:rsid w:val="006E16C8"/>
    <w:rsid w:val="006E188C"/>
    <w:rsid w:val="006E373F"/>
    <w:rsid w:val="006E3CFA"/>
    <w:rsid w:val="006E5213"/>
    <w:rsid w:val="006E6970"/>
    <w:rsid w:val="006E69AD"/>
    <w:rsid w:val="006E6C13"/>
    <w:rsid w:val="006E7B82"/>
    <w:rsid w:val="006F02AA"/>
    <w:rsid w:val="006F0BC2"/>
    <w:rsid w:val="006F1131"/>
    <w:rsid w:val="006F2CEC"/>
    <w:rsid w:val="006F338E"/>
    <w:rsid w:val="006F4997"/>
    <w:rsid w:val="006F500D"/>
    <w:rsid w:val="006F5409"/>
    <w:rsid w:val="006F5426"/>
    <w:rsid w:val="006F5675"/>
    <w:rsid w:val="006F5BE0"/>
    <w:rsid w:val="006F5EDC"/>
    <w:rsid w:val="006F720E"/>
    <w:rsid w:val="007000D1"/>
    <w:rsid w:val="007002F5"/>
    <w:rsid w:val="00700EF6"/>
    <w:rsid w:val="0070298A"/>
    <w:rsid w:val="00702E2C"/>
    <w:rsid w:val="007033A1"/>
    <w:rsid w:val="007035DA"/>
    <w:rsid w:val="0070471E"/>
    <w:rsid w:val="00705955"/>
    <w:rsid w:val="00705BE5"/>
    <w:rsid w:val="00705C52"/>
    <w:rsid w:val="00705D84"/>
    <w:rsid w:val="007071D4"/>
    <w:rsid w:val="007103E9"/>
    <w:rsid w:val="00710504"/>
    <w:rsid w:val="00711923"/>
    <w:rsid w:val="00712517"/>
    <w:rsid w:val="00712BE5"/>
    <w:rsid w:val="007164EB"/>
    <w:rsid w:val="0072089A"/>
    <w:rsid w:val="007209AB"/>
    <w:rsid w:val="00720A8A"/>
    <w:rsid w:val="00721519"/>
    <w:rsid w:val="00722BA5"/>
    <w:rsid w:val="00723498"/>
    <w:rsid w:val="007234A1"/>
    <w:rsid w:val="00725D49"/>
    <w:rsid w:val="00725F20"/>
    <w:rsid w:val="00730BA7"/>
    <w:rsid w:val="00730CA1"/>
    <w:rsid w:val="00732032"/>
    <w:rsid w:val="007321AE"/>
    <w:rsid w:val="00733585"/>
    <w:rsid w:val="007336BA"/>
    <w:rsid w:val="00734943"/>
    <w:rsid w:val="00734C70"/>
    <w:rsid w:val="00735A3D"/>
    <w:rsid w:val="007367D7"/>
    <w:rsid w:val="00737A86"/>
    <w:rsid w:val="00741C13"/>
    <w:rsid w:val="007420A0"/>
    <w:rsid w:val="00743170"/>
    <w:rsid w:val="00744B34"/>
    <w:rsid w:val="00745276"/>
    <w:rsid w:val="007452B2"/>
    <w:rsid w:val="007457CA"/>
    <w:rsid w:val="00745AB8"/>
    <w:rsid w:val="00747F33"/>
    <w:rsid w:val="00750E84"/>
    <w:rsid w:val="00751B64"/>
    <w:rsid w:val="00753119"/>
    <w:rsid w:val="00753280"/>
    <w:rsid w:val="00754122"/>
    <w:rsid w:val="0075540C"/>
    <w:rsid w:val="00755F67"/>
    <w:rsid w:val="00756E45"/>
    <w:rsid w:val="00757835"/>
    <w:rsid w:val="00757DB2"/>
    <w:rsid w:val="0076087E"/>
    <w:rsid w:val="00760CBC"/>
    <w:rsid w:val="00760E86"/>
    <w:rsid w:val="00761874"/>
    <w:rsid w:val="00761AB2"/>
    <w:rsid w:val="007632AE"/>
    <w:rsid w:val="007639F0"/>
    <w:rsid w:val="00767934"/>
    <w:rsid w:val="00767CDF"/>
    <w:rsid w:val="00767D50"/>
    <w:rsid w:val="00770C3D"/>
    <w:rsid w:val="007716EB"/>
    <w:rsid w:val="00772CDC"/>
    <w:rsid w:val="007733B8"/>
    <w:rsid w:val="00774844"/>
    <w:rsid w:val="007765E2"/>
    <w:rsid w:val="00780752"/>
    <w:rsid w:val="00780E62"/>
    <w:rsid w:val="00781C17"/>
    <w:rsid w:val="007823A5"/>
    <w:rsid w:val="007839E0"/>
    <w:rsid w:val="007849C6"/>
    <w:rsid w:val="00784AA4"/>
    <w:rsid w:val="00784EB6"/>
    <w:rsid w:val="007852E5"/>
    <w:rsid w:val="00785949"/>
    <w:rsid w:val="00785BF4"/>
    <w:rsid w:val="00787168"/>
    <w:rsid w:val="007905E9"/>
    <w:rsid w:val="007911BF"/>
    <w:rsid w:val="00791FB8"/>
    <w:rsid w:val="007923A5"/>
    <w:rsid w:val="007923A6"/>
    <w:rsid w:val="007955FB"/>
    <w:rsid w:val="00795673"/>
    <w:rsid w:val="0079680D"/>
    <w:rsid w:val="00797D5F"/>
    <w:rsid w:val="007A0064"/>
    <w:rsid w:val="007A0351"/>
    <w:rsid w:val="007A09DF"/>
    <w:rsid w:val="007A41CD"/>
    <w:rsid w:val="007A49E0"/>
    <w:rsid w:val="007A5ECC"/>
    <w:rsid w:val="007A602E"/>
    <w:rsid w:val="007A6C0B"/>
    <w:rsid w:val="007B0EB2"/>
    <w:rsid w:val="007B1C55"/>
    <w:rsid w:val="007B29A7"/>
    <w:rsid w:val="007B34F2"/>
    <w:rsid w:val="007B7A23"/>
    <w:rsid w:val="007C17D7"/>
    <w:rsid w:val="007C188D"/>
    <w:rsid w:val="007C262E"/>
    <w:rsid w:val="007C3AE4"/>
    <w:rsid w:val="007C5650"/>
    <w:rsid w:val="007C5DF4"/>
    <w:rsid w:val="007C6BCD"/>
    <w:rsid w:val="007D00AF"/>
    <w:rsid w:val="007D153A"/>
    <w:rsid w:val="007D1623"/>
    <w:rsid w:val="007E0119"/>
    <w:rsid w:val="007E137D"/>
    <w:rsid w:val="007E3809"/>
    <w:rsid w:val="007E3B90"/>
    <w:rsid w:val="007E67A3"/>
    <w:rsid w:val="007E6E14"/>
    <w:rsid w:val="007F08C1"/>
    <w:rsid w:val="007F107F"/>
    <w:rsid w:val="007F21E6"/>
    <w:rsid w:val="007F22B1"/>
    <w:rsid w:val="007F2C6B"/>
    <w:rsid w:val="007F320A"/>
    <w:rsid w:val="007F391B"/>
    <w:rsid w:val="007F6538"/>
    <w:rsid w:val="007F6B3A"/>
    <w:rsid w:val="00800CCA"/>
    <w:rsid w:val="0080243D"/>
    <w:rsid w:val="00802EC1"/>
    <w:rsid w:val="00803C2F"/>
    <w:rsid w:val="00804AF8"/>
    <w:rsid w:val="008056BE"/>
    <w:rsid w:val="00805EAE"/>
    <w:rsid w:val="00806198"/>
    <w:rsid w:val="00807BE2"/>
    <w:rsid w:val="00807CA6"/>
    <w:rsid w:val="00810876"/>
    <w:rsid w:val="00810E1C"/>
    <w:rsid w:val="008124C0"/>
    <w:rsid w:val="00815866"/>
    <w:rsid w:val="00815C39"/>
    <w:rsid w:val="00815FD5"/>
    <w:rsid w:val="00821E36"/>
    <w:rsid w:val="00822BE4"/>
    <w:rsid w:val="0082306B"/>
    <w:rsid w:val="0082524E"/>
    <w:rsid w:val="00826291"/>
    <w:rsid w:val="008272BB"/>
    <w:rsid w:val="008300EE"/>
    <w:rsid w:val="00830CA9"/>
    <w:rsid w:val="00832903"/>
    <w:rsid w:val="0083319B"/>
    <w:rsid w:val="00833819"/>
    <w:rsid w:val="00834CC3"/>
    <w:rsid w:val="00835DE0"/>
    <w:rsid w:val="00835F67"/>
    <w:rsid w:val="00836358"/>
    <w:rsid w:val="00836F31"/>
    <w:rsid w:val="00842260"/>
    <w:rsid w:val="0084294A"/>
    <w:rsid w:val="00842CD0"/>
    <w:rsid w:val="0084430B"/>
    <w:rsid w:val="008453B8"/>
    <w:rsid w:val="0084586B"/>
    <w:rsid w:val="008458BE"/>
    <w:rsid w:val="00845FD2"/>
    <w:rsid w:val="00847957"/>
    <w:rsid w:val="00847B4E"/>
    <w:rsid w:val="00850A0B"/>
    <w:rsid w:val="0085123F"/>
    <w:rsid w:val="008525DB"/>
    <w:rsid w:val="008533EC"/>
    <w:rsid w:val="008553DC"/>
    <w:rsid w:val="00855A08"/>
    <w:rsid w:val="00855FB4"/>
    <w:rsid w:val="00857107"/>
    <w:rsid w:val="008623B8"/>
    <w:rsid w:val="00862A58"/>
    <w:rsid w:val="00862D2D"/>
    <w:rsid w:val="00863127"/>
    <w:rsid w:val="00863323"/>
    <w:rsid w:val="00864C4D"/>
    <w:rsid w:val="00865829"/>
    <w:rsid w:val="00866711"/>
    <w:rsid w:val="00866C48"/>
    <w:rsid w:val="008675C2"/>
    <w:rsid w:val="00871C9B"/>
    <w:rsid w:val="00873B81"/>
    <w:rsid w:val="008740D6"/>
    <w:rsid w:val="00874C99"/>
    <w:rsid w:val="0087716D"/>
    <w:rsid w:val="00877F83"/>
    <w:rsid w:val="008846EC"/>
    <w:rsid w:val="0088500B"/>
    <w:rsid w:val="008858C0"/>
    <w:rsid w:val="00885E7A"/>
    <w:rsid w:val="00885FB0"/>
    <w:rsid w:val="00887076"/>
    <w:rsid w:val="008872DB"/>
    <w:rsid w:val="00887997"/>
    <w:rsid w:val="008901A9"/>
    <w:rsid w:val="00890F99"/>
    <w:rsid w:val="00891097"/>
    <w:rsid w:val="0089129D"/>
    <w:rsid w:val="008919ED"/>
    <w:rsid w:val="0089216C"/>
    <w:rsid w:val="0089221E"/>
    <w:rsid w:val="00893CF1"/>
    <w:rsid w:val="00895413"/>
    <w:rsid w:val="00895426"/>
    <w:rsid w:val="008A019A"/>
    <w:rsid w:val="008A046A"/>
    <w:rsid w:val="008A06C2"/>
    <w:rsid w:val="008A0DC1"/>
    <w:rsid w:val="008A183E"/>
    <w:rsid w:val="008A272A"/>
    <w:rsid w:val="008A2CB1"/>
    <w:rsid w:val="008A3E79"/>
    <w:rsid w:val="008A76BC"/>
    <w:rsid w:val="008A79C6"/>
    <w:rsid w:val="008A7E82"/>
    <w:rsid w:val="008B2F5B"/>
    <w:rsid w:val="008B310E"/>
    <w:rsid w:val="008B3804"/>
    <w:rsid w:val="008B3A78"/>
    <w:rsid w:val="008B4318"/>
    <w:rsid w:val="008B63A6"/>
    <w:rsid w:val="008B6635"/>
    <w:rsid w:val="008B7B36"/>
    <w:rsid w:val="008C133A"/>
    <w:rsid w:val="008C2128"/>
    <w:rsid w:val="008C2C96"/>
    <w:rsid w:val="008C5169"/>
    <w:rsid w:val="008C68E5"/>
    <w:rsid w:val="008C7346"/>
    <w:rsid w:val="008C7D04"/>
    <w:rsid w:val="008D00E2"/>
    <w:rsid w:val="008D0984"/>
    <w:rsid w:val="008D459A"/>
    <w:rsid w:val="008D4941"/>
    <w:rsid w:val="008E0038"/>
    <w:rsid w:val="008E0747"/>
    <w:rsid w:val="008E14EA"/>
    <w:rsid w:val="008E1D73"/>
    <w:rsid w:val="008E28C9"/>
    <w:rsid w:val="008E3A4D"/>
    <w:rsid w:val="008E40D7"/>
    <w:rsid w:val="008E41E2"/>
    <w:rsid w:val="008E4DEB"/>
    <w:rsid w:val="008E5917"/>
    <w:rsid w:val="008E6FDE"/>
    <w:rsid w:val="008E726B"/>
    <w:rsid w:val="008F0B3B"/>
    <w:rsid w:val="008F1B8A"/>
    <w:rsid w:val="008F2FA9"/>
    <w:rsid w:val="008F3164"/>
    <w:rsid w:val="008F3607"/>
    <w:rsid w:val="008F4B3F"/>
    <w:rsid w:val="008F4F1B"/>
    <w:rsid w:val="008F6000"/>
    <w:rsid w:val="00901202"/>
    <w:rsid w:val="00901BA9"/>
    <w:rsid w:val="009028C6"/>
    <w:rsid w:val="009033DD"/>
    <w:rsid w:val="009037D8"/>
    <w:rsid w:val="00904A25"/>
    <w:rsid w:val="00905391"/>
    <w:rsid w:val="00905560"/>
    <w:rsid w:val="00906D92"/>
    <w:rsid w:val="00907549"/>
    <w:rsid w:val="00907580"/>
    <w:rsid w:val="00910B15"/>
    <w:rsid w:val="00911209"/>
    <w:rsid w:val="0091143E"/>
    <w:rsid w:val="00912B69"/>
    <w:rsid w:val="00915416"/>
    <w:rsid w:val="0091584A"/>
    <w:rsid w:val="0091602F"/>
    <w:rsid w:val="009164AC"/>
    <w:rsid w:val="00916E87"/>
    <w:rsid w:val="00921C55"/>
    <w:rsid w:val="00921D85"/>
    <w:rsid w:val="00923C0A"/>
    <w:rsid w:val="00923EFB"/>
    <w:rsid w:val="00924146"/>
    <w:rsid w:val="0092458A"/>
    <w:rsid w:val="00927693"/>
    <w:rsid w:val="00927A9D"/>
    <w:rsid w:val="00927FD4"/>
    <w:rsid w:val="00931CFF"/>
    <w:rsid w:val="00932949"/>
    <w:rsid w:val="00933D7D"/>
    <w:rsid w:val="0094057A"/>
    <w:rsid w:val="0094425A"/>
    <w:rsid w:val="00945F95"/>
    <w:rsid w:val="009467F1"/>
    <w:rsid w:val="00946F65"/>
    <w:rsid w:val="00947245"/>
    <w:rsid w:val="0094797F"/>
    <w:rsid w:val="00947F59"/>
    <w:rsid w:val="00950021"/>
    <w:rsid w:val="00950F46"/>
    <w:rsid w:val="00951D63"/>
    <w:rsid w:val="00952CE8"/>
    <w:rsid w:val="00953214"/>
    <w:rsid w:val="0095507F"/>
    <w:rsid w:val="00955A8F"/>
    <w:rsid w:val="0095724F"/>
    <w:rsid w:val="0095727A"/>
    <w:rsid w:val="0096118B"/>
    <w:rsid w:val="00961F27"/>
    <w:rsid w:val="00961FF4"/>
    <w:rsid w:val="009626BB"/>
    <w:rsid w:val="0096286A"/>
    <w:rsid w:val="00965569"/>
    <w:rsid w:val="009709D7"/>
    <w:rsid w:val="00971724"/>
    <w:rsid w:val="009719C0"/>
    <w:rsid w:val="00972A3E"/>
    <w:rsid w:val="009746B6"/>
    <w:rsid w:val="00975A8C"/>
    <w:rsid w:val="009801E7"/>
    <w:rsid w:val="009805C6"/>
    <w:rsid w:val="009815D0"/>
    <w:rsid w:val="00981A18"/>
    <w:rsid w:val="009829E6"/>
    <w:rsid w:val="00982F32"/>
    <w:rsid w:val="0098503B"/>
    <w:rsid w:val="00985413"/>
    <w:rsid w:val="00985838"/>
    <w:rsid w:val="00990091"/>
    <w:rsid w:val="00990A19"/>
    <w:rsid w:val="009919E4"/>
    <w:rsid w:val="00991C96"/>
    <w:rsid w:val="00995BDD"/>
    <w:rsid w:val="0099777D"/>
    <w:rsid w:val="00997BA9"/>
    <w:rsid w:val="009A2250"/>
    <w:rsid w:val="009A3443"/>
    <w:rsid w:val="009A3E34"/>
    <w:rsid w:val="009A73B1"/>
    <w:rsid w:val="009A7870"/>
    <w:rsid w:val="009A7AF7"/>
    <w:rsid w:val="009A7AFF"/>
    <w:rsid w:val="009B12E2"/>
    <w:rsid w:val="009B15FC"/>
    <w:rsid w:val="009B3167"/>
    <w:rsid w:val="009B3F33"/>
    <w:rsid w:val="009B488D"/>
    <w:rsid w:val="009B48A9"/>
    <w:rsid w:val="009B60B7"/>
    <w:rsid w:val="009B63CC"/>
    <w:rsid w:val="009B6A46"/>
    <w:rsid w:val="009C2780"/>
    <w:rsid w:val="009C2C6F"/>
    <w:rsid w:val="009C3017"/>
    <w:rsid w:val="009C31B4"/>
    <w:rsid w:val="009C41EF"/>
    <w:rsid w:val="009C6E30"/>
    <w:rsid w:val="009C70B2"/>
    <w:rsid w:val="009D17B6"/>
    <w:rsid w:val="009D1903"/>
    <w:rsid w:val="009D1BF6"/>
    <w:rsid w:val="009D23FE"/>
    <w:rsid w:val="009D2E7A"/>
    <w:rsid w:val="009D4561"/>
    <w:rsid w:val="009D5166"/>
    <w:rsid w:val="009D5E08"/>
    <w:rsid w:val="009D5E8C"/>
    <w:rsid w:val="009D5ECE"/>
    <w:rsid w:val="009D5FA9"/>
    <w:rsid w:val="009D76A3"/>
    <w:rsid w:val="009D7931"/>
    <w:rsid w:val="009D7B15"/>
    <w:rsid w:val="009E0539"/>
    <w:rsid w:val="009E0FCA"/>
    <w:rsid w:val="009E1473"/>
    <w:rsid w:val="009E2690"/>
    <w:rsid w:val="009E2988"/>
    <w:rsid w:val="009E4212"/>
    <w:rsid w:val="009E572F"/>
    <w:rsid w:val="009E7261"/>
    <w:rsid w:val="009F0C9E"/>
    <w:rsid w:val="009F3E43"/>
    <w:rsid w:val="009F4360"/>
    <w:rsid w:val="009F4387"/>
    <w:rsid w:val="009F645B"/>
    <w:rsid w:val="009F6BD6"/>
    <w:rsid w:val="00A0315D"/>
    <w:rsid w:val="00A03CB9"/>
    <w:rsid w:val="00A040EF"/>
    <w:rsid w:val="00A0447F"/>
    <w:rsid w:val="00A04680"/>
    <w:rsid w:val="00A06FC7"/>
    <w:rsid w:val="00A1212A"/>
    <w:rsid w:val="00A12468"/>
    <w:rsid w:val="00A12928"/>
    <w:rsid w:val="00A155D9"/>
    <w:rsid w:val="00A15D23"/>
    <w:rsid w:val="00A1720F"/>
    <w:rsid w:val="00A20145"/>
    <w:rsid w:val="00A216A1"/>
    <w:rsid w:val="00A21772"/>
    <w:rsid w:val="00A21897"/>
    <w:rsid w:val="00A22118"/>
    <w:rsid w:val="00A2626A"/>
    <w:rsid w:val="00A278A2"/>
    <w:rsid w:val="00A27D6C"/>
    <w:rsid w:val="00A30B57"/>
    <w:rsid w:val="00A30E55"/>
    <w:rsid w:val="00A30EF6"/>
    <w:rsid w:val="00A316AC"/>
    <w:rsid w:val="00A31B36"/>
    <w:rsid w:val="00A32CA2"/>
    <w:rsid w:val="00A32D73"/>
    <w:rsid w:val="00A333AB"/>
    <w:rsid w:val="00A3536C"/>
    <w:rsid w:val="00A37435"/>
    <w:rsid w:val="00A378FA"/>
    <w:rsid w:val="00A40FA4"/>
    <w:rsid w:val="00A41586"/>
    <w:rsid w:val="00A4224E"/>
    <w:rsid w:val="00A44647"/>
    <w:rsid w:val="00A44BE6"/>
    <w:rsid w:val="00A478F8"/>
    <w:rsid w:val="00A47CFE"/>
    <w:rsid w:val="00A501E8"/>
    <w:rsid w:val="00A50B43"/>
    <w:rsid w:val="00A5483B"/>
    <w:rsid w:val="00A54AB2"/>
    <w:rsid w:val="00A57573"/>
    <w:rsid w:val="00A5794D"/>
    <w:rsid w:val="00A60CDC"/>
    <w:rsid w:val="00A62226"/>
    <w:rsid w:val="00A642B5"/>
    <w:rsid w:val="00A7226E"/>
    <w:rsid w:val="00A73C77"/>
    <w:rsid w:val="00A75354"/>
    <w:rsid w:val="00A75C19"/>
    <w:rsid w:val="00A77398"/>
    <w:rsid w:val="00A80A2C"/>
    <w:rsid w:val="00A80F16"/>
    <w:rsid w:val="00A82004"/>
    <w:rsid w:val="00A8212D"/>
    <w:rsid w:val="00A83668"/>
    <w:rsid w:val="00A8394D"/>
    <w:rsid w:val="00A8465A"/>
    <w:rsid w:val="00A853E9"/>
    <w:rsid w:val="00A8564B"/>
    <w:rsid w:val="00A87002"/>
    <w:rsid w:val="00A87105"/>
    <w:rsid w:val="00A8717A"/>
    <w:rsid w:val="00A918BF"/>
    <w:rsid w:val="00A91DAA"/>
    <w:rsid w:val="00A9269E"/>
    <w:rsid w:val="00A9290E"/>
    <w:rsid w:val="00A97CC7"/>
    <w:rsid w:val="00AA0A63"/>
    <w:rsid w:val="00AA221E"/>
    <w:rsid w:val="00AA316C"/>
    <w:rsid w:val="00AA3884"/>
    <w:rsid w:val="00AA4193"/>
    <w:rsid w:val="00AA4FD7"/>
    <w:rsid w:val="00AA55F8"/>
    <w:rsid w:val="00AA60E6"/>
    <w:rsid w:val="00AA7578"/>
    <w:rsid w:val="00AB04EA"/>
    <w:rsid w:val="00AB1894"/>
    <w:rsid w:val="00AB26DE"/>
    <w:rsid w:val="00AB4895"/>
    <w:rsid w:val="00AB5A86"/>
    <w:rsid w:val="00AB5CD3"/>
    <w:rsid w:val="00AB6645"/>
    <w:rsid w:val="00AB6B22"/>
    <w:rsid w:val="00AC0ED5"/>
    <w:rsid w:val="00AC1AAE"/>
    <w:rsid w:val="00AC44D4"/>
    <w:rsid w:val="00AC5446"/>
    <w:rsid w:val="00AC5A6D"/>
    <w:rsid w:val="00AC5EE8"/>
    <w:rsid w:val="00AC6169"/>
    <w:rsid w:val="00AC6F3D"/>
    <w:rsid w:val="00AC7306"/>
    <w:rsid w:val="00AD0635"/>
    <w:rsid w:val="00AD109C"/>
    <w:rsid w:val="00AD16F8"/>
    <w:rsid w:val="00AD2475"/>
    <w:rsid w:val="00AD312F"/>
    <w:rsid w:val="00AD5398"/>
    <w:rsid w:val="00AD5BD0"/>
    <w:rsid w:val="00AE19C3"/>
    <w:rsid w:val="00AE219E"/>
    <w:rsid w:val="00AE22D6"/>
    <w:rsid w:val="00AE3389"/>
    <w:rsid w:val="00AE494A"/>
    <w:rsid w:val="00AE4B91"/>
    <w:rsid w:val="00AE4CDB"/>
    <w:rsid w:val="00AE5807"/>
    <w:rsid w:val="00AE59C4"/>
    <w:rsid w:val="00AE5EF8"/>
    <w:rsid w:val="00AF07E6"/>
    <w:rsid w:val="00AF1C1B"/>
    <w:rsid w:val="00AF1F1D"/>
    <w:rsid w:val="00AF1FE8"/>
    <w:rsid w:val="00AF3A92"/>
    <w:rsid w:val="00AF59ED"/>
    <w:rsid w:val="00AF6800"/>
    <w:rsid w:val="00B014AA"/>
    <w:rsid w:val="00B01D9A"/>
    <w:rsid w:val="00B01DD2"/>
    <w:rsid w:val="00B01EEE"/>
    <w:rsid w:val="00B0340C"/>
    <w:rsid w:val="00B06E87"/>
    <w:rsid w:val="00B10305"/>
    <w:rsid w:val="00B10534"/>
    <w:rsid w:val="00B1056E"/>
    <w:rsid w:val="00B11349"/>
    <w:rsid w:val="00B1135A"/>
    <w:rsid w:val="00B12A65"/>
    <w:rsid w:val="00B12B28"/>
    <w:rsid w:val="00B14888"/>
    <w:rsid w:val="00B14CC2"/>
    <w:rsid w:val="00B15A85"/>
    <w:rsid w:val="00B15F8B"/>
    <w:rsid w:val="00B16F44"/>
    <w:rsid w:val="00B17C9D"/>
    <w:rsid w:val="00B20EEE"/>
    <w:rsid w:val="00B21980"/>
    <w:rsid w:val="00B21D92"/>
    <w:rsid w:val="00B2217F"/>
    <w:rsid w:val="00B22434"/>
    <w:rsid w:val="00B239AB"/>
    <w:rsid w:val="00B23D4C"/>
    <w:rsid w:val="00B24344"/>
    <w:rsid w:val="00B2481F"/>
    <w:rsid w:val="00B24C81"/>
    <w:rsid w:val="00B256D1"/>
    <w:rsid w:val="00B25924"/>
    <w:rsid w:val="00B306D9"/>
    <w:rsid w:val="00B339D9"/>
    <w:rsid w:val="00B37062"/>
    <w:rsid w:val="00B42A84"/>
    <w:rsid w:val="00B441B0"/>
    <w:rsid w:val="00B4439A"/>
    <w:rsid w:val="00B44F10"/>
    <w:rsid w:val="00B454F3"/>
    <w:rsid w:val="00B46997"/>
    <w:rsid w:val="00B46F3A"/>
    <w:rsid w:val="00B50571"/>
    <w:rsid w:val="00B51938"/>
    <w:rsid w:val="00B5282A"/>
    <w:rsid w:val="00B530A6"/>
    <w:rsid w:val="00B55358"/>
    <w:rsid w:val="00B556FA"/>
    <w:rsid w:val="00B560CA"/>
    <w:rsid w:val="00B56A9E"/>
    <w:rsid w:val="00B60A73"/>
    <w:rsid w:val="00B61A4C"/>
    <w:rsid w:val="00B621C2"/>
    <w:rsid w:val="00B6330A"/>
    <w:rsid w:val="00B648ED"/>
    <w:rsid w:val="00B66470"/>
    <w:rsid w:val="00B7248E"/>
    <w:rsid w:val="00B73776"/>
    <w:rsid w:val="00B7380E"/>
    <w:rsid w:val="00B73972"/>
    <w:rsid w:val="00B754BA"/>
    <w:rsid w:val="00B75A53"/>
    <w:rsid w:val="00B77C81"/>
    <w:rsid w:val="00B809D5"/>
    <w:rsid w:val="00B83BD4"/>
    <w:rsid w:val="00B85264"/>
    <w:rsid w:val="00B8546A"/>
    <w:rsid w:val="00B86596"/>
    <w:rsid w:val="00B8686C"/>
    <w:rsid w:val="00B90FC5"/>
    <w:rsid w:val="00B91291"/>
    <w:rsid w:val="00B92921"/>
    <w:rsid w:val="00B929F4"/>
    <w:rsid w:val="00B93569"/>
    <w:rsid w:val="00B95499"/>
    <w:rsid w:val="00BA0836"/>
    <w:rsid w:val="00BA3D29"/>
    <w:rsid w:val="00BA45AB"/>
    <w:rsid w:val="00BA4E7E"/>
    <w:rsid w:val="00BA54E8"/>
    <w:rsid w:val="00BA58CA"/>
    <w:rsid w:val="00BA5C46"/>
    <w:rsid w:val="00BA60F8"/>
    <w:rsid w:val="00BA6811"/>
    <w:rsid w:val="00BA780A"/>
    <w:rsid w:val="00BB17A7"/>
    <w:rsid w:val="00BB1939"/>
    <w:rsid w:val="00BB205E"/>
    <w:rsid w:val="00BB274D"/>
    <w:rsid w:val="00BB3C84"/>
    <w:rsid w:val="00BB50C4"/>
    <w:rsid w:val="00BB6EFF"/>
    <w:rsid w:val="00BC009D"/>
    <w:rsid w:val="00BC04F2"/>
    <w:rsid w:val="00BC4FE7"/>
    <w:rsid w:val="00BC5B27"/>
    <w:rsid w:val="00BC69EA"/>
    <w:rsid w:val="00BC727F"/>
    <w:rsid w:val="00BD119A"/>
    <w:rsid w:val="00BD131B"/>
    <w:rsid w:val="00BD2672"/>
    <w:rsid w:val="00BD2B47"/>
    <w:rsid w:val="00BD2F89"/>
    <w:rsid w:val="00BD3747"/>
    <w:rsid w:val="00BD4581"/>
    <w:rsid w:val="00BD521C"/>
    <w:rsid w:val="00BD5DF1"/>
    <w:rsid w:val="00BD6A52"/>
    <w:rsid w:val="00BE007E"/>
    <w:rsid w:val="00BE02C9"/>
    <w:rsid w:val="00BE0C59"/>
    <w:rsid w:val="00BE0F2D"/>
    <w:rsid w:val="00BE184A"/>
    <w:rsid w:val="00BE27BE"/>
    <w:rsid w:val="00BE32AF"/>
    <w:rsid w:val="00BE4DAE"/>
    <w:rsid w:val="00BE5665"/>
    <w:rsid w:val="00BE5CC5"/>
    <w:rsid w:val="00BE638A"/>
    <w:rsid w:val="00BE7588"/>
    <w:rsid w:val="00BF0BB2"/>
    <w:rsid w:val="00BF142D"/>
    <w:rsid w:val="00BF1B22"/>
    <w:rsid w:val="00BF1D4E"/>
    <w:rsid w:val="00BF1E5F"/>
    <w:rsid w:val="00BF2749"/>
    <w:rsid w:val="00BF2CB5"/>
    <w:rsid w:val="00BF5DB5"/>
    <w:rsid w:val="00BF70E9"/>
    <w:rsid w:val="00C003D6"/>
    <w:rsid w:val="00C008F2"/>
    <w:rsid w:val="00C00947"/>
    <w:rsid w:val="00C02F61"/>
    <w:rsid w:val="00C0492F"/>
    <w:rsid w:val="00C04CCF"/>
    <w:rsid w:val="00C05159"/>
    <w:rsid w:val="00C05500"/>
    <w:rsid w:val="00C0561B"/>
    <w:rsid w:val="00C063B4"/>
    <w:rsid w:val="00C07636"/>
    <w:rsid w:val="00C07D0F"/>
    <w:rsid w:val="00C10661"/>
    <w:rsid w:val="00C13C66"/>
    <w:rsid w:val="00C13C80"/>
    <w:rsid w:val="00C15D9E"/>
    <w:rsid w:val="00C20A32"/>
    <w:rsid w:val="00C20BF4"/>
    <w:rsid w:val="00C2318C"/>
    <w:rsid w:val="00C24655"/>
    <w:rsid w:val="00C24B29"/>
    <w:rsid w:val="00C27053"/>
    <w:rsid w:val="00C270BB"/>
    <w:rsid w:val="00C27454"/>
    <w:rsid w:val="00C305B3"/>
    <w:rsid w:val="00C3089D"/>
    <w:rsid w:val="00C31425"/>
    <w:rsid w:val="00C31AD5"/>
    <w:rsid w:val="00C31E40"/>
    <w:rsid w:val="00C32CD1"/>
    <w:rsid w:val="00C341AC"/>
    <w:rsid w:val="00C35555"/>
    <w:rsid w:val="00C359F1"/>
    <w:rsid w:val="00C36300"/>
    <w:rsid w:val="00C36636"/>
    <w:rsid w:val="00C379B6"/>
    <w:rsid w:val="00C37D6A"/>
    <w:rsid w:val="00C40F26"/>
    <w:rsid w:val="00C41D73"/>
    <w:rsid w:val="00C421BD"/>
    <w:rsid w:val="00C423BB"/>
    <w:rsid w:val="00C428BB"/>
    <w:rsid w:val="00C42CE9"/>
    <w:rsid w:val="00C43C8B"/>
    <w:rsid w:val="00C43DFB"/>
    <w:rsid w:val="00C50BC6"/>
    <w:rsid w:val="00C52977"/>
    <w:rsid w:val="00C52C63"/>
    <w:rsid w:val="00C54051"/>
    <w:rsid w:val="00C54620"/>
    <w:rsid w:val="00C55D33"/>
    <w:rsid w:val="00C56B48"/>
    <w:rsid w:val="00C60A6F"/>
    <w:rsid w:val="00C611CC"/>
    <w:rsid w:val="00C6150B"/>
    <w:rsid w:val="00C641CF"/>
    <w:rsid w:val="00C644D9"/>
    <w:rsid w:val="00C64C60"/>
    <w:rsid w:val="00C6506C"/>
    <w:rsid w:val="00C658B8"/>
    <w:rsid w:val="00C65E58"/>
    <w:rsid w:val="00C66931"/>
    <w:rsid w:val="00C71416"/>
    <w:rsid w:val="00C714DC"/>
    <w:rsid w:val="00C7267F"/>
    <w:rsid w:val="00C74107"/>
    <w:rsid w:val="00C745DA"/>
    <w:rsid w:val="00C75910"/>
    <w:rsid w:val="00C76237"/>
    <w:rsid w:val="00C76E2F"/>
    <w:rsid w:val="00C77B97"/>
    <w:rsid w:val="00C77C83"/>
    <w:rsid w:val="00C801D6"/>
    <w:rsid w:val="00C80554"/>
    <w:rsid w:val="00C81193"/>
    <w:rsid w:val="00C81A89"/>
    <w:rsid w:val="00C81E79"/>
    <w:rsid w:val="00C833E6"/>
    <w:rsid w:val="00C839B4"/>
    <w:rsid w:val="00C83E1E"/>
    <w:rsid w:val="00C83F79"/>
    <w:rsid w:val="00C85192"/>
    <w:rsid w:val="00C85952"/>
    <w:rsid w:val="00C86A4E"/>
    <w:rsid w:val="00C86C6F"/>
    <w:rsid w:val="00C87265"/>
    <w:rsid w:val="00C8741A"/>
    <w:rsid w:val="00C87DF9"/>
    <w:rsid w:val="00C90DB8"/>
    <w:rsid w:val="00C9355B"/>
    <w:rsid w:val="00C94270"/>
    <w:rsid w:val="00C942C9"/>
    <w:rsid w:val="00C946E6"/>
    <w:rsid w:val="00C95726"/>
    <w:rsid w:val="00C95C4C"/>
    <w:rsid w:val="00C963B7"/>
    <w:rsid w:val="00C97E6E"/>
    <w:rsid w:val="00CA0C8E"/>
    <w:rsid w:val="00CA11F2"/>
    <w:rsid w:val="00CA2D04"/>
    <w:rsid w:val="00CA3B8A"/>
    <w:rsid w:val="00CA3CB2"/>
    <w:rsid w:val="00CB00DF"/>
    <w:rsid w:val="00CB2A3A"/>
    <w:rsid w:val="00CB4F90"/>
    <w:rsid w:val="00CB6D8B"/>
    <w:rsid w:val="00CC0109"/>
    <w:rsid w:val="00CC03B8"/>
    <w:rsid w:val="00CC12AE"/>
    <w:rsid w:val="00CC2F7F"/>
    <w:rsid w:val="00CC312A"/>
    <w:rsid w:val="00CC4CB3"/>
    <w:rsid w:val="00CC5ABA"/>
    <w:rsid w:val="00CC6373"/>
    <w:rsid w:val="00CD0041"/>
    <w:rsid w:val="00CD07C2"/>
    <w:rsid w:val="00CD09D7"/>
    <w:rsid w:val="00CD1C47"/>
    <w:rsid w:val="00CD2864"/>
    <w:rsid w:val="00CD39E0"/>
    <w:rsid w:val="00CD424C"/>
    <w:rsid w:val="00CD4DCA"/>
    <w:rsid w:val="00CD5768"/>
    <w:rsid w:val="00CD7D52"/>
    <w:rsid w:val="00CE0900"/>
    <w:rsid w:val="00CE18CE"/>
    <w:rsid w:val="00CE2E2E"/>
    <w:rsid w:val="00CE3039"/>
    <w:rsid w:val="00CE32F4"/>
    <w:rsid w:val="00CE56D2"/>
    <w:rsid w:val="00CE6959"/>
    <w:rsid w:val="00CE6F0F"/>
    <w:rsid w:val="00CE7312"/>
    <w:rsid w:val="00CE7344"/>
    <w:rsid w:val="00CE7E27"/>
    <w:rsid w:val="00CF0BDA"/>
    <w:rsid w:val="00CF26D3"/>
    <w:rsid w:val="00CF3C99"/>
    <w:rsid w:val="00CF6A44"/>
    <w:rsid w:val="00CF7708"/>
    <w:rsid w:val="00CF7A87"/>
    <w:rsid w:val="00CF7DC0"/>
    <w:rsid w:val="00D0268B"/>
    <w:rsid w:val="00D04525"/>
    <w:rsid w:val="00D04893"/>
    <w:rsid w:val="00D05647"/>
    <w:rsid w:val="00D05A13"/>
    <w:rsid w:val="00D05E6C"/>
    <w:rsid w:val="00D066D4"/>
    <w:rsid w:val="00D07A52"/>
    <w:rsid w:val="00D10417"/>
    <w:rsid w:val="00D10F39"/>
    <w:rsid w:val="00D13372"/>
    <w:rsid w:val="00D152A1"/>
    <w:rsid w:val="00D1630E"/>
    <w:rsid w:val="00D173CF"/>
    <w:rsid w:val="00D208D4"/>
    <w:rsid w:val="00D21753"/>
    <w:rsid w:val="00D220EB"/>
    <w:rsid w:val="00D22C40"/>
    <w:rsid w:val="00D23485"/>
    <w:rsid w:val="00D244D6"/>
    <w:rsid w:val="00D24E96"/>
    <w:rsid w:val="00D25377"/>
    <w:rsid w:val="00D26691"/>
    <w:rsid w:val="00D26703"/>
    <w:rsid w:val="00D27313"/>
    <w:rsid w:val="00D27DDF"/>
    <w:rsid w:val="00D31BE9"/>
    <w:rsid w:val="00D31E0A"/>
    <w:rsid w:val="00D34F3C"/>
    <w:rsid w:val="00D36474"/>
    <w:rsid w:val="00D36E3A"/>
    <w:rsid w:val="00D37DB4"/>
    <w:rsid w:val="00D40694"/>
    <w:rsid w:val="00D4086E"/>
    <w:rsid w:val="00D42385"/>
    <w:rsid w:val="00D42EBB"/>
    <w:rsid w:val="00D462D4"/>
    <w:rsid w:val="00D518EC"/>
    <w:rsid w:val="00D528B8"/>
    <w:rsid w:val="00D54008"/>
    <w:rsid w:val="00D542EC"/>
    <w:rsid w:val="00D56329"/>
    <w:rsid w:val="00D56879"/>
    <w:rsid w:val="00D604B4"/>
    <w:rsid w:val="00D6090B"/>
    <w:rsid w:val="00D616AA"/>
    <w:rsid w:val="00D619F6"/>
    <w:rsid w:val="00D63F47"/>
    <w:rsid w:val="00D653F4"/>
    <w:rsid w:val="00D65CD4"/>
    <w:rsid w:val="00D66669"/>
    <w:rsid w:val="00D70D6A"/>
    <w:rsid w:val="00D718B6"/>
    <w:rsid w:val="00D71F7C"/>
    <w:rsid w:val="00D72EAE"/>
    <w:rsid w:val="00D73214"/>
    <w:rsid w:val="00D737DA"/>
    <w:rsid w:val="00D739F6"/>
    <w:rsid w:val="00D743CF"/>
    <w:rsid w:val="00D74869"/>
    <w:rsid w:val="00D748A5"/>
    <w:rsid w:val="00D75F35"/>
    <w:rsid w:val="00D760A8"/>
    <w:rsid w:val="00D76E7E"/>
    <w:rsid w:val="00D812DF"/>
    <w:rsid w:val="00D8626D"/>
    <w:rsid w:val="00D8698F"/>
    <w:rsid w:val="00D91360"/>
    <w:rsid w:val="00D92B28"/>
    <w:rsid w:val="00D9341A"/>
    <w:rsid w:val="00D95595"/>
    <w:rsid w:val="00DA0B19"/>
    <w:rsid w:val="00DA167F"/>
    <w:rsid w:val="00DA2A53"/>
    <w:rsid w:val="00DA36F6"/>
    <w:rsid w:val="00DA5472"/>
    <w:rsid w:val="00DA6366"/>
    <w:rsid w:val="00DA6BA8"/>
    <w:rsid w:val="00DA74C4"/>
    <w:rsid w:val="00DA76FB"/>
    <w:rsid w:val="00DA78DA"/>
    <w:rsid w:val="00DB07D3"/>
    <w:rsid w:val="00DB18F8"/>
    <w:rsid w:val="00DB3518"/>
    <w:rsid w:val="00DB39AE"/>
    <w:rsid w:val="00DB5637"/>
    <w:rsid w:val="00DB6294"/>
    <w:rsid w:val="00DB71D1"/>
    <w:rsid w:val="00DB7D29"/>
    <w:rsid w:val="00DC1C1B"/>
    <w:rsid w:val="00DC2AF2"/>
    <w:rsid w:val="00DC2E46"/>
    <w:rsid w:val="00DC3BC9"/>
    <w:rsid w:val="00DC413E"/>
    <w:rsid w:val="00DC49E0"/>
    <w:rsid w:val="00DC52AC"/>
    <w:rsid w:val="00DC6357"/>
    <w:rsid w:val="00DC63B6"/>
    <w:rsid w:val="00DD08A2"/>
    <w:rsid w:val="00DD1255"/>
    <w:rsid w:val="00DD1D3A"/>
    <w:rsid w:val="00DD27F1"/>
    <w:rsid w:val="00DD2A12"/>
    <w:rsid w:val="00DD4835"/>
    <w:rsid w:val="00DD5B45"/>
    <w:rsid w:val="00DD608D"/>
    <w:rsid w:val="00DD6605"/>
    <w:rsid w:val="00DD6FEA"/>
    <w:rsid w:val="00DD7D0C"/>
    <w:rsid w:val="00DE030E"/>
    <w:rsid w:val="00DE252F"/>
    <w:rsid w:val="00DE329B"/>
    <w:rsid w:val="00DE347F"/>
    <w:rsid w:val="00DE4351"/>
    <w:rsid w:val="00DE4CBB"/>
    <w:rsid w:val="00DE682A"/>
    <w:rsid w:val="00DE6987"/>
    <w:rsid w:val="00DE6C9F"/>
    <w:rsid w:val="00DE6D6C"/>
    <w:rsid w:val="00DE72A9"/>
    <w:rsid w:val="00DE7F55"/>
    <w:rsid w:val="00DF0C58"/>
    <w:rsid w:val="00DF0ED5"/>
    <w:rsid w:val="00DF1552"/>
    <w:rsid w:val="00DF2853"/>
    <w:rsid w:val="00DF45C4"/>
    <w:rsid w:val="00DF5756"/>
    <w:rsid w:val="00DF5A59"/>
    <w:rsid w:val="00DF61B6"/>
    <w:rsid w:val="00E015B6"/>
    <w:rsid w:val="00E02CE5"/>
    <w:rsid w:val="00E0415C"/>
    <w:rsid w:val="00E04668"/>
    <w:rsid w:val="00E07B4F"/>
    <w:rsid w:val="00E10049"/>
    <w:rsid w:val="00E105A9"/>
    <w:rsid w:val="00E10CCF"/>
    <w:rsid w:val="00E12382"/>
    <w:rsid w:val="00E12C10"/>
    <w:rsid w:val="00E13A7A"/>
    <w:rsid w:val="00E14EEF"/>
    <w:rsid w:val="00E163BA"/>
    <w:rsid w:val="00E1711B"/>
    <w:rsid w:val="00E17562"/>
    <w:rsid w:val="00E21494"/>
    <w:rsid w:val="00E21E60"/>
    <w:rsid w:val="00E2357A"/>
    <w:rsid w:val="00E24EC7"/>
    <w:rsid w:val="00E2542A"/>
    <w:rsid w:val="00E2761E"/>
    <w:rsid w:val="00E306B7"/>
    <w:rsid w:val="00E30F51"/>
    <w:rsid w:val="00E31F5D"/>
    <w:rsid w:val="00E34C86"/>
    <w:rsid w:val="00E376B2"/>
    <w:rsid w:val="00E37FEE"/>
    <w:rsid w:val="00E40A7D"/>
    <w:rsid w:val="00E4173D"/>
    <w:rsid w:val="00E42466"/>
    <w:rsid w:val="00E42B27"/>
    <w:rsid w:val="00E437DF"/>
    <w:rsid w:val="00E47909"/>
    <w:rsid w:val="00E47EEE"/>
    <w:rsid w:val="00E5009F"/>
    <w:rsid w:val="00E51102"/>
    <w:rsid w:val="00E52332"/>
    <w:rsid w:val="00E536CD"/>
    <w:rsid w:val="00E541DC"/>
    <w:rsid w:val="00E5538B"/>
    <w:rsid w:val="00E55B4F"/>
    <w:rsid w:val="00E55E5C"/>
    <w:rsid w:val="00E6684E"/>
    <w:rsid w:val="00E66D03"/>
    <w:rsid w:val="00E710CC"/>
    <w:rsid w:val="00E71818"/>
    <w:rsid w:val="00E74846"/>
    <w:rsid w:val="00E74B2E"/>
    <w:rsid w:val="00E77555"/>
    <w:rsid w:val="00E7795A"/>
    <w:rsid w:val="00E77A48"/>
    <w:rsid w:val="00E80482"/>
    <w:rsid w:val="00E80B13"/>
    <w:rsid w:val="00E8111B"/>
    <w:rsid w:val="00E817C8"/>
    <w:rsid w:val="00E81E86"/>
    <w:rsid w:val="00E83F6A"/>
    <w:rsid w:val="00E8448E"/>
    <w:rsid w:val="00E846B9"/>
    <w:rsid w:val="00E85B54"/>
    <w:rsid w:val="00E862C6"/>
    <w:rsid w:val="00E87583"/>
    <w:rsid w:val="00E875A1"/>
    <w:rsid w:val="00E87734"/>
    <w:rsid w:val="00E900E0"/>
    <w:rsid w:val="00E90174"/>
    <w:rsid w:val="00E90EC1"/>
    <w:rsid w:val="00E9181A"/>
    <w:rsid w:val="00E91D9F"/>
    <w:rsid w:val="00E92C45"/>
    <w:rsid w:val="00E945AA"/>
    <w:rsid w:val="00E94A9D"/>
    <w:rsid w:val="00E94FE1"/>
    <w:rsid w:val="00E9501B"/>
    <w:rsid w:val="00E95C4A"/>
    <w:rsid w:val="00E95F50"/>
    <w:rsid w:val="00E96B44"/>
    <w:rsid w:val="00E9707F"/>
    <w:rsid w:val="00E972CE"/>
    <w:rsid w:val="00E97C54"/>
    <w:rsid w:val="00EA1757"/>
    <w:rsid w:val="00EA2309"/>
    <w:rsid w:val="00EA2C4D"/>
    <w:rsid w:val="00EA2E00"/>
    <w:rsid w:val="00EA3103"/>
    <w:rsid w:val="00EA5409"/>
    <w:rsid w:val="00EA5924"/>
    <w:rsid w:val="00EA656C"/>
    <w:rsid w:val="00EA7F29"/>
    <w:rsid w:val="00EB0791"/>
    <w:rsid w:val="00EB2961"/>
    <w:rsid w:val="00EB3922"/>
    <w:rsid w:val="00EB4858"/>
    <w:rsid w:val="00EB4BC1"/>
    <w:rsid w:val="00EB5640"/>
    <w:rsid w:val="00EB5D04"/>
    <w:rsid w:val="00EB679A"/>
    <w:rsid w:val="00EC0786"/>
    <w:rsid w:val="00EC22A3"/>
    <w:rsid w:val="00EC5B45"/>
    <w:rsid w:val="00EC5BF0"/>
    <w:rsid w:val="00EC67C8"/>
    <w:rsid w:val="00EC6ABE"/>
    <w:rsid w:val="00EC7871"/>
    <w:rsid w:val="00EC7BFD"/>
    <w:rsid w:val="00ED04C5"/>
    <w:rsid w:val="00ED124A"/>
    <w:rsid w:val="00ED2D6D"/>
    <w:rsid w:val="00ED313A"/>
    <w:rsid w:val="00ED5808"/>
    <w:rsid w:val="00ED61DF"/>
    <w:rsid w:val="00ED66EC"/>
    <w:rsid w:val="00EE0677"/>
    <w:rsid w:val="00EE09C8"/>
    <w:rsid w:val="00EE3C72"/>
    <w:rsid w:val="00EE5E4B"/>
    <w:rsid w:val="00EF156D"/>
    <w:rsid w:val="00EF1941"/>
    <w:rsid w:val="00EF1FF1"/>
    <w:rsid w:val="00EF24DB"/>
    <w:rsid w:val="00EF3AB3"/>
    <w:rsid w:val="00EF3D08"/>
    <w:rsid w:val="00EF4C06"/>
    <w:rsid w:val="00EF4C36"/>
    <w:rsid w:val="00EF586B"/>
    <w:rsid w:val="00EF7C9F"/>
    <w:rsid w:val="00F00D53"/>
    <w:rsid w:val="00F0161B"/>
    <w:rsid w:val="00F03AA9"/>
    <w:rsid w:val="00F0423C"/>
    <w:rsid w:val="00F06218"/>
    <w:rsid w:val="00F06772"/>
    <w:rsid w:val="00F06BD8"/>
    <w:rsid w:val="00F078F5"/>
    <w:rsid w:val="00F07D10"/>
    <w:rsid w:val="00F11C1D"/>
    <w:rsid w:val="00F12759"/>
    <w:rsid w:val="00F12FB2"/>
    <w:rsid w:val="00F16083"/>
    <w:rsid w:val="00F16188"/>
    <w:rsid w:val="00F1640A"/>
    <w:rsid w:val="00F16781"/>
    <w:rsid w:val="00F16FAE"/>
    <w:rsid w:val="00F17473"/>
    <w:rsid w:val="00F235AD"/>
    <w:rsid w:val="00F250F0"/>
    <w:rsid w:val="00F25533"/>
    <w:rsid w:val="00F26627"/>
    <w:rsid w:val="00F2681F"/>
    <w:rsid w:val="00F26838"/>
    <w:rsid w:val="00F26854"/>
    <w:rsid w:val="00F31F42"/>
    <w:rsid w:val="00F32FD0"/>
    <w:rsid w:val="00F33954"/>
    <w:rsid w:val="00F33DCE"/>
    <w:rsid w:val="00F34A69"/>
    <w:rsid w:val="00F357BF"/>
    <w:rsid w:val="00F35975"/>
    <w:rsid w:val="00F361AD"/>
    <w:rsid w:val="00F3635C"/>
    <w:rsid w:val="00F36C8E"/>
    <w:rsid w:val="00F3781B"/>
    <w:rsid w:val="00F407E3"/>
    <w:rsid w:val="00F41DD3"/>
    <w:rsid w:val="00F4348C"/>
    <w:rsid w:val="00F434B6"/>
    <w:rsid w:val="00F43B5F"/>
    <w:rsid w:val="00F447C8"/>
    <w:rsid w:val="00F44D20"/>
    <w:rsid w:val="00F4500D"/>
    <w:rsid w:val="00F47869"/>
    <w:rsid w:val="00F50246"/>
    <w:rsid w:val="00F51F63"/>
    <w:rsid w:val="00F53333"/>
    <w:rsid w:val="00F53E6A"/>
    <w:rsid w:val="00F5462B"/>
    <w:rsid w:val="00F5537A"/>
    <w:rsid w:val="00F60A50"/>
    <w:rsid w:val="00F60FF2"/>
    <w:rsid w:val="00F6145A"/>
    <w:rsid w:val="00F61792"/>
    <w:rsid w:val="00F619E8"/>
    <w:rsid w:val="00F624C4"/>
    <w:rsid w:val="00F63445"/>
    <w:rsid w:val="00F641B7"/>
    <w:rsid w:val="00F64805"/>
    <w:rsid w:val="00F6693C"/>
    <w:rsid w:val="00F71767"/>
    <w:rsid w:val="00F73E4B"/>
    <w:rsid w:val="00F74D2C"/>
    <w:rsid w:val="00F74E37"/>
    <w:rsid w:val="00F7679D"/>
    <w:rsid w:val="00F7727F"/>
    <w:rsid w:val="00F8096A"/>
    <w:rsid w:val="00F80B6F"/>
    <w:rsid w:val="00F80F4C"/>
    <w:rsid w:val="00F8140B"/>
    <w:rsid w:val="00F81F3D"/>
    <w:rsid w:val="00F8234E"/>
    <w:rsid w:val="00F83450"/>
    <w:rsid w:val="00F83CB6"/>
    <w:rsid w:val="00F84A40"/>
    <w:rsid w:val="00F85995"/>
    <w:rsid w:val="00F85E39"/>
    <w:rsid w:val="00F86A20"/>
    <w:rsid w:val="00F86C5A"/>
    <w:rsid w:val="00F87485"/>
    <w:rsid w:val="00F90B3E"/>
    <w:rsid w:val="00F916A3"/>
    <w:rsid w:val="00F92992"/>
    <w:rsid w:val="00F966B7"/>
    <w:rsid w:val="00FA0BA1"/>
    <w:rsid w:val="00FA152D"/>
    <w:rsid w:val="00FA4E4E"/>
    <w:rsid w:val="00FA50D9"/>
    <w:rsid w:val="00FA5772"/>
    <w:rsid w:val="00FA5D7D"/>
    <w:rsid w:val="00FA61F8"/>
    <w:rsid w:val="00FA650E"/>
    <w:rsid w:val="00FA77BC"/>
    <w:rsid w:val="00FB059A"/>
    <w:rsid w:val="00FB3385"/>
    <w:rsid w:val="00FB3D49"/>
    <w:rsid w:val="00FB63D8"/>
    <w:rsid w:val="00FB6DE4"/>
    <w:rsid w:val="00FB71A7"/>
    <w:rsid w:val="00FB75C1"/>
    <w:rsid w:val="00FC0C9C"/>
    <w:rsid w:val="00FC1447"/>
    <w:rsid w:val="00FC165B"/>
    <w:rsid w:val="00FC1B03"/>
    <w:rsid w:val="00FC1D6B"/>
    <w:rsid w:val="00FC1FB0"/>
    <w:rsid w:val="00FC26B0"/>
    <w:rsid w:val="00FC2D2F"/>
    <w:rsid w:val="00FC3157"/>
    <w:rsid w:val="00FC321C"/>
    <w:rsid w:val="00FC485F"/>
    <w:rsid w:val="00FC553C"/>
    <w:rsid w:val="00FC5F71"/>
    <w:rsid w:val="00FC602C"/>
    <w:rsid w:val="00FC7F18"/>
    <w:rsid w:val="00FD08D9"/>
    <w:rsid w:val="00FD21AE"/>
    <w:rsid w:val="00FD26AE"/>
    <w:rsid w:val="00FD37F5"/>
    <w:rsid w:val="00FD4213"/>
    <w:rsid w:val="00FD45D4"/>
    <w:rsid w:val="00FD4F53"/>
    <w:rsid w:val="00FD5F86"/>
    <w:rsid w:val="00FE0E97"/>
    <w:rsid w:val="00FE1956"/>
    <w:rsid w:val="00FE1AF1"/>
    <w:rsid w:val="00FE1EC6"/>
    <w:rsid w:val="00FE218A"/>
    <w:rsid w:val="00FE349E"/>
    <w:rsid w:val="00FE4B8B"/>
    <w:rsid w:val="00FE58DE"/>
    <w:rsid w:val="00FE644E"/>
    <w:rsid w:val="00FE6E64"/>
    <w:rsid w:val="00FE7491"/>
    <w:rsid w:val="00FE75BA"/>
    <w:rsid w:val="00FE7EC2"/>
    <w:rsid w:val="00FF3C98"/>
    <w:rsid w:val="00FF4FC8"/>
    <w:rsid w:val="00FF5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186696"/>
  <w15:chartTrackingRefBased/>
  <w15:docId w15:val="{5EDD0580-AC9D-40CC-B56E-DB375E83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C98"/>
    <w:rPr>
      <w:rFonts w:ascii="Arial" w:hAnsi="Arial" w:cs="Arial"/>
      <w:sz w:val="24"/>
      <w:szCs w:val="24"/>
      <w:lang w:eastAsia="en-US"/>
    </w:rPr>
  </w:style>
  <w:style w:type="paragraph" w:styleId="Heading1">
    <w:name w:val="heading 1"/>
    <w:basedOn w:val="Normal"/>
    <w:next w:val="Normal"/>
    <w:link w:val="Heading1Char"/>
    <w:qFormat/>
    <w:rsid w:val="00C0492F"/>
    <w:pPr>
      <w:keepNext/>
      <w:keepLines/>
      <w:spacing w:after="240"/>
      <w:outlineLvl w:val="0"/>
    </w:pPr>
    <w:rPr>
      <w:rFonts w:eastAsiaTheme="majorEastAsia" w:cstheme="majorBidi"/>
      <w:b/>
      <w:caps/>
      <w:color w:val="000000" w:themeColor="text1"/>
      <w:szCs w:val="32"/>
    </w:rPr>
  </w:style>
  <w:style w:type="paragraph" w:styleId="Heading3">
    <w:name w:val="heading 3"/>
    <w:basedOn w:val="Normal"/>
    <w:next w:val="Normal"/>
    <w:qFormat/>
    <w:rsid w:val="00570C22"/>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2">
    <w:name w:val="normal2"/>
    <w:rsid w:val="00570C22"/>
    <w:rPr>
      <w:rFonts w:ascii="Times New Roman" w:hAnsi="Times New Roman" w:cs="Times New Roman" w:hint="default"/>
      <w:strike w:val="0"/>
      <w:dstrike w:val="0"/>
      <w:sz w:val="24"/>
      <w:szCs w:val="24"/>
      <w:u w:val="none"/>
      <w:effect w:val="none"/>
    </w:rPr>
  </w:style>
  <w:style w:type="paragraph" w:styleId="Header">
    <w:name w:val="header"/>
    <w:basedOn w:val="Normal"/>
    <w:link w:val="HeaderChar"/>
    <w:rsid w:val="00A1212A"/>
    <w:pPr>
      <w:tabs>
        <w:tab w:val="center" w:pos="4153"/>
        <w:tab w:val="right" w:pos="8306"/>
      </w:tabs>
    </w:pPr>
  </w:style>
  <w:style w:type="paragraph" w:styleId="Footer">
    <w:name w:val="footer"/>
    <w:basedOn w:val="Normal"/>
    <w:rsid w:val="00A1212A"/>
    <w:pPr>
      <w:tabs>
        <w:tab w:val="center" w:pos="4153"/>
        <w:tab w:val="right" w:pos="8306"/>
      </w:tabs>
    </w:pPr>
  </w:style>
  <w:style w:type="character" w:styleId="Strong">
    <w:name w:val="Strong"/>
    <w:qFormat/>
    <w:rsid w:val="009B488D"/>
    <w:rPr>
      <w:b/>
      <w:bCs/>
    </w:rPr>
  </w:style>
  <w:style w:type="paragraph" w:customStyle="1" w:styleId="Bulleted">
    <w:name w:val="Bulleted"/>
    <w:basedOn w:val="Normal"/>
    <w:rsid w:val="00EC67C8"/>
    <w:pPr>
      <w:numPr>
        <w:numId w:val="1"/>
      </w:numPr>
    </w:pPr>
  </w:style>
  <w:style w:type="paragraph" w:styleId="ListParagraph">
    <w:name w:val="List Paragraph"/>
    <w:basedOn w:val="Normal"/>
    <w:uiPriority w:val="34"/>
    <w:qFormat/>
    <w:rsid w:val="0057017A"/>
    <w:pPr>
      <w:ind w:left="720"/>
    </w:pPr>
  </w:style>
  <w:style w:type="paragraph" w:styleId="BalloonText">
    <w:name w:val="Balloon Text"/>
    <w:basedOn w:val="Normal"/>
    <w:link w:val="BalloonTextChar"/>
    <w:rsid w:val="004B357C"/>
    <w:rPr>
      <w:rFonts w:ascii="Tahoma" w:hAnsi="Tahoma" w:cs="Tahoma"/>
      <w:sz w:val="16"/>
      <w:szCs w:val="16"/>
    </w:rPr>
  </w:style>
  <w:style w:type="character" w:customStyle="1" w:styleId="BalloonTextChar">
    <w:name w:val="Balloon Text Char"/>
    <w:link w:val="BalloonText"/>
    <w:rsid w:val="004B357C"/>
    <w:rPr>
      <w:rFonts w:ascii="Tahoma" w:hAnsi="Tahoma" w:cs="Tahoma"/>
      <w:sz w:val="16"/>
      <w:szCs w:val="16"/>
      <w:lang w:eastAsia="en-US"/>
    </w:rPr>
  </w:style>
  <w:style w:type="paragraph" w:styleId="NoSpacing">
    <w:name w:val="No Spacing"/>
    <w:uiPriority w:val="1"/>
    <w:qFormat/>
    <w:rsid w:val="00C81A89"/>
    <w:rPr>
      <w:rFonts w:ascii="Arial" w:eastAsia="Calibri" w:hAnsi="Arial" w:cs="Arial"/>
      <w:sz w:val="22"/>
      <w:szCs w:val="22"/>
      <w:lang w:eastAsia="en-US"/>
    </w:rPr>
  </w:style>
  <w:style w:type="character" w:styleId="Hyperlink">
    <w:name w:val="Hyperlink"/>
    <w:rsid w:val="00E55B4F"/>
    <w:rPr>
      <w:color w:val="0000FF"/>
      <w:u w:val="single"/>
    </w:rPr>
  </w:style>
  <w:style w:type="table" w:styleId="TableGrid">
    <w:name w:val="Table Grid"/>
    <w:basedOn w:val="TableNormal"/>
    <w:uiPriority w:val="59"/>
    <w:rsid w:val="00026CE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222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C516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B15F8B"/>
    <w:rPr>
      <w:rFonts w:ascii="Arial" w:hAnsi="Arial" w:cs="Arial"/>
      <w:sz w:val="24"/>
      <w:szCs w:val="24"/>
      <w:lang w:eastAsia="en-US"/>
    </w:rPr>
  </w:style>
  <w:style w:type="paragraph" w:customStyle="1" w:styleId="Default">
    <w:name w:val="Default"/>
    <w:rsid w:val="006B41B0"/>
    <w:pPr>
      <w:autoSpaceDE w:val="0"/>
      <w:autoSpaceDN w:val="0"/>
      <w:adjustRightInd w:val="0"/>
    </w:pPr>
    <w:rPr>
      <w:rFonts w:ascii="Rockwell" w:hAnsi="Rockwell" w:cs="Rockwell"/>
      <w:color w:val="000000"/>
      <w:sz w:val="24"/>
      <w:szCs w:val="24"/>
    </w:rPr>
  </w:style>
  <w:style w:type="character" w:customStyle="1" w:styleId="Heading1Char">
    <w:name w:val="Heading 1 Char"/>
    <w:basedOn w:val="DefaultParagraphFont"/>
    <w:link w:val="Heading1"/>
    <w:rsid w:val="00C0492F"/>
    <w:rPr>
      <w:rFonts w:ascii="Arial" w:eastAsiaTheme="majorEastAsia" w:hAnsi="Arial" w:cstheme="majorBidi"/>
      <w:b/>
      <w:caps/>
      <w:color w:val="000000" w:themeColor="text1"/>
      <w:sz w:val="24"/>
      <w:szCs w:val="32"/>
      <w:lang w:eastAsia="en-US"/>
    </w:rPr>
  </w:style>
  <w:style w:type="paragraph" w:customStyle="1" w:styleId="NumbList3">
    <w:name w:val="NumbList3"/>
    <w:basedOn w:val="Normal"/>
    <w:rsid w:val="00C0492F"/>
    <w:pPr>
      <w:numPr>
        <w:numId w:val="2"/>
      </w:numPr>
    </w:pPr>
  </w:style>
  <w:style w:type="character" w:styleId="CommentReference">
    <w:name w:val="annotation reference"/>
    <w:basedOn w:val="DefaultParagraphFont"/>
    <w:rsid w:val="00847957"/>
    <w:rPr>
      <w:sz w:val="16"/>
      <w:szCs w:val="16"/>
    </w:rPr>
  </w:style>
  <w:style w:type="paragraph" w:styleId="CommentText">
    <w:name w:val="annotation text"/>
    <w:basedOn w:val="Normal"/>
    <w:link w:val="CommentTextChar"/>
    <w:rsid w:val="00847957"/>
    <w:rPr>
      <w:sz w:val="20"/>
      <w:szCs w:val="20"/>
    </w:rPr>
  </w:style>
  <w:style w:type="character" w:customStyle="1" w:styleId="CommentTextChar">
    <w:name w:val="Comment Text Char"/>
    <w:basedOn w:val="DefaultParagraphFont"/>
    <w:link w:val="CommentText"/>
    <w:rsid w:val="00847957"/>
    <w:rPr>
      <w:rFonts w:ascii="Arial" w:hAnsi="Arial" w:cs="Arial"/>
      <w:lang w:eastAsia="en-US"/>
    </w:rPr>
  </w:style>
  <w:style w:type="paragraph" w:styleId="CommentSubject">
    <w:name w:val="annotation subject"/>
    <w:basedOn w:val="CommentText"/>
    <w:next w:val="CommentText"/>
    <w:link w:val="CommentSubjectChar"/>
    <w:rsid w:val="00847957"/>
    <w:rPr>
      <w:b/>
      <w:bCs/>
    </w:rPr>
  </w:style>
  <w:style w:type="character" w:customStyle="1" w:styleId="CommentSubjectChar">
    <w:name w:val="Comment Subject Char"/>
    <w:basedOn w:val="CommentTextChar"/>
    <w:link w:val="CommentSubject"/>
    <w:rsid w:val="00847957"/>
    <w:rPr>
      <w:rFonts w:ascii="Arial" w:hAnsi="Arial" w:cs="Arial"/>
      <w:b/>
      <w:bCs/>
      <w:lang w:eastAsia="en-US"/>
    </w:rPr>
  </w:style>
  <w:style w:type="character" w:styleId="PageNumber">
    <w:name w:val="page number"/>
    <w:basedOn w:val="DefaultParagraphFont"/>
    <w:rsid w:val="00F55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9465">
      <w:bodyDiv w:val="1"/>
      <w:marLeft w:val="0"/>
      <w:marRight w:val="0"/>
      <w:marTop w:val="0"/>
      <w:marBottom w:val="0"/>
      <w:divBdr>
        <w:top w:val="none" w:sz="0" w:space="0" w:color="auto"/>
        <w:left w:val="none" w:sz="0" w:space="0" w:color="auto"/>
        <w:bottom w:val="none" w:sz="0" w:space="0" w:color="auto"/>
        <w:right w:val="none" w:sz="0" w:space="0" w:color="auto"/>
      </w:divBdr>
    </w:div>
    <w:div w:id="229197229">
      <w:bodyDiv w:val="1"/>
      <w:marLeft w:val="0"/>
      <w:marRight w:val="0"/>
      <w:marTop w:val="0"/>
      <w:marBottom w:val="0"/>
      <w:divBdr>
        <w:top w:val="none" w:sz="0" w:space="0" w:color="auto"/>
        <w:left w:val="none" w:sz="0" w:space="0" w:color="auto"/>
        <w:bottom w:val="none" w:sz="0" w:space="0" w:color="auto"/>
        <w:right w:val="none" w:sz="0" w:space="0" w:color="auto"/>
      </w:divBdr>
    </w:div>
    <w:div w:id="810175049">
      <w:bodyDiv w:val="1"/>
      <w:marLeft w:val="0"/>
      <w:marRight w:val="0"/>
      <w:marTop w:val="0"/>
      <w:marBottom w:val="0"/>
      <w:divBdr>
        <w:top w:val="none" w:sz="0" w:space="0" w:color="auto"/>
        <w:left w:val="none" w:sz="0" w:space="0" w:color="auto"/>
        <w:bottom w:val="none" w:sz="0" w:space="0" w:color="auto"/>
        <w:right w:val="none" w:sz="0" w:space="0" w:color="auto"/>
      </w:divBdr>
    </w:div>
    <w:div w:id="1014579580">
      <w:bodyDiv w:val="1"/>
      <w:marLeft w:val="0"/>
      <w:marRight w:val="0"/>
      <w:marTop w:val="0"/>
      <w:marBottom w:val="0"/>
      <w:divBdr>
        <w:top w:val="none" w:sz="0" w:space="0" w:color="auto"/>
        <w:left w:val="none" w:sz="0" w:space="0" w:color="auto"/>
        <w:bottom w:val="none" w:sz="0" w:space="0" w:color="auto"/>
        <w:right w:val="none" w:sz="0" w:space="0" w:color="auto"/>
      </w:divBdr>
    </w:div>
    <w:div w:id="1565095964">
      <w:bodyDiv w:val="1"/>
      <w:marLeft w:val="0"/>
      <w:marRight w:val="0"/>
      <w:marTop w:val="0"/>
      <w:marBottom w:val="0"/>
      <w:divBdr>
        <w:top w:val="none" w:sz="0" w:space="0" w:color="auto"/>
        <w:left w:val="none" w:sz="0" w:space="0" w:color="auto"/>
        <w:bottom w:val="none" w:sz="0" w:space="0" w:color="auto"/>
        <w:right w:val="none" w:sz="0" w:space="0" w:color="auto"/>
      </w:divBdr>
    </w:div>
    <w:div w:id="1588004011">
      <w:bodyDiv w:val="1"/>
      <w:marLeft w:val="0"/>
      <w:marRight w:val="0"/>
      <w:marTop w:val="0"/>
      <w:marBottom w:val="0"/>
      <w:divBdr>
        <w:top w:val="none" w:sz="0" w:space="0" w:color="auto"/>
        <w:left w:val="none" w:sz="0" w:space="0" w:color="auto"/>
        <w:bottom w:val="none" w:sz="0" w:space="0" w:color="auto"/>
        <w:right w:val="none" w:sz="0" w:space="0" w:color="auto"/>
      </w:divBdr>
    </w:div>
    <w:div w:id="182335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Q1</c:v>
                </c:pt>
              </c:strCache>
            </c:strRef>
          </c:tx>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BA</c:v>
                </c:pt>
                <c:pt idx="1">
                  <c:v>Civil Resilience</c:v>
                </c:pt>
                <c:pt idx="2">
                  <c:v>Ops Development</c:v>
                </c:pt>
                <c:pt idx="3">
                  <c:v>Driving</c:v>
                </c:pt>
                <c:pt idx="4">
                  <c:v>Incident Command</c:v>
                </c:pt>
                <c:pt idx="5">
                  <c:v>Professional Development</c:v>
                </c:pt>
                <c:pt idx="6">
                  <c:v>Other</c:v>
                </c:pt>
              </c:strCache>
            </c:strRef>
          </c:cat>
          <c:val>
            <c:numRef>
              <c:f>Sheet1!$B$2:$B$8</c:f>
            </c:numRef>
          </c:val>
          <c:extLst>
            <c:ext xmlns:c16="http://schemas.microsoft.com/office/drawing/2014/chart" uri="{C3380CC4-5D6E-409C-BE32-E72D297353CC}">
              <c16:uniqueId val="{00000000-9B25-4923-8368-6220C77CC4E0}"/>
            </c:ext>
          </c:extLst>
        </c:ser>
        <c:ser>
          <c:idx val="1"/>
          <c:order val="1"/>
          <c:tx>
            <c:strRef>
              <c:f>Sheet1!$C$1</c:f>
              <c:strCache>
                <c:ptCount val="1"/>
                <c:pt idx="0">
                  <c:v>Q2</c:v>
                </c:pt>
              </c:strCache>
            </c:strRef>
          </c:tx>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BA</c:v>
                </c:pt>
                <c:pt idx="1">
                  <c:v>Civil Resilience</c:v>
                </c:pt>
                <c:pt idx="2">
                  <c:v>Ops Development</c:v>
                </c:pt>
                <c:pt idx="3">
                  <c:v>Driving</c:v>
                </c:pt>
                <c:pt idx="4">
                  <c:v>Incident Command</c:v>
                </c:pt>
                <c:pt idx="5">
                  <c:v>Professional Development</c:v>
                </c:pt>
                <c:pt idx="6">
                  <c:v>Other</c:v>
                </c:pt>
              </c:strCache>
            </c:strRef>
          </c:cat>
          <c:val>
            <c:numRef>
              <c:f>Sheet1!$C$2:$C$8</c:f>
            </c:numRef>
          </c:val>
          <c:extLst>
            <c:ext xmlns:c16="http://schemas.microsoft.com/office/drawing/2014/chart" uri="{C3380CC4-5D6E-409C-BE32-E72D297353CC}">
              <c16:uniqueId val="{00000001-9B25-4923-8368-6220C77CC4E0}"/>
            </c:ext>
          </c:extLst>
        </c:ser>
        <c:ser>
          <c:idx val="2"/>
          <c:order val="2"/>
          <c:tx>
            <c:strRef>
              <c:f>Sheet1!$D$1</c:f>
              <c:strCache>
                <c:ptCount val="1"/>
                <c:pt idx="0">
                  <c:v>Attendees Q1 and Q2 2018-19</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3-9B25-4923-8368-6220C77CC4E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5-9B25-4923-8368-6220C77CC4E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7-9B25-4923-8368-6220C77CC4E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9-9B25-4923-8368-6220C77CC4E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B-9B25-4923-8368-6220C77CC4E0}"/>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D-9B25-4923-8368-6220C77CC4E0}"/>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F-9B25-4923-8368-6220C77CC4E0}"/>
              </c:ext>
            </c:extLst>
          </c:dPt>
          <c:dLbls>
            <c:dLbl>
              <c:idx val="6"/>
              <c:layout>
                <c:manualLayout>
                  <c:x val="0.11919309210862261"/>
                  <c:y val="1.2145589916179832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B25-4923-8368-6220C77CC4E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BA</c:v>
                </c:pt>
                <c:pt idx="1">
                  <c:v>Civil Resilience</c:v>
                </c:pt>
                <c:pt idx="2">
                  <c:v>Ops Development</c:v>
                </c:pt>
                <c:pt idx="3">
                  <c:v>Driving</c:v>
                </c:pt>
                <c:pt idx="4">
                  <c:v>Incident Command</c:v>
                </c:pt>
                <c:pt idx="5">
                  <c:v>Professional Development</c:v>
                </c:pt>
                <c:pt idx="6">
                  <c:v>Other</c:v>
                </c:pt>
              </c:strCache>
            </c:strRef>
          </c:cat>
          <c:val>
            <c:numRef>
              <c:f>Sheet1!$D$2:$D$8</c:f>
              <c:numCache>
                <c:formatCode>General</c:formatCode>
                <c:ptCount val="7"/>
                <c:pt idx="0">
                  <c:v>499</c:v>
                </c:pt>
                <c:pt idx="1">
                  <c:v>389</c:v>
                </c:pt>
                <c:pt idx="2">
                  <c:v>203</c:v>
                </c:pt>
                <c:pt idx="3">
                  <c:v>202</c:v>
                </c:pt>
                <c:pt idx="4">
                  <c:v>104</c:v>
                </c:pt>
                <c:pt idx="5">
                  <c:v>269</c:v>
                </c:pt>
                <c:pt idx="6">
                  <c:v>1422</c:v>
                </c:pt>
              </c:numCache>
            </c:numRef>
          </c:val>
          <c:extLst>
            <c:ext xmlns:c16="http://schemas.microsoft.com/office/drawing/2014/chart" uri="{C3380CC4-5D6E-409C-BE32-E72D297353CC}">
              <c16:uniqueId val="{00000010-9B25-4923-8368-6220C77CC4E0}"/>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36441067434664"/>
          <c:y val="0.22773209296418598"/>
          <c:w val="0.29092598833706096"/>
          <c:h val="0.5953922720345440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5EE4D-576C-4C6A-9CC3-7814E1ECC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3913</Words>
  <Characters>22305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EssexFire</Company>
  <LinksUpToDate>false</LinksUpToDate>
  <CharactersWithSpaces>26166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Section</dc:creator>
  <cp:keywords/>
  <cp:lastModifiedBy>Colette Black</cp:lastModifiedBy>
  <cp:revision>7</cp:revision>
  <cp:lastPrinted>2017-04-27T08:33:00Z</cp:lastPrinted>
  <dcterms:created xsi:type="dcterms:W3CDTF">2018-10-19T11:35:00Z</dcterms:created>
  <dcterms:modified xsi:type="dcterms:W3CDTF">2018-10-23T15:05:00Z</dcterms:modified>
</cp:coreProperties>
</file>