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0C22" w:rsidRDefault="002F45F7" w:rsidP="00732032">
      <w:r>
        <w:rPr>
          <w:noProof/>
          <w:lang w:eastAsia="en-GB"/>
        </w:rPr>
        <mc:AlternateContent>
          <mc:Choice Requires="wps">
            <w:drawing>
              <wp:anchor distT="0" distB="0" distL="114300" distR="114300" simplePos="0" relativeHeight="251659776" behindDoc="0" locked="0" layoutInCell="1" allowOverlap="1" wp14:anchorId="4CC107DC" wp14:editId="555B80EA">
                <wp:simplePos x="0" y="0"/>
                <wp:positionH relativeFrom="column">
                  <wp:posOffset>-9525</wp:posOffset>
                </wp:positionH>
                <wp:positionV relativeFrom="paragraph">
                  <wp:posOffset>-1024255</wp:posOffset>
                </wp:positionV>
                <wp:extent cx="4352290" cy="781685"/>
                <wp:effectExtent l="635" t="0" r="0" b="0"/>
                <wp:wrapNone/>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290" cy="781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15F8B" w:rsidRPr="002F45F7" w:rsidRDefault="002F45F7" w:rsidP="00B15F8B">
                            <w:pPr>
                              <w:pStyle w:val="Header"/>
                              <w:rPr>
                                <w:rFonts w:ascii="Arial Narrow" w:hAnsi="Arial Narrow"/>
                                <w:b/>
                                <w:sz w:val="32"/>
                                <w:szCs w:val="32"/>
                              </w:rPr>
                            </w:pPr>
                            <w:r w:rsidRPr="002F45F7">
                              <w:rPr>
                                <w:rFonts w:ascii="Arial Narrow" w:hAnsi="Arial Narrow"/>
                                <w:b/>
                                <w:sz w:val="32"/>
                                <w:szCs w:val="32"/>
                              </w:rPr>
                              <w:t>ESSEX POLICE, FIRE AND CRIME COMMISSIONER FIRE &amp; RESCUE AUTHORITY</w:t>
                            </w:r>
                          </w:p>
                          <w:p w:rsidR="00B15F8B" w:rsidRPr="002F45F7" w:rsidRDefault="00B15F8B" w:rsidP="00B15F8B">
                            <w:pPr>
                              <w:rPr>
                                <w:rFonts w:ascii="Arial Narrow" w:hAnsi="Arial Narrow"/>
                                <w:sz w:val="32"/>
                                <w:szCs w:val="32"/>
                              </w:rPr>
                            </w:pPr>
                            <w:r w:rsidRPr="002F45F7">
                              <w:rPr>
                                <w:rFonts w:ascii="Arial Narrow" w:hAnsi="Arial Narrow"/>
                                <w:sz w:val="32"/>
                                <w:szCs w:val="32"/>
                              </w:rPr>
                              <w:t>Essex County Fire &amp; Rescue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C107DC" id="_x0000_t202" coordsize="21600,21600" o:spt="202" path="m,l,21600r21600,l21600,xe">
                <v:stroke joinstyle="miter"/>
                <v:path gradientshapeok="t" o:connecttype="rect"/>
              </v:shapetype>
              <v:shape id="Text Box 18" o:spid="_x0000_s1026" type="#_x0000_t202" style="position:absolute;margin-left:-.75pt;margin-top:-80.65pt;width:342.7pt;height:61.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" stroked="f">
                <v:textbox>
                  <w:txbxContent>
                    <w:p w:rsidR="00B15F8B" w:rsidRPr="002F45F7" w:rsidRDefault="002F45F7" w:rsidP="00B15F8B">
                      <w:pPr>
                        <w:pStyle w:val="Header"/>
                        <w:rPr>
                          <w:rFonts w:ascii="Arial Narrow" w:hAnsi="Arial Narrow"/>
                          <w:b/>
                          <w:sz w:val="32"/>
                          <w:szCs w:val="32"/>
                        </w:rPr>
                      </w:pPr>
                      <w:r w:rsidRPr="002F45F7">
                        <w:rPr>
                          <w:rFonts w:ascii="Arial Narrow" w:hAnsi="Arial Narrow"/>
                          <w:b/>
                          <w:sz w:val="32"/>
                          <w:szCs w:val="32"/>
                        </w:rPr>
                        <w:t>ESSEX POLICE, FIRE AND CRIME COMMISSIONER FIRE &amp; RESCUE AUTHORITY</w:t>
                      </w:r>
                    </w:p>
                    <w:p w:rsidR="00B15F8B" w:rsidRPr="002F45F7" w:rsidRDefault="00B15F8B" w:rsidP="00B15F8B">
                      <w:pPr>
                        <w:rPr>
                          <w:rFonts w:ascii="Arial Narrow" w:hAnsi="Arial Narrow"/>
                          <w:sz w:val="32"/>
                          <w:szCs w:val="32"/>
                        </w:rPr>
                      </w:pPr>
                      <w:r w:rsidRPr="002F45F7">
                        <w:rPr>
                          <w:rFonts w:ascii="Arial Narrow" w:hAnsi="Arial Narrow"/>
                          <w:sz w:val="32"/>
                          <w:szCs w:val="32"/>
                        </w:rPr>
                        <w:t>Essex County Fire &amp; Rescue Service</w:t>
                      </w:r>
                    </w:p>
                  </w:txbxContent>
                </v:textbox>
              </v:shape>
            </w:pict>
          </mc:Fallback>
        </mc:AlternateContent>
      </w:r>
      <w:r>
        <w:rPr>
          <w:noProof/>
          <w:lang w:eastAsia="en-GB"/>
        </w:rPr>
        <w:drawing>
          <wp:anchor distT="0" distB="0" distL="114300" distR="114300" simplePos="0" relativeHeight="251658752" behindDoc="0" locked="0" layoutInCell="1" allowOverlap="1" wp14:anchorId="24575904" wp14:editId="26783856">
            <wp:simplePos x="0" y="0"/>
            <wp:positionH relativeFrom="column">
              <wp:posOffset>-447040</wp:posOffset>
            </wp:positionH>
            <wp:positionV relativeFrom="paragraph">
              <wp:posOffset>-1593215</wp:posOffset>
            </wp:positionV>
            <wp:extent cx="6946900" cy="1572895"/>
            <wp:effectExtent l="0" t="0" r="0" b="0"/>
            <wp:wrapNone/>
            <wp:docPr id="10" name="Picture 17" descr="RH_A4+stripcrest_bor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RH_A4+stripcrest_border"/>
                    <pic:cNvPicPr>
                      <a:picLocks noChangeArrowheads="1"/>
                    </pic:cNvPicPr>
                  </pic:nvPicPr>
                  <pic:blipFill>
                    <a:blip r:embed="rId8">
                      <a:extLst>
                        <a:ext uri="{28A0092B-C50C-407E-A947-70E740481C1C}">
                          <a14:useLocalDpi xmlns:a14="http://schemas.microsoft.com/office/drawing/2010/main" val="0"/>
                        </a:ext>
                      </a:extLst>
                    </a:blip>
                    <a:srcRect b="4181"/>
                    <a:stretch>
                      <a:fillRect/>
                    </a:stretch>
                  </pic:blipFill>
                  <pic:spPr bwMode="auto">
                    <a:xfrm>
                      <a:off x="0" y="0"/>
                      <a:ext cx="6946900" cy="15728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18"/>
        <w:gridCol w:w="3614"/>
        <w:gridCol w:w="2056"/>
        <w:gridCol w:w="1559"/>
      </w:tblGrid>
      <w:tr w:rsidR="00B15F8B" w:rsidRPr="009E572F" w:rsidTr="00B15F8B">
        <w:trPr>
          <w:trHeight w:val="557"/>
        </w:trPr>
        <w:tc>
          <w:tcPr>
            <w:tcW w:w="2518" w:type="dxa"/>
          </w:tcPr>
          <w:p w:rsidR="00B15F8B" w:rsidRPr="009E572F" w:rsidRDefault="00B15F8B" w:rsidP="009E572F">
            <w:pPr>
              <w:spacing w:before="120" w:after="120"/>
              <w:rPr>
                <w:rFonts w:ascii="Arial Rounded MT Bold" w:hAnsi="Arial Rounded MT Bold" w:cs="Times New Roman"/>
                <w:szCs w:val="20"/>
              </w:rPr>
            </w:pPr>
            <w:r>
              <w:rPr>
                <w:rFonts w:ascii="Arial Rounded MT Bold" w:hAnsi="Arial Rounded MT Bold" w:cs="Times New Roman"/>
                <w:szCs w:val="20"/>
              </w:rPr>
              <w:t>Meeting</w:t>
            </w:r>
          </w:p>
        </w:tc>
        <w:tc>
          <w:tcPr>
            <w:tcW w:w="3614" w:type="dxa"/>
          </w:tcPr>
          <w:p w:rsidR="00B15F8B" w:rsidRPr="00B15F8B" w:rsidRDefault="007731DF" w:rsidP="009E572F">
            <w:pPr>
              <w:spacing w:before="120" w:after="120"/>
              <w:rPr>
                <w:rFonts w:cs="Times New Roman"/>
                <w:b/>
                <w:szCs w:val="20"/>
              </w:rPr>
            </w:pPr>
            <w:r>
              <w:rPr>
                <w:rFonts w:cs="Times New Roman"/>
                <w:b/>
                <w:szCs w:val="20"/>
              </w:rPr>
              <w:t>PFCC ECFRS Strategic Board</w:t>
            </w:r>
          </w:p>
        </w:tc>
        <w:tc>
          <w:tcPr>
            <w:tcW w:w="2056" w:type="dxa"/>
          </w:tcPr>
          <w:p w:rsidR="00B15F8B" w:rsidRPr="009E572F" w:rsidRDefault="00B15F8B" w:rsidP="009E572F">
            <w:pPr>
              <w:spacing w:before="120" w:after="120"/>
              <w:rPr>
                <w:rFonts w:cs="Times New Roman"/>
                <w:szCs w:val="20"/>
              </w:rPr>
            </w:pPr>
            <w:r>
              <w:rPr>
                <w:rFonts w:cs="Times New Roman"/>
                <w:szCs w:val="20"/>
              </w:rPr>
              <w:t>Agenda Item</w:t>
            </w:r>
          </w:p>
        </w:tc>
        <w:tc>
          <w:tcPr>
            <w:tcW w:w="1559" w:type="dxa"/>
          </w:tcPr>
          <w:p w:rsidR="00B15F8B" w:rsidRPr="00B15F8B" w:rsidRDefault="006E0E88" w:rsidP="009E572F">
            <w:pPr>
              <w:spacing w:before="120" w:after="120"/>
              <w:rPr>
                <w:rFonts w:cs="Times New Roman"/>
                <w:sz w:val="32"/>
                <w:szCs w:val="32"/>
              </w:rPr>
            </w:pPr>
            <w:r>
              <w:rPr>
                <w:rFonts w:cs="Times New Roman"/>
                <w:sz w:val="32"/>
                <w:szCs w:val="32"/>
              </w:rPr>
              <w:t>8</w:t>
            </w:r>
          </w:p>
        </w:tc>
      </w:tr>
      <w:tr w:rsidR="00B15F8B" w:rsidRPr="009E572F" w:rsidTr="00B15F8B">
        <w:tc>
          <w:tcPr>
            <w:tcW w:w="2518" w:type="dxa"/>
          </w:tcPr>
          <w:p w:rsidR="00B15F8B" w:rsidRPr="009E572F" w:rsidRDefault="00B15F8B" w:rsidP="009E572F">
            <w:pPr>
              <w:spacing w:before="120" w:after="120"/>
              <w:rPr>
                <w:rFonts w:ascii="Arial Rounded MT Bold" w:hAnsi="Arial Rounded MT Bold" w:cs="Times New Roman"/>
                <w:szCs w:val="20"/>
              </w:rPr>
            </w:pPr>
            <w:r>
              <w:rPr>
                <w:rFonts w:ascii="Arial Rounded MT Bold" w:hAnsi="Arial Rounded MT Bold" w:cs="Times New Roman"/>
                <w:szCs w:val="20"/>
              </w:rPr>
              <w:t>Meeting Date</w:t>
            </w:r>
          </w:p>
        </w:tc>
        <w:tc>
          <w:tcPr>
            <w:tcW w:w="3614" w:type="dxa"/>
          </w:tcPr>
          <w:p w:rsidR="00B15F8B" w:rsidRPr="009E572F" w:rsidRDefault="007731DF" w:rsidP="00EC7871">
            <w:pPr>
              <w:spacing w:before="120" w:after="120"/>
              <w:rPr>
                <w:rFonts w:cs="Times New Roman"/>
                <w:szCs w:val="20"/>
              </w:rPr>
            </w:pPr>
            <w:r>
              <w:rPr>
                <w:rFonts w:cs="Times New Roman"/>
                <w:szCs w:val="20"/>
              </w:rPr>
              <w:t>08/06/18</w:t>
            </w:r>
          </w:p>
        </w:tc>
        <w:tc>
          <w:tcPr>
            <w:tcW w:w="2056" w:type="dxa"/>
          </w:tcPr>
          <w:p w:rsidR="00B15F8B" w:rsidRPr="009E572F" w:rsidRDefault="00B15F8B" w:rsidP="009E572F">
            <w:pPr>
              <w:spacing w:before="120" w:after="120"/>
              <w:rPr>
                <w:rFonts w:cs="Times New Roman"/>
                <w:szCs w:val="20"/>
              </w:rPr>
            </w:pPr>
            <w:r>
              <w:rPr>
                <w:rFonts w:cs="Times New Roman"/>
                <w:szCs w:val="20"/>
              </w:rPr>
              <w:t>Report Number</w:t>
            </w:r>
          </w:p>
        </w:tc>
        <w:tc>
          <w:tcPr>
            <w:tcW w:w="1559" w:type="dxa"/>
          </w:tcPr>
          <w:p w:rsidR="00B15F8B" w:rsidRPr="00B15F8B" w:rsidRDefault="006E0E88" w:rsidP="009E572F">
            <w:pPr>
              <w:spacing w:before="120" w:after="120"/>
              <w:rPr>
                <w:rFonts w:cs="Times New Roman"/>
                <w:b/>
                <w:szCs w:val="20"/>
              </w:rPr>
            </w:pPr>
            <w:r>
              <w:rPr>
                <w:rFonts w:cs="Times New Roman"/>
                <w:b/>
                <w:szCs w:val="20"/>
              </w:rPr>
              <w:t>3</w:t>
            </w:r>
          </w:p>
        </w:tc>
      </w:tr>
      <w:tr w:rsidR="009E572F" w:rsidRPr="009E572F" w:rsidTr="00B15F8B">
        <w:tc>
          <w:tcPr>
            <w:tcW w:w="2518" w:type="dxa"/>
          </w:tcPr>
          <w:p w:rsidR="009E572F" w:rsidRPr="009E572F" w:rsidRDefault="009E572F" w:rsidP="009E572F">
            <w:pPr>
              <w:spacing w:before="120" w:after="120"/>
              <w:rPr>
                <w:rFonts w:ascii="Arial Rounded MT Bold" w:hAnsi="Arial Rounded MT Bold" w:cs="Times New Roman"/>
                <w:szCs w:val="20"/>
              </w:rPr>
            </w:pPr>
            <w:r w:rsidRPr="009E572F">
              <w:rPr>
                <w:rFonts w:ascii="Arial Rounded MT Bold" w:hAnsi="Arial Rounded MT Bold" w:cs="Times New Roman"/>
                <w:szCs w:val="20"/>
              </w:rPr>
              <w:t>Report Author:</w:t>
            </w:r>
          </w:p>
        </w:tc>
        <w:tc>
          <w:tcPr>
            <w:tcW w:w="7229" w:type="dxa"/>
            <w:gridSpan w:val="3"/>
          </w:tcPr>
          <w:p w:rsidR="009E572F" w:rsidRPr="00B15F8B" w:rsidRDefault="006E0E88" w:rsidP="009E572F">
            <w:pPr>
              <w:spacing w:before="120" w:after="120"/>
              <w:rPr>
                <w:rFonts w:cs="Times New Roman"/>
                <w:szCs w:val="20"/>
              </w:rPr>
            </w:pPr>
            <w:r>
              <w:rPr>
                <w:rFonts w:cs="Times New Roman"/>
                <w:szCs w:val="20"/>
              </w:rPr>
              <w:t xml:space="preserve">Jon Doherty - </w:t>
            </w:r>
            <w:r w:rsidR="007731DF">
              <w:rPr>
                <w:rFonts w:cs="Times New Roman"/>
                <w:szCs w:val="20"/>
              </w:rPr>
              <w:t>Head of Property</w:t>
            </w:r>
          </w:p>
        </w:tc>
      </w:tr>
      <w:tr w:rsidR="009E572F" w:rsidRPr="009E572F" w:rsidTr="00B15F8B">
        <w:tc>
          <w:tcPr>
            <w:tcW w:w="2518" w:type="dxa"/>
            <w:tcBorders>
              <w:top w:val="single" w:sz="6" w:space="0" w:color="auto"/>
              <w:left w:val="single" w:sz="6" w:space="0" w:color="auto"/>
              <w:bottom w:val="single" w:sz="6" w:space="0" w:color="auto"/>
              <w:right w:val="single" w:sz="6" w:space="0" w:color="auto"/>
            </w:tcBorders>
          </w:tcPr>
          <w:p w:rsidR="009E572F" w:rsidRPr="009E572F" w:rsidRDefault="00B15F8B" w:rsidP="009E572F">
            <w:pPr>
              <w:spacing w:before="120" w:after="120"/>
              <w:rPr>
                <w:rFonts w:ascii="Arial Rounded MT Bold" w:hAnsi="Arial Rounded MT Bold" w:cs="Times New Roman"/>
                <w:szCs w:val="20"/>
              </w:rPr>
            </w:pPr>
            <w:r>
              <w:rPr>
                <w:rFonts w:ascii="Arial Rounded MT Bold" w:hAnsi="Arial Rounded MT Bold" w:cs="Times New Roman"/>
                <w:szCs w:val="20"/>
              </w:rPr>
              <w:t>Presented By</w:t>
            </w:r>
          </w:p>
        </w:tc>
        <w:tc>
          <w:tcPr>
            <w:tcW w:w="7229" w:type="dxa"/>
            <w:gridSpan w:val="3"/>
            <w:tcBorders>
              <w:top w:val="single" w:sz="6" w:space="0" w:color="auto"/>
              <w:left w:val="single" w:sz="6" w:space="0" w:color="auto"/>
              <w:bottom w:val="single" w:sz="6" w:space="0" w:color="auto"/>
              <w:right w:val="single" w:sz="6" w:space="0" w:color="auto"/>
            </w:tcBorders>
          </w:tcPr>
          <w:p w:rsidR="009E572F" w:rsidRPr="009E572F" w:rsidRDefault="006E0E88" w:rsidP="009E572F">
            <w:pPr>
              <w:spacing w:before="120" w:after="120"/>
              <w:rPr>
                <w:rFonts w:cs="Times New Roman"/>
                <w:szCs w:val="20"/>
              </w:rPr>
            </w:pPr>
            <w:r>
              <w:rPr>
                <w:rFonts w:cs="Times New Roman"/>
                <w:szCs w:val="20"/>
              </w:rPr>
              <w:t xml:space="preserve">Jon Doherty - </w:t>
            </w:r>
            <w:bookmarkStart w:id="0" w:name="_GoBack"/>
            <w:bookmarkEnd w:id="0"/>
            <w:r w:rsidR="007C226E">
              <w:rPr>
                <w:rFonts w:cs="Times New Roman"/>
                <w:szCs w:val="20"/>
              </w:rPr>
              <w:t>Head of Property</w:t>
            </w:r>
          </w:p>
        </w:tc>
      </w:tr>
      <w:tr w:rsidR="009E572F" w:rsidRPr="009E572F" w:rsidTr="00B15F8B">
        <w:tc>
          <w:tcPr>
            <w:tcW w:w="2518" w:type="dxa"/>
          </w:tcPr>
          <w:p w:rsidR="009E572F" w:rsidRPr="009E572F" w:rsidRDefault="003A46D1" w:rsidP="009E572F">
            <w:pPr>
              <w:spacing w:before="120" w:after="120"/>
              <w:rPr>
                <w:rFonts w:ascii="Arial Rounded MT Bold" w:hAnsi="Arial Rounded MT Bold" w:cs="Times New Roman"/>
                <w:szCs w:val="20"/>
              </w:rPr>
            </w:pPr>
            <w:r>
              <w:rPr>
                <w:rFonts w:ascii="Arial Rounded MT Bold" w:hAnsi="Arial Rounded MT Bold" w:cs="Times New Roman"/>
                <w:szCs w:val="20"/>
              </w:rPr>
              <w:t>Subject</w:t>
            </w:r>
          </w:p>
        </w:tc>
        <w:tc>
          <w:tcPr>
            <w:tcW w:w="7229" w:type="dxa"/>
            <w:gridSpan w:val="3"/>
          </w:tcPr>
          <w:p w:rsidR="009E572F" w:rsidRPr="003A46D1" w:rsidRDefault="007C226E" w:rsidP="009E572F">
            <w:pPr>
              <w:spacing w:before="120" w:after="120"/>
              <w:rPr>
                <w:rFonts w:cs="Times New Roman"/>
                <w:b/>
                <w:szCs w:val="20"/>
              </w:rPr>
            </w:pPr>
            <w:r>
              <w:rPr>
                <w:rFonts w:cs="Times New Roman"/>
                <w:b/>
                <w:szCs w:val="20"/>
              </w:rPr>
              <w:t xml:space="preserve">Property Strategy </w:t>
            </w:r>
          </w:p>
        </w:tc>
      </w:tr>
      <w:tr w:rsidR="009E572F" w:rsidRPr="009E572F" w:rsidTr="00B15F8B">
        <w:tc>
          <w:tcPr>
            <w:tcW w:w="2518" w:type="dxa"/>
          </w:tcPr>
          <w:p w:rsidR="009E572F" w:rsidRPr="009E572F" w:rsidRDefault="009E572F" w:rsidP="009E572F">
            <w:pPr>
              <w:spacing w:before="120" w:after="120"/>
              <w:rPr>
                <w:rFonts w:ascii="Arial Rounded MT Bold" w:hAnsi="Arial Rounded MT Bold" w:cs="Times New Roman"/>
                <w:szCs w:val="20"/>
              </w:rPr>
            </w:pPr>
            <w:r w:rsidRPr="009E572F">
              <w:rPr>
                <w:rFonts w:ascii="Arial Rounded MT Bold" w:hAnsi="Arial Rounded MT Bold" w:cs="Times New Roman"/>
                <w:szCs w:val="20"/>
              </w:rPr>
              <w:t>Type of Report:</w:t>
            </w:r>
          </w:p>
        </w:tc>
        <w:tc>
          <w:tcPr>
            <w:tcW w:w="7229" w:type="dxa"/>
            <w:gridSpan w:val="3"/>
          </w:tcPr>
          <w:p w:rsidR="009E572F" w:rsidRPr="009E572F" w:rsidRDefault="00145906" w:rsidP="009E572F">
            <w:pPr>
              <w:tabs>
                <w:tab w:val="num" w:pos="567"/>
              </w:tabs>
              <w:spacing w:before="120" w:after="120"/>
              <w:rPr>
                <w:rFonts w:cs="Times New Roman"/>
                <w:szCs w:val="20"/>
              </w:rPr>
            </w:pPr>
            <w:r>
              <w:rPr>
                <w:rFonts w:cs="Times New Roman"/>
                <w:szCs w:val="20"/>
              </w:rPr>
              <w:t>Information</w:t>
            </w:r>
            <w:r w:rsidR="00C43DFB">
              <w:rPr>
                <w:rFonts w:cs="Times New Roman"/>
                <w:szCs w:val="20"/>
              </w:rPr>
              <w:t xml:space="preserve"> </w:t>
            </w:r>
          </w:p>
        </w:tc>
      </w:tr>
    </w:tbl>
    <w:p w:rsidR="002F45F7" w:rsidRDefault="002F45F7" w:rsidP="009E572F">
      <w:pPr>
        <w:tabs>
          <w:tab w:val="num" w:pos="567"/>
        </w:tabs>
        <w:spacing w:after="120"/>
        <w:rPr>
          <w:rFonts w:cs="Times New Roman"/>
          <w:szCs w:val="20"/>
        </w:rPr>
        <w:sectPr w:rsidR="002F45F7" w:rsidSect="002F45F7">
          <w:footerReference w:type="first" r:id="rId9"/>
          <w:pgSz w:w="11906" w:h="16838" w:code="9"/>
          <w:pgMar w:top="2977" w:right="1134" w:bottom="244" w:left="1276" w:header="709" w:footer="709" w:gutter="0"/>
          <w:cols w:space="708"/>
          <w:titlePg/>
          <w:docGrid w:linePitch="360"/>
        </w:sectPr>
      </w:pPr>
    </w:p>
    <w:p w:rsidR="009E572F" w:rsidRDefault="009E572F" w:rsidP="009E572F">
      <w:pPr>
        <w:tabs>
          <w:tab w:val="num" w:pos="567"/>
        </w:tabs>
        <w:spacing w:after="120"/>
        <w:rPr>
          <w:rFonts w:cs="Times New Roman"/>
          <w:szCs w:val="20"/>
        </w:rPr>
      </w:pPr>
    </w:p>
    <w:p w:rsidR="00C0492F" w:rsidRPr="009C4F98" w:rsidRDefault="00C0492F" w:rsidP="00C0492F">
      <w:pPr>
        <w:pStyle w:val="Heading1"/>
      </w:pPr>
      <w:r w:rsidRPr="00C0492F">
        <w:t>Recommendations</w:t>
      </w:r>
    </w:p>
    <w:p w:rsidR="00A8212D" w:rsidRDefault="007C226E" w:rsidP="00A8212D">
      <w:pPr>
        <w:pStyle w:val="NumbList3"/>
        <w:spacing w:after="240"/>
        <w:ind w:left="357" w:hanging="357"/>
      </w:pPr>
      <w:r>
        <w:t>Contents of the report and associated appendices are noted</w:t>
      </w:r>
    </w:p>
    <w:p w:rsidR="007C226E" w:rsidRDefault="007C226E" w:rsidP="007C226E">
      <w:pPr>
        <w:pStyle w:val="NumbList3"/>
        <w:numPr>
          <w:ilvl w:val="0"/>
          <w:numId w:val="0"/>
        </w:numPr>
        <w:spacing w:after="240"/>
        <w:ind w:left="360" w:hanging="360"/>
      </w:pPr>
    </w:p>
    <w:p w:rsidR="007C226E" w:rsidRDefault="007C226E" w:rsidP="007C226E">
      <w:pPr>
        <w:pStyle w:val="NumbList3"/>
        <w:numPr>
          <w:ilvl w:val="0"/>
          <w:numId w:val="0"/>
        </w:numPr>
        <w:spacing w:after="240"/>
        <w:ind w:left="360" w:hanging="360"/>
        <w:sectPr w:rsidR="007C226E" w:rsidSect="002F45F7">
          <w:headerReference w:type="default" r:id="rId10"/>
          <w:footerReference w:type="default" r:id="rId11"/>
          <w:footerReference w:type="first" r:id="rId12"/>
          <w:type w:val="continuous"/>
          <w:pgSz w:w="11906" w:h="16838" w:code="9"/>
          <w:pgMar w:top="2977" w:right="1134" w:bottom="244" w:left="1276" w:header="709" w:footer="709" w:gutter="0"/>
          <w:cols w:space="708"/>
          <w:titlePg/>
          <w:docGrid w:linePitch="360"/>
        </w:sectPr>
      </w:pPr>
    </w:p>
    <w:p w:rsidR="00C0492F" w:rsidRPr="002E1E94" w:rsidRDefault="00C0492F" w:rsidP="00C0492F">
      <w:pPr>
        <w:pStyle w:val="Heading1"/>
      </w:pPr>
      <w:r>
        <w:t>BACKGROUND</w:t>
      </w:r>
    </w:p>
    <w:p w:rsidR="00F61792" w:rsidRDefault="007C226E" w:rsidP="00EC7871">
      <w:pPr>
        <w:pStyle w:val="NumbList3"/>
        <w:spacing w:after="240"/>
        <w:ind w:left="357" w:hanging="357"/>
      </w:pPr>
      <w:r>
        <w:t>The Board has requested further information regarding the strategic approach that the Authority has to its property portfolio</w:t>
      </w:r>
      <w:r w:rsidR="004C6AD5">
        <w:t xml:space="preserve"> and how it is ensured that the portfolio is appropriate and fit for purpose</w:t>
      </w:r>
      <w:r>
        <w:t xml:space="preserve">.  The appendices demonstrate the direction of travel that there has been to the current investment level and identification.  This report concentrates on the built portfolio as opposed to the hydrant or digital portfolios or the soft services normally associated with facilities management such as cleaning or grounds maintenance.  All property cost elements form part of the scorecard system annotated later in this paper. </w:t>
      </w:r>
    </w:p>
    <w:p w:rsidR="007C226E" w:rsidRDefault="003E5BB2" w:rsidP="00EC7871">
      <w:pPr>
        <w:pStyle w:val="NumbList3"/>
        <w:spacing w:after="240"/>
        <w:ind w:left="357" w:hanging="357"/>
      </w:pPr>
      <w:r>
        <w:t xml:space="preserve">Under The Policing and Crime Act 2017 Essex Fire Authority Property Transfer Scheme 2017 the Essex Police, Fire and Crime Commissioner Fire and Rescue Authority became the </w:t>
      </w:r>
      <w:r w:rsidR="00044468">
        <w:t>recipient of over £100m of fire stations, training buildings, a headquarters complex, a vehicle workshop and other ancillary buildings. The portfolio has benefitted from an investment strategy borne out of an attempted private finance initiative bid.</w:t>
      </w:r>
    </w:p>
    <w:p w:rsidR="00044468" w:rsidRDefault="00044468" w:rsidP="00EC7871">
      <w:pPr>
        <w:pStyle w:val="NumbList3"/>
        <w:spacing w:after="240"/>
        <w:ind w:left="357" w:hanging="357"/>
      </w:pPr>
      <w:r>
        <w:t xml:space="preserve">The fire Authority had a desire to replace a number of fire stations, their headquarters and some training areas in around 2001 using PFI funding as a vehicle.  Having undergone the first two gateways it became obvious that the borrowing to value ratio of the newly established authority was very low and </w:t>
      </w:r>
      <w:proofErr w:type="spellStart"/>
      <w:r>
        <w:t>self funding</w:t>
      </w:r>
      <w:proofErr w:type="spellEnd"/>
      <w:r>
        <w:t xml:space="preserve"> these schemes could benefit the Authority without losing central government support. </w:t>
      </w:r>
    </w:p>
    <w:p w:rsidR="0010048D" w:rsidRDefault="0010048D" w:rsidP="00EC7871">
      <w:pPr>
        <w:pStyle w:val="NumbList3"/>
        <w:spacing w:after="240"/>
        <w:ind w:left="357" w:hanging="357"/>
      </w:pPr>
      <w:r>
        <w:lastRenderedPageBreak/>
        <w:t xml:space="preserve">The first stock condition survey was undertaken in 2005 by a team of consultants, establishing the </w:t>
      </w:r>
      <w:proofErr w:type="spellStart"/>
      <w:r>
        <w:t>mortgag</w:t>
      </w:r>
      <w:r w:rsidR="003D0A75">
        <w:t>e</w:t>
      </w:r>
      <w:r>
        <w:t>ability</w:t>
      </w:r>
      <w:proofErr w:type="spellEnd"/>
      <w:r>
        <w:t xml:space="preserve"> of the portfolio.  Following in depth discussions with directors and members the decision was agreed to use the stock condition to guide asset investment, refurbish existing fire stations, look to update training facilities and purchase a more appropriate headquarters facility.  Evidence indicated an investment of around £1.7m per annum was appropriate to maintain the buildings.</w:t>
      </w:r>
      <w:r w:rsidR="00675946">
        <w:t xml:space="preserve">  The condition survey takes the form of Useful Remaining Life assessment.  Moving away from a condition score made investment planning became easier and allowed more accessible reporting.</w:t>
      </w:r>
      <w:r w:rsidR="00722516">
        <w:t xml:space="preserve">  Capital funding was based on a payback period of around 25 years for </w:t>
      </w:r>
      <w:r w:rsidR="008F64DF">
        <w:t xml:space="preserve">new </w:t>
      </w:r>
      <w:r w:rsidR="00722516">
        <w:t xml:space="preserve">constructions.  </w:t>
      </w:r>
    </w:p>
    <w:p w:rsidR="0010048D" w:rsidRDefault="004C6AD5" w:rsidP="00EC7871">
      <w:pPr>
        <w:pStyle w:val="NumbList3"/>
        <w:spacing w:after="240"/>
        <w:ind w:left="357" w:hanging="357"/>
      </w:pPr>
      <w:r>
        <w:t>Budget management was</w:t>
      </w:r>
      <w:r w:rsidR="0010048D">
        <w:t xml:space="preserve"> changed to reflect </w:t>
      </w:r>
      <w:r>
        <w:t>the setup with Asset Protection Works and Asset Improvement Works accommodated in capital programming; this change also suited the adaptions to capital accounting regulations.  Asset Protection Works cover the elements that would be expected to be</w:t>
      </w:r>
      <w:r w:rsidR="003D50B8">
        <w:t xml:space="preserve"> found under the useful remaining life</w:t>
      </w:r>
      <w:r>
        <w:t xml:space="preserve"> surveys and Asset Improvement Works cover extensions, change of use and new builds.  This separation allowed resources to be easily adapted to suit organisational requirements and a lean approach to budget authorisation. </w:t>
      </w:r>
    </w:p>
    <w:p w:rsidR="004C6AD5" w:rsidRDefault="004C6AD5" w:rsidP="00EC7871">
      <w:pPr>
        <w:pStyle w:val="NumbList3"/>
        <w:spacing w:after="240"/>
        <w:ind w:left="357" w:hanging="357"/>
      </w:pPr>
      <w:r>
        <w:t xml:space="preserve">Asset Protection works can be identified up to 10 years in advance.  The current condition, property score and notional 10 year spend are shown on each scorecard. </w:t>
      </w:r>
    </w:p>
    <w:p w:rsidR="004C6AD5" w:rsidRDefault="004C6AD5" w:rsidP="00EC7871">
      <w:pPr>
        <w:pStyle w:val="NumbList3"/>
        <w:spacing w:after="240"/>
        <w:ind w:left="357" w:hanging="357"/>
      </w:pPr>
      <w:r>
        <w:t>It was important that stakeholders were still offered the opportunity to customise their environments where appropriate</w:t>
      </w:r>
      <w:r w:rsidR="007D4908">
        <w:t xml:space="preserve">.  Asset Improvement Works is an application driven fund from Authority to Design through to completion ensuring that investment is targeted from inception. </w:t>
      </w:r>
    </w:p>
    <w:p w:rsidR="00675946" w:rsidRDefault="00BA35CC" w:rsidP="00BA35CC">
      <w:pPr>
        <w:pStyle w:val="NumbList3"/>
      </w:pPr>
      <w:r>
        <w:t>Once the investment decision has been made, there is a need to ensure standardisation of building elements. Property Services hold a design guide that contains outputs and specifications fo</w:t>
      </w:r>
      <w:r w:rsidR="00675946">
        <w:t xml:space="preserve">r all areas.  Elemental information has been built using professional knowledge and experience.  New products are tested through the research and design group RADICALE. Over the years this has ensured that our environments are up to date but tried and tested. </w:t>
      </w:r>
      <w:r w:rsidR="00E14843">
        <w:t xml:space="preserve"> Standardisation does have limitations though as one building is never the same as another and every build is a prototype. </w:t>
      </w:r>
    </w:p>
    <w:p w:rsidR="00BA35CC" w:rsidRDefault="00675946" w:rsidP="00675946">
      <w:pPr>
        <w:pStyle w:val="NumbList3"/>
        <w:numPr>
          <w:ilvl w:val="0"/>
          <w:numId w:val="0"/>
        </w:numPr>
        <w:ind w:left="360" w:hanging="360"/>
      </w:pPr>
      <w:r>
        <w:t xml:space="preserve"> </w:t>
      </w:r>
    </w:p>
    <w:p w:rsidR="00BA35CC" w:rsidRDefault="00350420" w:rsidP="007D4908">
      <w:pPr>
        <w:pStyle w:val="NumbList3"/>
      </w:pPr>
      <w:r>
        <w:t xml:space="preserve">Capital planning and delivery still remains a complicated process.  Projects are vulnerable to intention and fragile in their nature.  While the strategy has been to protect the </w:t>
      </w:r>
      <w:r w:rsidR="006E03CA">
        <w:t>Authority’s</w:t>
      </w:r>
      <w:r>
        <w:t xml:space="preserve"> assets </w:t>
      </w:r>
      <w:r w:rsidR="00E14843">
        <w:t xml:space="preserve">once the decision is made to include them in the portfolio; </w:t>
      </w:r>
      <w:r>
        <w:t xml:space="preserve">this has had an impact on facilities where their future is unclear.  Some of the larger stations </w:t>
      </w:r>
      <w:r w:rsidR="00E14843">
        <w:t xml:space="preserve">and buildings </w:t>
      </w:r>
      <w:r>
        <w:t>have not benefitted in the same way as smaller more cost effective stations.</w:t>
      </w:r>
      <w:r w:rsidR="00722516">
        <w:t xml:space="preserve">  Workforce predictions are not always accurate, building occupation is not always stable a</w:t>
      </w:r>
      <w:r w:rsidR="008F64DF">
        <w:t xml:space="preserve">nd with an asset life of at least 65 years a building will have many uses in that time.  </w:t>
      </w:r>
    </w:p>
    <w:p w:rsidR="00350420" w:rsidRDefault="00350420" w:rsidP="006E03CA">
      <w:pPr>
        <w:pStyle w:val="NumbList3"/>
        <w:numPr>
          <w:ilvl w:val="0"/>
          <w:numId w:val="0"/>
        </w:numPr>
        <w:ind w:left="360"/>
      </w:pPr>
    </w:p>
    <w:p w:rsidR="00C0492F" w:rsidRPr="002E1E94" w:rsidRDefault="00C0492F" w:rsidP="00C0492F">
      <w:pPr>
        <w:pStyle w:val="Heading1"/>
      </w:pPr>
      <w:r>
        <w:t>Options and Analysis</w:t>
      </w:r>
    </w:p>
    <w:p w:rsidR="00EC7871" w:rsidRDefault="00134B54" w:rsidP="00BF0939">
      <w:pPr>
        <w:pStyle w:val="NumbList3"/>
        <w:rPr>
          <w:noProof/>
        </w:rPr>
      </w:pPr>
      <w:r>
        <w:rPr>
          <w:noProof/>
        </w:rPr>
        <w:t xml:space="preserve">The useful remaining life analysis, the assumption that the decision for a building is made at the start of its life has streamlined the approach for asset investment decisions.  There are still some issues around asset management.  The scorecard assessments for operational benefit and usage are still not fully formed, while the condition assessment, building costs and allocated staff are right, this may still not </w:t>
      </w:r>
      <w:r>
        <w:rPr>
          <w:noProof/>
        </w:rPr>
        <w:lastRenderedPageBreak/>
        <w:t xml:space="preserve">reflect the effectiveness of a station properly.  Ops have recognised this issue and progress is being made towards a more useable measure for them. </w:t>
      </w:r>
    </w:p>
    <w:p w:rsidR="008F64DF" w:rsidRPr="000C653B" w:rsidRDefault="008F64DF" w:rsidP="00BF0939">
      <w:pPr>
        <w:pStyle w:val="NumbList3"/>
        <w:numPr>
          <w:ilvl w:val="0"/>
          <w:numId w:val="0"/>
        </w:numPr>
        <w:spacing w:after="240"/>
        <w:ind w:left="357"/>
        <w:rPr>
          <w:noProof/>
        </w:rPr>
      </w:pPr>
    </w:p>
    <w:p w:rsidR="00C0492F" w:rsidRPr="002E1E94" w:rsidRDefault="00C0492F" w:rsidP="00C0492F">
      <w:pPr>
        <w:pStyle w:val="Heading1"/>
      </w:pPr>
      <w:r w:rsidRPr="002E1E94">
        <w:t>Benefits and Risk Implications</w:t>
      </w:r>
    </w:p>
    <w:p w:rsidR="00C0492F" w:rsidRDefault="00BF0939" w:rsidP="00EC7871">
      <w:pPr>
        <w:pStyle w:val="NumbList3"/>
        <w:spacing w:after="240"/>
        <w:ind w:left="357" w:hanging="357"/>
        <w:rPr>
          <w:noProof/>
        </w:rPr>
      </w:pPr>
      <w:r w:rsidRPr="00BF0939">
        <w:rPr>
          <w:noProof/>
          <w:lang w:eastAsia="en-GB"/>
        </w:rPr>
        <w:drawing>
          <wp:anchor distT="0" distB="0" distL="114300" distR="114300" simplePos="0" relativeHeight="251661824" behindDoc="1" locked="0" layoutInCell="1" allowOverlap="1">
            <wp:simplePos x="0" y="0"/>
            <wp:positionH relativeFrom="column">
              <wp:posOffset>-29210</wp:posOffset>
            </wp:positionH>
            <wp:positionV relativeFrom="paragraph">
              <wp:posOffset>775970</wp:posOffset>
            </wp:positionV>
            <wp:extent cx="4068000" cy="3553200"/>
            <wp:effectExtent l="0" t="0" r="889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8000" cy="355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2516">
        <w:rPr>
          <w:noProof/>
        </w:rPr>
        <w:t xml:space="preserve">A single key performance indicator for property investment is a complicated output.  However, in considering the carbon footprint which the Authority has been tracking from a 2006 baseline, improvements in the buildings and the relationships between users and buildings can be seen.  </w:t>
      </w:r>
    </w:p>
    <w:p w:rsidR="00BF0939" w:rsidRDefault="00BF0939" w:rsidP="00EC7871">
      <w:pPr>
        <w:pStyle w:val="NumbList3"/>
        <w:spacing w:after="240"/>
        <w:ind w:left="357" w:hanging="357"/>
        <w:rPr>
          <w:noProof/>
        </w:rPr>
      </w:pPr>
      <w:r>
        <w:rPr>
          <w:noProof/>
        </w:rPr>
        <w:t xml:space="preserve">No property investment is a science and as such carries risks.  The operational delivery model calls for a specific turn out time, this influences the location of stations.  The Integrated Risk Management Plan defines the response type of each location.  Changing vehicles does lead to some operational obselescence of buildings; Colchester has had its appliance bay floor lowered more than once, Tillngham and Shoebury cannot accommodate newer vehicles if they continue to grow with each incarnation. </w:t>
      </w:r>
      <w:r w:rsidR="00B658BE">
        <w:rPr>
          <w:noProof/>
        </w:rPr>
        <w:t>A long term strategy for property carries risk and reward if its right.</w:t>
      </w:r>
    </w:p>
    <w:p w:rsidR="00C0492F" w:rsidRDefault="00C0492F" w:rsidP="00C0492F">
      <w:pPr>
        <w:pStyle w:val="Heading1"/>
      </w:pPr>
      <w:r w:rsidRPr="002E1E94">
        <w:t>Financial Implications</w:t>
      </w:r>
    </w:p>
    <w:p w:rsidR="00BF0939" w:rsidRPr="00BF0939" w:rsidRDefault="00BF0939" w:rsidP="00BF0939"/>
    <w:p w:rsidR="00C0492F" w:rsidRPr="000C653B" w:rsidRDefault="00BF0939" w:rsidP="00C0492F">
      <w:pPr>
        <w:pStyle w:val="NumbList3"/>
        <w:spacing w:after="240"/>
        <w:ind w:left="357" w:hanging="357"/>
        <w:rPr>
          <w:noProof/>
        </w:rPr>
      </w:pPr>
      <w:r>
        <w:rPr>
          <w:noProof/>
        </w:rPr>
        <w:t xml:space="preserve">The </w:t>
      </w:r>
      <w:r w:rsidRPr="007D4908">
        <w:rPr>
          <w:noProof/>
          <w:lang w:eastAsia="en-GB"/>
        </w:rPr>
        <w:drawing>
          <wp:anchor distT="0" distB="0" distL="114300" distR="114300" simplePos="0" relativeHeight="251660800" behindDoc="0" locked="0" layoutInCell="1" allowOverlap="1">
            <wp:simplePos x="0" y="0"/>
            <wp:positionH relativeFrom="column">
              <wp:posOffset>532765</wp:posOffset>
            </wp:positionH>
            <wp:positionV relativeFrom="paragraph">
              <wp:posOffset>-2362200</wp:posOffset>
            </wp:positionV>
            <wp:extent cx="4248000" cy="5040000"/>
            <wp:effectExtent l="0" t="0" r="635" b="825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8000" cy="50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58BE">
        <w:rPr>
          <w:noProof/>
        </w:rPr>
        <w:t>budgets and out turns are shown for the last financial year for Property Services.  Complications around partnership arrangements, pay arrangements and strategic intention have left the staffing budget overspent.  Steps are underway to bring this back in line.  St</w:t>
      </w:r>
      <w:r w:rsidR="006713F8">
        <w:rPr>
          <w:noProof/>
        </w:rPr>
        <w:t>ra</w:t>
      </w:r>
      <w:r w:rsidR="00B658BE">
        <w:rPr>
          <w:noProof/>
        </w:rPr>
        <w:t xml:space="preserve">tegic decisions </w:t>
      </w:r>
      <w:r w:rsidR="00F87D6C">
        <w:rPr>
          <w:noProof/>
        </w:rPr>
        <w:t xml:space="preserve">and a move to digital tendering </w:t>
      </w:r>
      <w:r w:rsidR="00B658BE">
        <w:rPr>
          <w:noProof/>
        </w:rPr>
        <w:t xml:space="preserve">have also impacted on the capital programme which slowed down last year, this does mean a strong start to the spend this year.  </w:t>
      </w:r>
    </w:p>
    <w:p w:rsidR="00C0492F" w:rsidRPr="002E1E94" w:rsidRDefault="00C0492F" w:rsidP="00C0492F">
      <w:pPr>
        <w:pStyle w:val="Heading1"/>
      </w:pPr>
      <w:r w:rsidRPr="002E1E94">
        <w:t>Equality and Diversity Implications</w:t>
      </w:r>
    </w:p>
    <w:p w:rsidR="00C0492F" w:rsidRDefault="00F87D6C" w:rsidP="00C0492F">
      <w:pPr>
        <w:pStyle w:val="NumbList3"/>
        <w:spacing w:after="240"/>
        <w:ind w:left="357" w:hanging="357"/>
        <w:rPr>
          <w:noProof/>
        </w:rPr>
      </w:pPr>
      <w:r>
        <w:rPr>
          <w:noProof/>
        </w:rPr>
        <w:t xml:space="preserve">While the built environment cannot change equality and diversity targeting, it does provide a catalyst for change.  Over the years communal facilities have been changed to individual ablutions although the projects are at pace, the rate of change achievable still means there are a few stations that still have outdated facilities.  Whole sale changes to buildings are a slow process in a 3 yearly plan, faster in a 65 year asset life.  </w:t>
      </w:r>
    </w:p>
    <w:p w:rsidR="00F87D6C" w:rsidRPr="000C653B" w:rsidRDefault="00F87D6C" w:rsidP="00C0492F">
      <w:pPr>
        <w:pStyle w:val="NumbList3"/>
        <w:spacing w:after="240"/>
        <w:ind w:left="357" w:hanging="357"/>
        <w:rPr>
          <w:noProof/>
        </w:rPr>
      </w:pPr>
      <w:r>
        <w:rPr>
          <w:noProof/>
        </w:rPr>
        <w:t xml:space="preserve">The Authority benefits from a largely able workforce.  Decisions on work areas that may involve </w:t>
      </w:r>
      <w:r w:rsidR="0054113A">
        <w:rPr>
          <w:noProof/>
        </w:rPr>
        <w:t>non operational activities do need more planning and there are work areas within the portfolio that have been utilised in a way that could lead to implications for the Authority.  Unplanned changes to underused areas could have such implications.</w:t>
      </w:r>
    </w:p>
    <w:p w:rsidR="00C0492F" w:rsidRPr="002E1E94" w:rsidRDefault="00C0492F" w:rsidP="00C0492F">
      <w:pPr>
        <w:pStyle w:val="Heading1"/>
      </w:pPr>
      <w:r w:rsidRPr="002E1E94">
        <w:t>Workforce Engagement</w:t>
      </w:r>
    </w:p>
    <w:p w:rsidR="00C0492F" w:rsidRPr="000C653B" w:rsidRDefault="0054113A" w:rsidP="00C0492F">
      <w:pPr>
        <w:pStyle w:val="NumbList3"/>
        <w:spacing w:after="240"/>
        <w:ind w:left="357" w:hanging="357"/>
        <w:rPr>
          <w:noProof/>
        </w:rPr>
      </w:pPr>
      <w:r>
        <w:rPr>
          <w:noProof/>
        </w:rPr>
        <w:t xml:space="preserve">Plan agreement now sits with the Asset Sub Committee, plan communication sits in the Command Property Forum and project communication is mainly though Officer in Charge at each location.  The project process includes design, pre start and regular update meetings though the life of a project.  Any one can initiate a client design request.  Many groups are invited to the RADICALE group to ensure that intelligence is gathered at all levels of the organisation to help shape the future of the portfolio.  As with all groups, the effectiveness depends on the commitment of the team, operational staff change regularly and there is usually delay in </w:t>
      </w:r>
      <w:r w:rsidR="004F5CE4">
        <w:rPr>
          <w:noProof/>
        </w:rPr>
        <w:t>handover and relevance.</w:t>
      </w:r>
    </w:p>
    <w:p w:rsidR="00C0492F" w:rsidRPr="002E1E94" w:rsidRDefault="00C0492F" w:rsidP="00C0492F">
      <w:pPr>
        <w:pStyle w:val="Heading1"/>
      </w:pPr>
      <w:r>
        <w:t>Legal Implications</w:t>
      </w:r>
    </w:p>
    <w:p w:rsidR="002F45F7" w:rsidRDefault="004F5CE4" w:rsidP="00A8212D">
      <w:pPr>
        <w:pStyle w:val="NumbList3"/>
        <w:spacing w:after="240"/>
        <w:ind w:left="357" w:hanging="357"/>
        <w:rPr>
          <w:noProof/>
        </w:rPr>
      </w:pPr>
      <w:r>
        <w:rPr>
          <w:noProof/>
        </w:rPr>
        <w:t>Buildings carry a significant amount of legal risk.  Knowledge of the workplace regulations is usual although areas such as legionella and services testing are less known.  Building, planning and other construction regulations also ensure that constructing environments is undertaken in an obligatory way.  Knowledge, dedication and a strong approach to planned preventative maintenance helps ensure that the Authority stay abreast of their duties.</w:t>
      </w:r>
    </w:p>
    <w:p w:rsidR="00E562A3" w:rsidRPr="00E562A3" w:rsidRDefault="00E562A3" w:rsidP="00E562A3">
      <w:pPr>
        <w:pStyle w:val="NumbList3"/>
        <w:numPr>
          <w:ilvl w:val="0"/>
          <w:numId w:val="0"/>
        </w:numPr>
        <w:spacing w:after="240"/>
        <w:rPr>
          <w:b/>
          <w:noProof/>
        </w:rPr>
      </w:pPr>
      <w:r w:rsidRPr="00E562A3">
        <w:rPr>
          <w:b/>
          <w:noProof/>
        </w:rPr>
        <w:t xml:space="preserve">APPENDIX 1 – Property Strategy Evolution </w:t>
      </w: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r w:rsidRPr="00E562A3">
        <w:rPr>
          <w:noProof/>
          <w:lang w:eastAsia="en-GB"/>
        </w:rPr>
        <w:drawing>
          <wp:inline distT="0" distB="0" distL="0" distR="0">
            <wp:extent cx="5939790" cy="3276834"/>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3276834"/>
                    </a:xfrm>
                    <a:prstGeom prst="rect">
                      <a:avLst/>
                    </a:prstGeom>
                    <a:noFill/>
                    <a:ln>
                      <a:noFill/>
                    </a:ln>
                  </pic:spPr>
                </pic:pic>
              </a:graphicData>
            </a:graphic>
          </wp:inline>
        </w:drawing>
      </w:r>
    </w:p>
    <w:p w:rsidR="00E562A3" w:rsidRDefault="00E562A3" w:rsidP="00E562A3">
      <w:pPr>
        <w:pStyle w:val="NumbList3"/>
        <w:numPr>
          <w:ilvl w:val="0"/>
          <w:numId w:val="0"/>
        </w:numPr>
        <w:spacing w:after="240"/>
        <w:rPr>
          <w:noProof/>
        </w:rPr>
      </w:pPr>
      <w:r w:rsidRPr="00E562A3">
        <w:rPr>
          <w:noProof/>
          <w:lang w:eastAsia="en-GB"/>
        </w:rPr>
        <w:drawing>
          <wp:inline distT="0" distB="0" distL="0" distR="0">
            <wp:extent cx="5939790" cy="331917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3319170"/>
                    </a:xfrm>
                    <a:prstGeom prst="rect">
                      <a:avLst/>
                    </a:prstGeom>
                    <a:noFill/>
                    <a:ln>
                      <a:noFill/>
                    </a:ln>
                  </pic:spPr>
                </pic:pic>
              </a:graphicData>
            </a:graphic>
          </wp:inline>
        </w:drawing>
      </w: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r w:rsidRPr="00E562A3">
        <w:rPr>
          <w:noProof/>
          <w:lang w:eastAsia="en-GB"/>
        </w:rPr>
        <w:drawing>
          <wp:inline distT="0" distB="0" distL="0" distR="0">
            <wp:extent cx="5939790" cy="3285301"/>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3285301"/>
                    </a:xfrm>
                    <a:prstGeom prst="rect">
                      <a:avLst/>
                    </a:prstGeom>
                    <a:noFill/>
                    <a:ln>
                      <a:noFill/>
                    </a:ln>
                  </pic:spPr>
                </pic:pic>
              </a:graphicData>
            </a:graphic>
          </wp:inline>
        </w:drawing>
      </w:r>
    </w:p>
    <w:p w:rsidR="00E562A3" w:rsidRDefault="00E562A3" w:rsidP="00E562A3">
      <w:pPr>
        <w:pStyle w:val="NumbList3"/>
        <w:numPr>
          <w:ilvl w:val="0"/>
          <w:numId w:val="0"/>
        </w:numPr>
        <w:spacing w:after="240"/>
        <w:rPr>
          <w:noProof/>
        </w:rPr>
      </w:pPr>
      <w:r w:rsidRPr="00E562A3">
        <w:rPr>
          <w:noProof/>
          <w:lang w:eastAsia="en-GB"/>
        </w:rPr>
        <w:drawing>
          <wp:inline distT="0" distB="0" distL="0" distR="0">
            <wp:extent cx="5939790" cy="3301291"/>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3301291"/>
                    </a:xfrm>
                    <a:prstGeom prst="rect">
                      <a:avLst/>
                    </a:prstGeom>
                    <a:noFill/>
                    <a:ln>
                      <a:noFill/>
                    </a:ln>
                  </pic:spPr>
                </pic:pic>
              </a:graphicData>
            </a:graphic>
          </wp:inline>
        </w:drawing>
      </w: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r w:rsidRPr="00E562A3">
        <w:rPr>
          <w:noProof/>
          <w:lang w:eastAsia="en-GB"/>
        </w:rPr>
        <w:drawing>
          <wp:inline distT="0" distB="0" distL="0" distR="0">
            <wp:extent cx="5939790" cy="3289534"/>
            <wp:effectExtent l="0" t="0" r="381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3289534"/>
                    </a:xfrm>
                    <a:prstGeom prst="rect">
                      <a:avLst/>
                    </a:prstGeom>
                    <a:noFill/>
                    <a:ln>
                      <a:noFill/>
                    </a:ln>
                  </pic:spPr>
                </pic:pic>
              </a:graphicData>
            </a:graphic>
          </wp:inline>
        </w:drawing>
      </w: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r w:rsidRPr="00E562A3">
        <w:rPr>
          <w:noProof/>
          <w:lang w:eastAsia="en-GB"/>
        </w:rPr>
        <w:drawing>
          <wp:inline distT="0" distB="0" distL="0" distR="0">
            <wp:extent cx="5939790" cy="3310703"/>
            <wp:effectExtent l="0" t="0" r="381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3310703"/>
                    </a:xfrm>
                    <a:prstGeom prst="rect">
                      <a:avLst/>
                    </a:prstGeom>
                    <a:noFill/>
                    <a:ln>
                      <a:noFill/>
                    </a:ln>
                  </pic:spPr>
                </pic:pic>
              </a:graphicData>
            </a:graphic>
          </wp:inline>
        </w:drawing>
      </w: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r w:rsidRPr="00E562A3">
        <w:rPr>
          <w:noProof/>
          <w:lang w:eastAsia="en-GB"/>
        </w:rPr>
        <w:drawing>
          <wp:inline distT="0" distB="0" distL="0" distR="0">
            <wp:extent cx="5939790" cy="3285301"/>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3285301"/>
                    </a:xfrm>
                    <a:prstGeom prst="rect">
                      <a:avLst/>
                    </a:prstGeom>
                    <a:noFill/>
                    <a:ln>
                      <a:noFill/>
                    </a:ln>
                  </pic:spPr>
                </pic:pic>
              </a:graphicData>
            </a:graphic>
          </wp:inline>
        </w:drawing>
      </w: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r w:rsidRPr="00E562A3">
        <w:rPr>
          <w:noProof/>
          <w:lang w:eastAsia="en-GB"/>
        </w:rPr>
        <w:drawing>
          <wp:inline distT="0" distB="0" distL="0" distR="0">
            <wp:extent cx="5939790" cy="3331871"/>
            <wp:effectExtent l="0" t="0" r="381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3331871"/>
                    </a:xfrm>
                    <a:prstGeom prst="rect">
                      <a:avLst/>
                    </a:prstGeom>
                    <a:noFill/>
                    <a:ln>
                      <a:noFill/>
                    </a:ln>
                  </pic:spPr>
                </pic:pic>
              </a:graphicData>
            </a:graphic>
          </wp:inline>
        </w:drawing>
      </w: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r w:rsidRPr="00E562A3">
        <w:rPr>
          <w:noProof/>
          <w:lang w:eastAsia="en-GB"/>
        </w:rPr>
        <w:drawing>
          <wp:inline distT="0" distB="0" distL="0" distR="0">
            <wp:extent cx="5939790" cy="3305512"/>
            <wp:effectExtent l="0" t="0" r="381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3305512"/>
                    </a:xfrm>
                    <a:prstGeom prst="rect">
                      <a:avLst/>
                    </a:prstGeom>
                    <a:noFill/>
                    <a:ln>
                      <a:noFill/>
                    </a:ln>
                  </pic:spPr>
                </pic:pic>
              </a:graphicData>
            </a:graphic>
          </wp:inline>
        </w:drawing>
      </w:r>
    </w:p>
    <w:p w:rsidR="00E562A3" w:rsidRDefault="00E562A3" w:rsidP="00E562A3">
      <w:pPr>
        <w:pStyle w:val="NumbList3"/>
        <w:numPr>
          <w:ilvl w:val="0"/>
          <w:numId w:val="0"/>
        </w:numPr>
        <w:spacing w:after="240"/>
        <w:rPr>
          <w:noProof/>
        </w:rPr>
      </w:pPr>
    </w:p>
    <w:p w:rsidR="00E562A3" w:rsidRDefault="00E562A3" w:rsidP="00E562A3">
      <w:pPr>
        <w:pStyle w:val="NumbList3"/>
        <w:numPr>
          <w:ilvl w:val="0"/>
          <w:numId w:val="0"/>
        </w:numPr>
        <w:spacing w:after="240"/>
        <w:rPr>
          <w:noProof/>
        </w:rPr>
      </w:pPr>
      <w:r w:rsidRPr="00E562A3">
        <w:rPr>
          <w:noProof/>
          <w:lang w:eastAsia="en-GB"/>
        </w:rPr>
        <w:drawing>
          <wp:inline distT="0" distB="0" distL="0" distR="0">
            <wp:extent cx="5939790" cy="3331871"/>
            <wp:effectExtent l="0" t="0" r="381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3331871"/>
                    </a:xfrm>
                    <a:prstGeom prst="rect">
                      <a:avLst/>
                    </a:prstGeom>
                    <a:noFill/>
                    <a:ln>
                      <a:noFill/>
                    </a:ln>
                  </pic:spPr>
                </pic:pic>
              </a:graphicData>
            </a:graphic>
          </wp:inline>
        </w:drawing>
      </w:r>
    </w:p>
    <w:p w:rsidR="00E562A3" w:rsidRPr="00C0492F" w:rsidRDefault="00E562A3" w:rsidP="00E562A3">
      <w:pPr>
        <w:pStyle w:val="NumbList3"/>
        <w:numPr>
          <w:ilvl w:val="0"/>
          <w:numId w:val="0"/>
        </w:numPr>
        <w:spacing w:after="240"/>
        <w:rPr>
          <w:noProof/>
        </w:rPr>
      </w:pPr>
    </w:p>
    <w:sectPr w:rsidR="00E562A3" w:rsidRPr="00C0492F" w:rsidSect="00A8212D">
      <w:type w:val="continuous"/>
      <w:pgSz w:w="11906" w:h="16838" w:code="9"/>
      <w:pgMar w:top="1134" w:right="1276" w:bottom="1134"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3D81" w:rsidRDefault="00593D81">
      <w:r>
        <w:separator/>
      </w:r>
    </w:p>
  </w:endnote>
  <w:endnote w:type="continuationSeparator" w:id="0">
    <w:p w:rsidR="00593D81" w:rsidRDefault="00593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12D" w:rsidRDefault="00A8212D" w:rsidP="00A8212D">
    <w:pPr>
      <w:pStyle w:val="Footer"/>
      <w:jc w:val="center"/>
      <w:rPr>
        <w:sz w:val="22"/>
        <w:szCs w:val="22"/>
      </w:rPr>
    </w:pPr>
  </w:p>
  <w:p w:rsidR="00A8212D" w:rsidRPr="00A8212D" w:rsidRDefault="00A8212D" w:rsidP="00A8212D">
    <w:pPr>
      <w:pStyle w:val="Footer"/>
      <w:jc w:val="center"/>
      <w:rPr>
        <w:sz w:val="22"/>
        <w:szCs w:val="22"/>
      </w:rPr>
    </w:pPr>
    <w:r w:rsidRPr="00AA60E6">
      <w:rPr>
        <w:sz w:val="22"/>
        <w:szCs w:val="22"/>
      </w:rPr>
      <w:t xml:space="preserve">Page </w:t>
    </w:r>
    <w:r w:rsidRPr="00AA60E6">
      <w:rPr>
        <w:sz w:val="22"/>
        <w:szCs w:val="22"/>
      </w:rPr>
      <w:fldChar w:fldCharType="begin"/>
    </w:r>
    <w:r w:rsidRPr="00AA60E6">
      <w:rPr>
        <w:sz w:val="22"/>
        <w:szCs w:val="22"/>
      </w:rPr>
      <w:instrText xml:space="preserve"> PAGE </w:instrText>
    </w:r>
    <w:r w:rsidRPr="00AA60E6">
      <w:rPr>
        <w:sz w:val="22"/>
        <w:szCs w:val="22"/>
      </w:rPr>
      <w:fldChar w:fldCharType="separate"/>
    </w:r>
    <w:r w:rsidR="006E0E88">
      <w:rPr>
        <w:noProof/>
        <w:sz w:val="22"/>
        <w:szCs w:val="22"/>
      </w:rPr>
      <w:t>1</w:t>
    </w:r>
    <w:r w:rsidRPr="00AA60E6">
      <w:rPr>
        <w:sz w:val="22"/>
        <w:szCs w:val="22"/>
      </w:rPr>
      <w:fldChar w:fldCharType="end"/>
    </w:r>
    <w:r w:rsidRPr="00AA60E6">
      <w:rPr>
        <w:sz w:val="22"/>
        <w:szCs w:val="22"/>
      </w:rPr>
      <w:t xml:space="preserve"> of </w:t>
    </w:r>
    <w:r w:rsidRPr="00AA60E6">
      <w:rPr>
        <w:sz w:val="22"/>
        <w:szCs w:val="22"/>
      </w:rPr>
      <w:fldChar w:fldCharType="begin"/>
    </w:r>
    <w:r w:rsidRPr="00AA60E6">
      <w:rPr>
        <w:sz w:val="22"/>
        <w:szCs w:val="22"/>
      </w:rPr>
      <w:instrText xml:space="preserve"> NUMPAGES </w:instrText>
    </w:r>
    <w:r w:rsidRPr="00AA60E6">
      <w:rPr>
        <w:sz w:val="22"/>
        <w:szCs w:val="22"/>
      </w:rPr>
      <w:fldChar w:fldCharType="separate"/>
    </w:r>
    <w:r w:rsidR="006E0E88">
      <w:rPr>
        <w:noProof/>
        <w:sz w:val="22"/>
        <w:szCs w:val="22"/>
      </w:rPr>
      <w:t>10</w:t>
    </w:r>
    <w:r w:rsidRPr="00AA60E6">
      <w:rPr>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92F" w:rsidRDefault="00C0492F" w:rsidP="00AA60E6">
    <w:pPr>
      <w:pStyle w:val="Footer"/>
      <w:jc w:val="center"/>
      <w:rPr>
        <w:sz w:val="22"/>
        <w:szCs w:val="22"/>
      </w:rPr>
    </w:pPr>
  </w:p>
  <w:p w:rsidR="00C0492F" w:rsidRPr="00AA60E6" w:rsidRDefault="00C0492F" w:rsidP="00AA60E6">
    <w:pPr>
      <w:pStyle w:val="Footer"/>
      <w:jc w:val="center"/>
      <w:rPr>
        <w:sz w:val="22"/>
        <w:szCs w:val="22"/>
      </w:rPr>
    </w:pPr>
    <w:r w:rsidRPr="00AA60E6">
      <w:rPr>
        <w:sz w:val="22"/>
        <w:szCs w:val="22"/>
      </w:rPr>
      <w:t xml:space="preserve">Page </w:t>
    </w:r>
    <w:r w:rsidRPr="00AA60E6">
      <w:rPr>
        <w:sz w:val="22"/>
        <w:szCs w:val="22"/>
      </w:rPr>
      <w:fldChar w:fldCharType="begin"/>
    </w:r>
    <w:r w:rsidRPr="00AA60E6">
      <w:rPr>
        <w:sz w:val="22"/>
        <w:szCs w:val="22"/>
      </w:rPr>
      <w:instrText xml:space="preserve"> PAGE </w:instrText>
    </w:r>
    <w:r w:rsidRPr="00AA60E6">
      <w:rPr>
        <w:sz w:val="22"/>
        <w:szCs w:val="22"/>
      </w:rPr>
      <w:fldChar w:fldCharType="separate"/>
    </w:r>
    <w:r w:rsidR="006E0E88">
      <w:rPr>
        <w:noProof/>
        <w:sz w:val="22"/>
        <w:szCs w:val="22"/>
      </w:rPr>
      <w:t>10</w:t>
    </w:r>
    <w:r w:rsidRPr="00AA60E6">
      <w:rPr>
        <w:sz w:val="22"/>
        <w:szCs w:val="22"/>
      </w:rPr>
      <w:fldChar w:fldCharType="end"/>
    </w:r>
    <w:r w:rsidRPr="00AA60E6">
      <w:rPr>
        <w:sz w:val="22"/>
        <w:szCs w:val="22"/>
      </w:rPr>
      <w:t xml:space="preserve"> of </w:t>
    </w:r>
    <w:r w:rsidRPr="00AA60E6">
      <w:rPr>
        <w:sz w:val="22"/>
        <w:szCs w:val="22"/>
      </w:rPr>
      <w:fldChar w:fldCharType="begin"/>
    </w:r>
    <w:r w:rsidRPr="00AA60E6">
      <w:rPr>
        <w:sz w:val="22"/>
        <w:szCs w:val="22"/>
      </w:rPr>
      <w:instrText xml:space="preserve"> NUMPAGES </w:instrText>
    </w:r>
    <w:r w:rsidRPr="00AA60E6">
      <w:rPr>
        <w:sz w:val="22"/>
        <w:szCs w:val="22"/>
      </w:rPr>
      <w:fldChar w:fldCharType="separate"/>
    </w:r>
    <w:r w:rsidR="006E0E88">
      <w:rPr>
        <w:noProof/>
        <w:sz w:val="22"/>
        <w:szCs w:val="22"/>
      </w:rPr>
      <w:t>10</w:t>
    </w:r>
    <w:r w:rsidRPr="00AA60E6">
      <w:rPr>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92F" w:rsidRPr="00AA60E6" w:rsidRDefault="00C0492F" w:rsidP="00D13372">
    <w:pPr>
      <w:pStyle w:val="Footer"/>
      <w:jc w:val="center"/>
      <w:rPr>
        <w:sz w:val="22"/>
        <w:szCs w:val="22"/>
      </w:rPr>
    </w:pPr>
    <w:r w:rsidRPr="00AA60E6">
      <w:rPr>
        <w:sz w:val="22"/>
        <w:szCs w:val="22"/>
      </w:rPr>
      <w:t xml:space="preserve">Page </w:t>
    </w:r>
    <w:r w:rsidRPr="00AA60E6">
      <w:rPr>
        <w:sz w:val="22"/>
        <w:szCs w:val="22"/>
      </w:rPr>
      <w:fldChar w:fldCharType="begin"/>
    </w:r>
    <w:r w:rsidRPr="00AA60E6">
      <w:rPr>
        <w:sz w:val="22"/>
        <w:szCs w:val="22"/>
      </w:rPr>
      <w:instrText xml:space="preserve"> PAGE </w:instrText>
    </w:r>
    <w:r w:rsidRPr="00AA60E6">
      <w:rPr>
        <w:sz w:val="22"/>
        <w:szCs w:val="22"/>
      </w:rPr>
      <w:fldChar w:fldCharType="separate"/>
    </w:r>
    <w:r>
      <w:rPr>
        <w:noProof/>
        <w:sz w:val="22"/>
        <w:szCs w:val="22"/>
      </w:rPr>
      <w:t>1</w:t>
    </w:r>
    <w:r w:rsidRPr="00AA60E6">
      <w:rPr>
        <w:sz w:val="22"/>
        <w:szCs w:val="22"/>
      </w:rPr>
      <w:fldChar w:fldCharType="end"/>
    </w:r>
    <w:r w:rsidRPr="00AA60E6">
      <w:rPr>
        <w:sz w:val="22"/>
        <w:szCs w:val="22"/>
      </w:rPr>
      <w:t xml:space="preserve"> of </w:t>
    </w:r>
    <w:r w:rsidRPr="00AA60E6">
      <w:rPr>
        <w:sz w:val="22"/>
        <w:szCs w:val="22"/>
      </w:rPr>
      <w:fldChar w:fldCharType="begin"/>
    </w:r>
    <w:r w:rsidRPr="00AA60E6">
      <w:rPr>
        <w:sz w:val="22"/>
        <w:szCs w:val="22"/>
      </w:rPr>
      <w:instrText xml:space="preserve"> NUMPAGES </w:instrText>
    </w:r>
    <w:r w:rsidRPr="00AA60E6">
      <w:rPr>
        <w:sz w:val="22"/>
        <w:szCs w:val="22"/>
      </w:rPr>
      <w:fldChar w:fldCharType="separate"/>
    </w:r>
    <w:r>
      <w:rPr>
        <w:noProof/>
        <w:sz w:val="22"/>
        <w:szCs w:val="22"/>
      </w:rPr>
      <w:t>3</w:t>
    </w:r>
    <w:r w:rsidRPr="00AA60E6">
      <w:rPr>
        <w:sz w:val="22"/>
        <w:szCs w:val="22"/>
      </w:rPr>
      <w:fldChar w:fldCharType="end"/>
    </w:r>
  </w:p>
  <w:p w:rsidR="00C0492F" w:rsidRDefault="00C0492F" w:rsidP="00D1337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3D81" w:rsidRDefault="00593D81">
      <w:r>
        <w:separator/>
      </w:r>
    </w:p>
  </w:footnote>
  <w:footnote w:type="continuationSeparator" w:id="0">
    <w:p w:rsidR="00593D81" w:rsidRDefault="00593D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492F" w:rsidRPr="00A8212D" w:rsidRDefault="00C0492F" w:rsidP="00A821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100B9"/>
    <w:multiLevelType w:val="hybridMultilevel"/>
    <w:tmpl w:val="4E0A55D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944BA4"/>
    <w:multiLevelType w:val="hybridMultilevel"/>
    <w:tmpl w:val="4E0A55D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B006BA"/>
    <w:multiLevelType w:val="hybridMultilevel"/>
    <w:tmpl w:val="6E5A11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19051C6"/>
    <w:multiLevelType w:val="hybridMultilevel"/>
    <w:tmpl w:val="4E0A55D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044B50"/>
    <w:multiLevelType w:val="hybridMultilevel"/>
    <w:tmpl w:val="4E0A55D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8015F9"/>
    <w:multiLevelType w:val="hybridMultilevel"/>
    <w:tmpl w:val="29AE7C58"/>
    <w:lvl w:ilvl="0" w:tplc="A730581C">
      <w:start w:val="1"/>
      <w:numFmt w:val="bullet"/>
      <w:pStyle w:val="Bulleted"/>
      <w:lvlText w:val=""/>
      <w:lvlJc w:val="left"/>
      <w:pPr>
        <w:tabs>
          <w:tab w:val="num" w:pos="1077"/>
        </w:tabs>
        <w:ind w:left="1077" w:hanging="397"/>
      </w:pPr>
      <w:rPr>
        <w:rFonts w:ascii="Symbol" w:hAnsi="Symbol" w:hint="default"/>
        <w:color w:val="auto"/>
        <w:sz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2DE0181"/>
    <w:multiLevelType w:val="hybridMultilevel"/>
    <w:tmpl w:val="D6B6C414"/>
    <w:lvl w:ilvl="0" w:tplc="D41A62D0">
      <w:start w:val="1"/>
      <w:numFmt w:val="decimal"/>
      <w:pStyle w:val="NumbList3"/>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22D29E5"/>
    <w:multiLevelType w:val="hybridMultilevel"/>
    <w:tmpl w:val="4E0A55D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6"/>
  </w:num>
  <w:num w:numId="3">
    <w:abstractNumId w:val="2"/>
  </w:num>
  <w:num w:numId="4">
    <w:abstractNumId w:val="0"/>
  </w:num>
  <w:num w:numId="5">
    <w:abstractNumId w:val="7"/>
  </w:num>
  <w:num w:numId="6">
    <w:abstractNumId w:val="4"/>
  </w:num>
  <w:num w:numId="7">
    <w:abstractNumId w:val="3"/>
  </w:num>
  <w:num w:numId="8">
    <w:abstractNumId w:val="1"/>
  </w:num>
  <w:num w:numId="9">
    <w:abstractNumId w:val="6"/>
  </w:num>
  <w:num w:numId="10">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C22"/>
    <w:rsid w:val="000007B4"/>
    <w:rsid w:val="00000F31"/>
    <w:rsid w:val="00001B3C"/>
    <w:rsid w:val="000035D1"/>
    <w:rsid w:val="0000484C"/>
    <w:rsid w:val="00006B4F"/>
    <w:rsid w:val="00006C81"/>
    <w:rsid w:val="00007F2F"/>
    <w:rsid w:val="000127F2"/>
    <w:rsid w:val="000129FE"/>
    <w:rsid w:val="00014B58"/>
    <w:rsid w:val="0001605A"/>
    <w:rsid w:val="00016E9E"/>
    <w:rsid w:val="000172A6"/>
    <w:rsid w:val="00017E73"/>
    <w:rsid w:val="00021C6E"/>
    <w:rsid w:val="00022849"/>
    <w:rsid w:val="000232BD"/>
    <w:rsid w:val="00023A84"/>
    <w:rsid w:val="00024588"/>
    <w:rsid w:val="00024D0E"/>
    <w:rsid w:val="00025C65"/>
    <w:rsid w:val="00026CE5"/>
    <w:rsid w:val="0003039A"/>
    <w:rsid w:val="00030D92"/>
    <w:rsid w:val="00031DE4"/>
    <w:rsid w:val="0003296A"/>
    <w:rsid w:val="00032BE5"/>
    <w:rsid w:val="00032EE9"/>
    <w:rsid w:val="000340B9"/>
    <w:rsid w:val="00035151"/>
    <w:rsid w:val="000351C5"/>
    <w:rsid w:val="00035A87"/>
    <w:rsid w:val="00035B01"/>
    <w:rsid w:val="00037C5B"/>
    <w:rsid w:val="00044468"/>
    <w:rsid w:val="00047123"/>
    <w:rsid w:val="00050A61"/>
    <w:rsid w:val="00050FB5"/>
    <w:rsid w:val="000562DA"/>
    <w:rsid w:val="00057E76"/>
    <w:rsid w:val="000609B3"/>
    <w:rsid w:val="00061F0C"/>
    <w:rsid w:val="000640F3"/>
    <w:rsid w:val="000649BD"/>
    <w:rsid w:val="000651F2"/>
    <w:rsid w:val="000655B3"/>
    <w:rsid w:val="00067B17"/>
    <w:rsid w:val="000708BF"/>
    <w:rsid w:val="00074824"/>
    <w:rsid w:val="0007685A"/>
    <w:rsid w:val="0007715F"/>
    <w:rsid w:val="0007728B"/>
    <w:rsid w:val="00077D61"/>
    <w:rsid w:val="000816CB"/>
    <w:rsid w:val="00081A13"/>
    <w:rsid w:val="00082A0E"/>
    <w:rsid w:val="0008484A"/>
    <w:rsid w:val="00085616"/>
    <w:rsid w:val="00085F5A"/>
    <w:rsid w:val="000860C5"/>
    <w:rsid w:val="00086F1C"/>
    <w:rsid w:val="00092822"/>
    <w:rsid w:val="000952E3"/>
    <w:rsid w:val="000961DD"/>
    <w:rsid w:val="00096D9B"/>
    <w:rsid w:val="00097190"/>
    <w:rsid w:val="000A4F77"/>
    <w:rsid w:val="000A58C0"/>
    <w:rsid w:val="000A5D6C"/>
    <w:rsid w:val="000A68F1"/>
    <w:rsid w:val="000A77CF"/>
    <w:rsid w:val="000A7A2A"/>
    <w:rsid w:val="000A7C91"/>
    <w:rsid w:val="000B0FF6"/>
    <w:rsid w:val="000B3154"/>
    <w:rsid w:val="000B3582"/>
    <w:rsid w:val="000B42D8"/>
    <w:rsid w:val="000B4668"/>
    <w:rsid w:val="000B48BC"/>
    <w:rsid w:val="000B7DB2"/>
    <w:rsid w:val="000B7ECF"/>
    <w:rsid w:val="000C21A3"/>
    <w:rsid w:val="000C4119"/>
    <w:rsid w:val="000C427F"/>
    <w:rsid w:val="000C5166"/>
    <w:rsid w:val="000C5169"/>
    <w:rsid w:val="000C6226"/>
    <w:rsid w:val="000C6736"/>
    <w:rsid w:val="000C711F"/>
    <w:rsid w:val="000C72ED"/>
    <w:rsid w:val="000D0335"/>
    <w:rsid w:val="000D2229"/>
    <w:rsid w:val="000D28AC"/>
    <w:rsid w:val="000D2B69"/>
    <w:rsid w:val="000D2BAC"/>
    <w:rsid w:val="000D34CF"/>
    <w:rsid w:val="000D664C"/>
    <w:rsid w:val="000E01B6"/>
    <w:rsid w:val="000E4379"/>
    <w:rsid w:val="000E4CAB"/>
    <w:rsid w:val="000E6924"/>
    <w:rsid w:val="000F1BFE"/>
    <w:rsid w:val="000F24CB"/>
    <w:rsid w:val="000F38B9"/>
    <w:rsid w:val="000F41F3"/>
    <w:rsid w:val="000F65A2"/>
    <w:rsid w:val="0010048D"/>
    <w:rsid w:val="00100492"/>
    <w:rsid w:val="00100810"/>
    <w:rsid w:val="00101758"/>
    <w:rsid w:val="00103FA4"/>
    <w:rsid w:val="001041C9"/>
    <w:rsid w:val="001053BB"/>
    <w:rsid w:val="00106736"/>
    <w:rsid w:val="0010759D"/>
    <w:rsid w:val="001123A9"/>
    <w:rsid w:val="0011396F"/>
    <w:rsid w:val="0011420E"/>
    <w:rsid w:val="00115CBB"/>
    <w:rsid w:val="00115D0F"/>
    <w:rsid w:val="001160E8"/>
    <w:rsid w:val="001167F8"/>
    <w:rsid w:val="00116860"/>
    <w:rsid w:val="00116F06"/>
    <w:rsid w:val="00120C6E"/>
    <w:rsid w:val="00121537"/>
    <w:rsid w:val="00121710"/>
    <w:rsid w:val="00121C63"/>
    <w:rsid w:val="00124DF5"/>
    <w:rsid w:val="00126B19"/>
    <w:rsid w:val="0012725A"/>
    <w:rsid w:val="00127D18"/>
    <w:rsid w:val="00127ED9"/>
    <w:rsid w:val="00131182"/>
    <w:rsid w:val="00131632"/>
    <w:rsid w:val="001323A9"/>
    <w:rsid w:val="00133CC7"/>
    <w:rsid w:val="00134004"/>
    <w:rsid w:val="00134B54"/>
    <w:rsid w:val="001359B3"/>
    <w:rsid w:val="00136449"/>
    <w:rsid w:val="00136873"/>
    <w:rsid w:val="00136ED5"/>
    <w:rsid w:val="00141BAD"/>
    <w:rsid w:val="00141D9F"/>
    <w:rsid w:val="001430F8"/>
    <w:rsid w:val="00145602"/>
    <w:rsid w:val="00145906"/>
    <w:rsid w:val="00145D73"/>
    <w:rsid w:val="0014714B"/>
    <w:rsid w:val="00151327"/>
    <w:rsid w:val="00153361"/>
    <w:rsid w:val="0015497F"/>
    <w:rsid w:val="00154F7E"/>
    <w:rsid w:val="00160C32"/>
    <w:rsid w:val="001619B4"/>
    <w:rsid w:val="00164527"/>
    <w:rsid w:val="001666C0"/>
    <w:rsid w:val="0016715E"/>
    <w:rsid w:val="00167E80"/>
    <w:rsid w:val="00171207"/>
    <w:rsid w:val="00171B3F"/>
    <w:rsid w:val="00172383"/>
    <w:rsid w:val="00175029"/>
    <w:rsid w:val="0017517B"/>
    <w:rsid w:val="00176705"/>
    <w:rsid w:val="00181604"/>
    <w:rsid w:val="00181851"/>
    <w:rsid w:val="0018191C"/>
    <w:rsid w:val="0018427B"/>
    <w:rsid w:val="001846AE"/>
    <w:rsid w:val="00186320"/>
    <w:rsid w:val="00186B3F"/>
    <w:rsid w:val="00187579"/>
    <w:rsid w:val="00187C47"/>
    <w:rsid w:val="00187FB1"/>
    <w:rsid w:val="00190BF5"/>
    <w:rsid w:val="00191D89"/>
    <w:rsid w:val="0019293A"/>
    <w:rsid w:val="0019306B"/>
    <w:rsid w:val="00196CAA"/>
    <w:rsid w:val="001A013D"/>
    <w:rsid w:val="001A05AD"/>
    <w:rsid w:val="001A0754"/>
    <w:rsid w:val="001A07A4"/>
    <w:rsid w:val="001A0CB3"/>
    <w:rsid w:val="001A4AC0"/>
    <w:rsid w:val="001A4D55"/>
    <w:rsid w:val="001A7C3E"/>
    <w:rsid w:val="001B2635"/>
    <w:rsid w:val="001B2E8F"/>
    <w:rsid w:val="001B4A01"/>
    <w:rsid w:val="001B4C05"/>
    <w:rsid w:val="001B7629"/>
    <w:rsid w:val="001C2A15"/>
    <w:rsid w:val="001C38A3"/>
    <w:rsid w:val="001C474C"/>
    <w:rsid w:val="001C5581"/>
    <w:rsid w:val="001C5FD5"/>
    <w:rsid w:val="001C6A87"/>
    <w:rsid w:val="001D0EF3"/>
    <w:rsid w:val="001D21F4"/>
    <w:rsid w:val="001D391E"/>
    <w:rsid w:val="001D3CCE"/>
    <w:rsid w:val="001D555B"/>
    <w:rsid w:val="001D58E7"/>
    <w:rsid w:val="001D6166"/>
    <w:rsid w:val="001D63B7"/>
    <w:rsid w:val="001D66D7"/>
    <w:rsid w:val="001E0EA4"/>
    <w:rsid w:val="001E1D30"/>
    <w:rsid w:val="001E3211"/>
    <w:rsid w:val="001E608C"/>
    <w:rsid w:val="001E6FA7"/>
    <w:rsid w:val="001E71C9"/>
    <w:rsid w:val="001E76E0"/>
    <w:rsid w:val="001E7C2B"/>
    <w:rsid w:val="001F133E"/>
    <w:rsid w:val="001F1937"/>
    <w:rsid w:val="001F2550"/>
    <w:rsid w:val="001F38C8"/>
    <w:rsid w:val="001F44D5"/>
    <w:rsid w:val="001F4842"/>
    <w:rsid w:val="001F4941"/>
    <w:rsid w:val="001F61D1"/>
    <w:rsid w:val="001F6ACB"/>
    <w:rsid w:val="001F7EE7"/>
    <w:rsid w:val="0020041F"/>
    <w:rsid w:val="00200C8D"/>
    <w:rsid w:val="00203EB0"/>
    <w:rsid w:val="0020595C"/>
    <w:rsid w:val="00205FB6"/>
    <w:rsid w:val="00211179"/>
    <w:rsid w:val="00211330"/>
    <w:rsid w:val="0021368E"/>
    <w:rsid w:val="0021521F"/>
    <w:rsid w:val="002156C7"/>
    <w:rsid w:val="00216527"/>
    <w:rsid w:val="002175AC"/>
    <w:rsid w:val="00217E03"/>
    <w:rsid w:val="002203A9"/>
    <w:rsid w:val="002207C3"/>
    <w:rsid w:val="00221F30"/>
    <w:rsid w:val="00223C26"/>
    <w:rsid w:val="00223D52"/>
    <w:rsid w:val="00224260"/>
    <w:rsid w:val="0022498A"/>
    <w:rsid w:val="002249D3"/>
    <w:rsid w:val="00224A46"/>
    <w:rsid w:val="00224A56"/>
    <w:rsid w:val="002255B8"/>
    <w:rsid w:val="002265B5"/>
    <w:rsid w:val="00226E73"/>
    <w:rsid w:val="002273BB"/>
    <w:rsid w:val="00227A04"/>
    <w:rsid w:val="00230EFC"/>
    <w:rsid w:val="00231574"/>
    <w:rsid w:val="002320AB"/>
    <w:rsid w:val="002332EC"/>
    <w:rsid w:val="002354A2"/>
    <w:rsid w:val="00235DF6"/>
    <w:rsid w:val="00241168"/>
    <w:rsid w:val="002414C2"/>
    <w:rsid w:val="00241F9B"/>
    <w:rsid w:val="00242BDE"/>
    <w:rsid w:val="00243CF7"/>
    <w:rsid w:val="002467FB"/>
    <w:rsid w:val="00246DBB"/>
    <w:rsid w:val="00246DE0"/>
    <w:rsid w:val="00247326"/>
    <w:rsid w:val="00247A49"/>
    <w:rsid w:val="002507E2"/>
    <w:rsid w:val="002515E4"/>
    <w:rsid w:val="00251B83"/>
    <w:rsid w:val="00251EC5"/>
    <w:rsid w:val="00252076"/>
    <w:rsid w:val="0025315B"/>
    <w:rsid w:val="00254127"/>
    <w:rsid w:val="00256991"/>
    <w:rsid w:val="0026017D"/>
    <w:rsid w:val="002604C2"/>
    <w:rsid w:val="0026099E"/>
    <w:rsid w:val="00260C5B"/>
    <w:rsid w:val="00261662"/>
    <w:rsid w:val="0026264D"/>
    <w:rsid w:val="00263B8A"/>
    <w:rsid w:val="00263D8D"/>
    <w:rsid w:val="002661B8"/>
    <w:rsid w:val="00266A44"/>
    <w:rsid w:val="00270F11"/>
    <w:rsid w:val="0027171A"/>
    <w:rsid w:val="00272039"/>
    <w:rsid w:val="002746DA"/>
    <w:rsid w:val="00274BF2"/>
    <w:rsid w:val="00276428"/>
    <w:rsid w:val="002764BA"/>
    <w:rsid w:val="002766D2"/>
    <w:rsid w:val="0028061A"/>
    <w:rsid w:val="00280A2B"/>
    <w:rsid w:val="00280D92"/>
    <w:rsid w:val="00280DCB"/>
    <w:rsid w:val="00281A3E"/>
    <w:rsid w:val="00281EF4"/>
    <w:rsid w:val="00283429"/>
    <w:rsid w:val="00283D27"/>
    <w:rsid w:val="00283D6E"/>
    <w:rsid w:val="002844D3"/>
    <w:rsid w:val="00285409"/>
    <w:rsid w:val="00285B53"/>
    <w:rsid w:val="00286926"/>
    <w:rsid w:val="0028722A"/>
    <w:rsid w:val="00287AF0"/>
    <w:rsid w:val="0029107F"/>
    <w:rsid w:val="002911D7"/>
    <w:rsid w:val="002919BB"/>
    <w:rsid w:val="00292719"/>
    <w:rsid w:val="00293E36"/>
    <w:rsid w:val="002A0622"/>
    <w:rsid w:val="002A10AF"/>
    <w:rsid w:val="002A4CFC"/>
    <w:rsid w:val="002A567E"/>
    <w:rsid w:val="002A5BC9"/>
    <w:rsid w:val="002A6854"/>
    <w:rsid w:val="002A7357"/>
    <w:rsid w:val="002A78AE"/>
    <w:rsid w:val="002B14D7"/>
    <w:rsid w:val="002B14DD"/>
    <w:rsid w:val="002B2C36"/>
    <w:rsid w:val="002B3411"/>
    <w:rsid w:val="002B61FB"/>
    <w:rsid w:val="002B631D"/>
    <w:rsid w:val="002B67B3"/>
    <w:rsid w:val="002B7F25"/>
    <w:rsid w:val="002C0FAA"/>
    <w:rsid w:val="002C1247"/>
    <w:rsid w:val="002C30F2"/>
    <w:rsid w:val="002C3628"/>
    <w:rsid w:val="002C3DAB"/>
    <w:rsid w:val="002C4FDD"/>
    <w:rsid w:val="002C5DFB"/>
    <w:rsid w:val="002C6728"/>
    <w:rsid w:val="002C7BB1"/>
    <w:rsid w:val="002D1648"/>
    <w:rsid w:val="002D24A7"/>
    <w:rsid w:val="002D2AAD"/>
    <w:rsid w:val="002D4ACF"/>
    <w:rsid w:val="002D560C"/>
    <w:rsid w:val="002D678D"/>
    <w:rsid w:val="002D6A56"/>
    <w:rsid w:val="002D700B"/>
    <w:rsid w:val="002E08E8"/>
    <w:rsid w:val="002E10B1"/>
    <w:rsid w:val="002E2693"/>
    <w:rsid w:val="002E36F8"/>
    <w:rsid w:val="002E49EB"/>
    <w:rsid w:val="002E4C9F"/>
    <w:rsid w:val="002E4FF7"/>
    <w:rsid w:val="002E6D94"/>
    <w:rsid w:val="002E7974"/>
    <w:rsid w:val="002E7B4A"/>
    <w:rsid w:val="002F0392"/>
    <w:rsid w:val="002F0617"/>
    <w:rsid w:val="002F120B"/>
    <w:rsid w:val="002F1805"/>
    <w:rsid w:val="002F19E9"/>
    <w:rsid w:val="002F24E3"/>
    <w:rsid w:val="002F45F7"/>
    <w:rsid w:val="002F634D"/>
    <w:rsid w:val="002F6550"/>
    <w:rsid w:val="00303742"/>
    <w:rsid w:val="00304F86"/>
    <w:rsid w:val="00307E2F"/>
    <w:rsid w:val="00310FB4"/>
    <w:rsid w:val="00311DE8"/>
    <w:rsid w:val="0031264D"/>
    <w:rsid w:val="00313226"/>
    <w:rsid w:val="00313AC9"/>
    <w:rsid w:val="00320AFF"/>
    <w:rsid w:val="003213BF"/>
    <w:rsid w:val="00321BED"/>
    <w:rsid w:val="00322997"/>
    <w:rsid w:val="00322E3E"/>
    <w:rsid w:val="003242F3"/>
    <w:rsid w:val="00324549"/>
    <w:rsid w:val="003247B7"/>
    <w:rsid w:val="003247D0"/>
    <w:rsid w:val="00325B97"/>
    <w:rsid w:val="00326EE8"/>
    <w:rsid w:val="00327063"/>
    <w:rsid w:val="0032754E"/>
    <w:rsid w:val="00330F33"/>
    <w:rsid w:val="003321FF"/>
    <w:rsid w:val="003372DC"/>
    <w:rsid w:val="0033767C"/>
    <w:rsid w:val="00337BFE"/>
    <w:rsid w:val="00337E0A"/>
    <w:rsid w:val="00345B4F"/>
    <w:rsid w:val="00347FCD"/>
    <w:rsid w:val="00350420"/>
    <w:rsid w:val="00350E86"/>
    <w:rsid w:val="00351CEC"/>
    <w:rsid w:val="0035223F"/>
    <w:rsid w:val="003528A1"/>
    <w:rsid w:val="00353461"/>
    <w:rsid w:val="00354DCE"/>
    <w:rsid w:val="00356339"/>
    <w:rsid w:val="00356C2D"/>
    <w:rsid w:val="003606A2"/>
    <w:rsid w:val="00360A3A"/>
    <w:rsid w:val="0036149C"/>
    <w:rsid w:val="00364850"/>
    <w:rsid w:val="003650E4"/>
    <w:rsid w:val="00365FBE"/>
    <w:rsid w:val="003660C3"/>
    <w:rsid w:val="00367B21"/>
    <w:rsid w:val="003703D3"/>
    <w:rsid w:val="00371DD3"/>
    <w:rsid w:val="003724D0"/>
    <w:rsid w:val="003727BC"/>
    <w:rsid w:val="0037618E"/>
    <w:rsid w:val="00380585"/>
    <w:rsid w:val="00380A82"/>
    <w:rsid w:val="00380FE4"/>
    <w:rsid w:val="00382B0F"/>
    <w:rsid w:val="0039069F"/>
    <w:rsid w:val="00391893"/>
    <w:rsid w:val="0039269C"/>
    <w:rsid w:val="00392E6F"/>
    <w:rsid w:val="003935F3"/>
    <w:rsid w:val="003947DD"/>
    <w:rsid w:val="00396119"/>
    <w:rsid w:val="00397073"/>
    <w:rsid w:val="003974D8"/>
    <w:rsid w:val="003A00B9"/>
    <w:rsid w:val="003A1BF7"/>
    <w:rsid w:val="003A2929"/>
    <w:rsid w:val="003A46D1"/>
    <w:rsid w:val="003A5A2F"/>
    <w:rsid w:val="003A6392"/>
    <w:rsid w:val="003A689D"/>
    <w:rsid w:val="003A7548"/>
    <w:rsid w:val="003A7A3F"/>
    <w:rsid w:val="003A7E58"/>
    <w:rsid w:val="003A7F21"/>
    <w:rsid w:val="003B0B0C"/>
    <w:rsid w:val="003B0ED4"/>
    <w:rsid w:val="003B12E2"/>
    <w:rsid w:val="003B415C"/>
    <w:rsid w:val="003B4C60"/>
    <w:rsid w:val="003B7070"/>
    <w:rsid w:val="003B7201"/>
    <w:rsid w:val="003B73DA"/>
    <w:rsid w:val="003C03B5"/>
    <w:rsid w:val="003C06ED"/>
    <w:rsid w:val="003C07C3"/>
    <w:rsid w:val="003C1A2C"/>
    <w:rsid w:val="003C33C4"/>
    <w:rsid w:val="003C603E"/>
    <w:rsid w:val="003C62FF"/>
    <w:rsid w:val="003C6904"/>
    <w:rsid w:val="003D0A75"/>
    <w:rsid w:val="003D22D1"/>
    <w:rsid w:val="003D3327"/>
    <w:rsid w:val="003D3504"/>
    <w:rsid w:val="003D50B8"/>
    <w:rsid w:val="003D5E8A"/>
    <w:rsid w:val="003E0237"/>
    <w:rsid w:val="003E23C5"/>
    <w:rsid w:val="003E2B63"/>
    <w:rsid w:val="003E3748"/>
    <w:rsid w:val="003E4DCE"/>
    <w:rsid w:val="003E5BB2"/>
    <w:rsid w:val="003E621F"/>
    <w:rsid w:val="003E707F"/>
    <w:rsid w:val="003E773C"/>
    <w:rsid w:val="003E7E2F"/>
    <w:rsid w:val="003F1243"/>
    <w:rsid w:val="003F15B7"/>
    <w:rsid w:val="003F3081"/>
    <w:rsid w:val="003F40D7"/>
    <w:rsid w:val="003F4A6B"/>
    <w:rsid w:val="003F4C81"/>
    <w:rsid w:val="003F60A0"/>
    <w:rsid w:val="003F684E"/>
    <w:rsid w:val="003F6C0F"/>
    <w:rsid w:val="004003A2"/>
    <w:rsid w:val="00400510"/>
    <w:rsid w:val="00404002"/>
    <w:rsid w:val="00405469"/>
    <w:rsid w:val="00406B88"/>
    <w:rsid w:val="00406CE1"/>
    <w:rsid w:val="00407528"/>
    <w:rsid w:val="00410923"/>
    <w:rsid w:val="0041116E"/>
    <w:rsid w:val="0041154E"/>
    <w:rsid w:val="00411F90"/>
    <w:rsid w:val="00413B48"/>
    <w:rsid w:val="00414FE6"/>
    <w:rsid w:val="00416883"/>
    <w:rsid w:val="00420BDF"/>
    <w:rsid w:val="00420F52"/>
    <w:rsid w:val="00421629"/>
    <w:rsid w:val="00422E5F"/>
    <w:rsid w:val="004239D4"/>
    <w:rsid w:val="004261E7"/>
    <w:rsid w:val="00426266"/>
    <w:rsid w:val="00432D1D"/>
    <w:rsid w:val="00433283"/>
    <w:rsid w:val="00433768"/>
    <w:rsid w:val="00433AFA"/>
    <w:rsid w:val="00433D68"/>
    <w:rsid w:val="004340FE"/>
    <w:rsid w:val="0043708D"/>
    <w:rsid w:val="004401FD"/>
    <w:rsid w:val="00440CFC"/>
    <w:rsid w:val="0044109C"/>
    <w:rsid w:val="0044279D"/>
    <w:rsid w:val="004438D2"/>
    <w:rsid w:val="00445032"/>
    <w:rsid w:val="00446BE6"/>
    <w:rsid w:val="00447ECF"/>
    <w:rsid w:val="004521A1"/>
    <w:rsid w:val="0045506D"/>
    <w:rsid w:val="004576F0"/>
    <w:rsid w:val="00457FF3"/>
    <w:rsid w:val="00460210"/>
    <w:rsid w:val="00463C77"/>
    <w:rsid w:val="00464B78"/>
    <w:rsid w:val="00464C3C"/>
    <w:rsid w:val="00465BBB"/>
    <w:rsid w:val="00466B4D"/>
    <w:rsid w:val="00466D89"/>
    <w:rsid w:val="00467072"/>
    <w:rsid w:val="00467CDC"/>
    <w:rsid w:val="00471E19"/>
    <w:rsid w:val="00473409"/>
    <w:rsid w:val="00473927"/>
    <w:rsid w:val="00474F6A"/>
    <w:rsid w:val="00475CA4"/>
    <w:rsid w:val="00476300"/>
    <w:rsid w:val="00480728"/>
    <w:rsid w:val="00480C49"/>
    <w:rsid w:val="004819E5"/>
    <w:rsid w:val="0048282B"/>
    <w:rsid w:val="004830B5"/>
    <w:rsid w:val="00484012"/>
    <w:rsid w:val="00485D14"/>
    <w:rsid w:val="0048662A"/>
    <w:rsid w:val="00486EEC"/>
    <w:rsid w:val="00487199"/>
    <w:rsid w:val="004914B7"/>
    <w:rsid w:val="00491C6B"/>
    <w:rsid w:val="004944C6"/>
    <w:rsid w:val="00495F79"/>
    <w:rsid w:val="00496384"/>
    <w:rsid w:val="00496C27"/>
    <w:rsid w:val="00497525"/>
    <w:rsid w:val="004A0F5A"/>
    <w:rsid w:val="004A11EB"/>
    <w:rsid w:val="004A31F7"/>
    <w:rsid w:val="004A323C"/>
    <w:rsid w:val="004A62B2"/>
    <w:rsid w:val="004B0C8C"/>
    <w:rsid w:val="004B2041"/>
    <w:rsid w:val="004B28AE"/>
    <w:rsid w:val="004B3393"/>
    <w:rsid w:val="004B357C"/>
    <w:rsid w:val="004B37E1"/>
    <w:rsid w:val="004B4F48"/>
    <w:rsid w:val="004B6551"/>
    <w:rsid w:val="004B6BFF"/>
    <w:rsid w:val="004C0ACD"/>
    <w:rsid w:val="004C0BB5"/>
    <w:rsid w:val="004C1069"/>
    <w:rsid w:val="004C1952"/>
    <w:rsid w:val="004C35FD"/>
    <w:rsid w:val="004C3CA7"/>
    <w:rsid w:val="004C4D69"/>
    <w:rsid w:val="004C543A"/>
    <w:rsid w:val="004C60E0"/>
    <w:rsid w:val="004C6240"/>
    <w:rsid w:val="004C6AD5"/>
    <w:rsid w:val="004C7546"/>
    <w:rsid w:val="004D03B6"/>
    <w:rsid w:val="004D186D"/>
    <w:rsid w:val="004D26F4"/>
    <w:rsid w:val="004D2B1A"/>
    <w:rsid w:val="004D3FBF"/>
    <w:rsid w:val="004D43FF"/>
    <w:rsid w:val="004D5048"/>
    <w:rsid w:val="004D549F"/>
    <w:rsid w:val="004D6709"/>
    <w:rsid w:val="004D69B7"/>
    <w:rsid w:val="004D70D3"/>
    <w:rsid w:val="004D740F"/>
    <w:rsid w:val="004D742A"/>
    <w:rsid w:val="004D7F3F"/>
    <w:rsid w:val="004E1391"/>
    <w:rsid w:val="004E2135"/>
    <w:rsid w:val="004E26BD"/>
    <w:rsid w:val="004E3DAC"/>
    <w:rsid w:val="004E5CAD"/>
    <w:rsid w:val="004E60A8"/>
    <w:rsid w:val="004F012F"/>
    <w:rsid w:val="004F02E8"/>
    <w:rsid w:val="004F0997"/>
    <w:rsid w:val="004F155F"/>
    <w:rsid w:val="004F19B9"/>
    <w:rsid w:val="004F23CA"/>
    <w:rsid w:val="004F2C41"/>
    <w:rsid w:val="004F3663"/>
    <w:rsid w:val="004F3A47"/>
    <w:rsid w:val="004F550C"/>
    <w:rsid w:val="004F5CE4"/>
    <w:rsid w:val="004F7179"/>
    <w:rsid w:val="00500754"/>
    <w:rsid w:val="00502356"/>
    <w:rsid w:val="0050277E"/>
    <w:rsid w:val="00502ADB"/>
    <w:rsid w:val="00503D85"/>
    <w:rsid w:val="00505420"/>
    <w:rsid w:val="005063F1"/>
    <w:rsid w:val="0050677A"/>
    <w:rsid w:val="005103A0"/>
    <w:rsid w:val="00510C59"/>
    <w:rsid w:val="00511043"/>
    <w:rsid w:val="005131D1"/>
    <w:rsid w:val="0051689E"/>
    <w:rsid w:val="00517DE4"/>
    <w:rsid w:val="00520A8B"/>
    <w:rsid w:val="00521BBE"/>
    <w:rsid w:val="0052597D"/>
    <w:rsid w:val="00526681"/>
    <w:rsid w:val="00531668"/>
    <w:rsid w:val="00534B30"/>
    <w:rsid w:val="005357B0"/>
    <w:rsid w:val="00535F5C"/>
    <w:rsid w:val="0054113A"/>
    <w:rsid w:val="00543DC6"/>
    <w:rsid w:val="005461F6"/>
    <w:rsid w:val="00550384"/>
    <w:rsid w:val="005509FE"/>
    <w:rsid w:val="005525B4"/>
    <w:rsid w:val="0055273B"/>
    <w:rsid w:val="00552EF2"/>
    <w:rsid w:val="00552FA4"/>
    <w:rsid w:val="00555BA5"/>
    <w:rsid w:val="00562129"/>
    <w:rsid w:val="005647DD"/>
    <w:rsid w:val="00567022"/>
    <w:rsid w:val="00567AB8"/>
    <w:rsid w:val="0057017A"/>
    <w:rsid w:val="005702DA"/>
    <w:rsid w:val="00570A03"/>
    <w:rsid w:val="00570C22"/>
    <w:rsid w:val="00572BD4"/>
    <w:rsid w:val="00572EA4"/>
    <w:rsid w:val="005754AF"/>
    <w:rsid w:val="005761F4"/>
    <w:rsid w:val="00576820"/>
    <w:rsid w:val="0057749B"/>
    <w:rsid w:val="00577918"/>
    <w:rsid w:val="00577E0B"/>
    <w:rsid w:val="00580692"/>
    <w:rsid w:val="00582203"/>
    <w:rsid w:val="0058237F"/>
    <w:rsid w:val="00582538"/>
    <w:rsid w:val="005825D2"/>
    <w:rsid w:val="0058284E"/>
    <w:rsid w:val="005849EB"/>
    <w:rsid w:val="00586041"/>
    <w:rsid w:val="00587957"/>
    <w:rsid w:val="00591204"/>
    <w:rsid w:val="00591805"/>
    <w:rsid w:val="00591CBC"/>
    <w:rsid w:val="00592A99"/>
    <w:rsid w:val="00593B2A"/>
    <w:rsid w:val="00593D81"/>
    <w:rsid w:val="00595416"/>
    <w:rsid w:val="00595954"/>
    <w:rsid w:val="005A186C"/>
    <w:rsid w:val="005A2872"/>
    <w:rsid w:val="005A433F"/>
    <w:rsid w:val="005A4EA0"/>
    <w:rsid w:val="005A53DB"/>
    <w:rsid w:val="005A6FFA"/>
    <w:rsid w:val="005A7917"/>
    <w:rsid w:val="005B0195"/>
    <w:rsid w:val="005B0353"/>
    <w:rsid w:val="005B0A84"/>
    <w:rsid w:val="005B3085"/>
    <w:rsid w:val="005B55EA"/>
    <w:rsid w:val="005B6366"/>
    <w:rsid w:val="005B7713"/>
    <w:rsid w:val="005C1EC5"/>
    <w:rsid w:val="005C23A4"/>
    <w:rsid w:val="005C324B"/>
    <w:rsid w:val="005C3712"/>
    <w:rsid w:val="005C488E"/>
    <w:rsid w:val="005C6BA6"/>
    <w:rsid w:val="005D0C3D"/>
    <w:rsid w:val="005D1589"/>
    <w:rsid w:val="005D1595"/>
    <w:rsid w:val="005D1D2F"/>
    <w:rsid w:val="005D41E9"/>
    <w:rsid w:val="005D74B8"/>
    <w:rsid w:val="005E0DB3"/>
    <w:rsid w:val="005E1ABF"/>
    <w:rsid w:val="005E317F"/>
    <w:rsid w:val="005E360D"/>
    <w:rsid w:val="005E41B0"/>
    <w:rsid w:val="005E539D"/>
    <w:rsid w:val="005E5B4A"/>
    <w:rsid w:val="005F06DF"/>
    <w:rsid w:val="005F0721"/>
    <w:rsid w:val="005F1929"/>
    <w:rsid w:val="005F4245"/>
    <w:rsid w:val="005F50B7"/>
    <w:rsid w:val="005F64B4"/>
    <w:rsid w:val="005F6D3C"/>
    <w:rsid w:val="005F7DDE"/>
    <w:rsid w:val="0060091C"/>
    <w:rsid w:val="00600FC8"/>
    <w:rsid w:val="006013F6"/>
    <w:rsid w:val="00602FFF"/>
    <w:rsid w:val="00604664"/>
    <w:rsid w:val="0060473C"/>
    <w:rsid w:val="006071D7"/>
    <w:rsid w:val="00612012"/>
    <w:rsid w:val="00613206"/>
    <w:rsid w:val="006138CD"/>
    <w:rsid w:val="0061459E"/>
    <w:rsid w:val="0061598E"/>
    <w:rsid w:val="006167A7"/>
    <w:rsid w:val="006236EB"/>
    <w:rsid w:val="00626166"/>
    <w:rsid w:val="006265EC"/>
    <w:rsid w:val="006275AD"/>
    <w:rsid w:val="00632B60"/>
    <w:rsid w:val="00633C11"/>
    <w:rsid w:val="00635565"/>
    <w:rsid w:val="00635E10"/>
    <w:rsid w:val="00640EA5"/>
    <w:rsid w:val="006422FE"/>
    <w:rsid w:val="00642EC1"/>
    <w:rsid w:val="006441AB"/>
    <w:rsid w:val="0064446C"/>
    <w:rsid w:val="006447C3"/>
    <w:rsid w:val="006447E3"/>
    <w:rsid w:val="00646A4B"/>
    <w:rsid w:val="006470F5"/>
    <w:rsid w:val="00647A05"/>
    <w:rsid w:val="0065014B"/>
    <w:rsid w:val="00651C98"/>
    <w:rsid w:val="00651F0E"/>
    <w:rsid w:val="00652929"/>
    <w:rsid w:val="00653E4C"/>
    <w:rsid w:val="00654841"/>
    <w:rsid w:val="00655B3C"/>
    <w:rsid w:val="00655EF3"/>
    <w:rsid w:val="00665ED6"/>
    <w:rsid w:val="0066631D"/>
    <w:rsid w:val="00666D7B"/>
    <w:rsid w:val="0066769F"/>
    <w:rsid w:val="0067032E"/>
    <w:rsid w:val="00670BC3"/>
    <w:rsid w:val="006713F8"/>
    <w:rsid w:val="006729AD"/>
    <w:rsid w:val="00674926"/>
    <w:rsid w:val="00675946"/>
    <w:rsid w:val="006759F4"/>
    <w:rsid w:val="00675C98"/>
    <w:rsid w:val="00675E9D"/>
    <w:rsid w:val="0067624F"/>
    <w:rsid w:val="0067750B"/>
    <w:rsid w:val="0068042F"/>
    <w:rsid w:val="006839B0"/>
    <w:rsid w:val="00683BFD"/>
    <w:rsid w:val="006845B4"/>
    <w:rsid w:val="00684D13"/>
    <w:rsid w:val="00685071"/>
    <w:rsid w:val="00686715"/>
    <w:rsid w:val="00686DAE"/>
    <w:rsid w:val="006914DC"/>
    <w:rsid w:val="00691A70"/>
    <w:rsid w:val="00692E79"/>
    <w:rsid w:val="00693ABE"/>
    <w:rsid w:val="00693C95"/>
    <w:rsid w:val="00693D23"/>
    <w:rsid w:val="006A0DC2"/>
    <w:rsid w:val="006A10FC"/>
    <w:rsid w:val="006A2B71"/>
    <w:rsid w:val="006A3E36"/>
    <w:rsid w:val="006A4DED"/>
    <w:rsid w:val="006A5076"/>
    <w:rsid w:val="006A54CE"/>
    <w:rsid w:val="006A7058"/>
    <w:rsid w:val="006A7F0D"/>
    <w:rsid w:val="006B0A82"/>
    <w:rsid w:val="006B0C26"/>
    <w:rsid w:val="006B2378"/>
    <w:rsid w:val="006B27CC"/>
    <w:rsid w:val="006B2D2F"/>
    <w:rsid w:val="006B2F88"/>
    <w:rsid w:val="006B328C"/>
    <w:rsid w:val="006B41B0"/>
    <w:rsid w:val="006B4381"/>
    <w:rsid w:val="006B4E92"/>
    <w:rsid w:val="006B5B17"/>
    <w:rsid w:val="006B6514"/>
    <w:rsid w:val="006B682F"/>
    <w:rsid w:val="006B6DAD"/>
    <w:rsid w:val="006C0AF4"/>
    <w:rsid w:val="006C2B32"/>
    <w:rsid w:val="006C312B"/>
    <w:rsid w:val="006C32F8"/>
    <w:rsid w:val="006C3A34"/>
    <w:rsid w:val="006C4A58"/>
    <w:rsid w:val="006C797E"/>
    <w:rsid w:val="006C7C78"/>
    <w:rsid w:val="006C7D76"/>
    <w:rsid w:val="006D1066"/>
    <w:rsid w:val="006D1EC8"/>
    <w:rsid w:val="006D351B"/>
    <w:rsid w:val="006D430F"/>
    <w:rsid w:val="006D50F9"/>
    <w:rsid w:val="006D6C74"/>
    <w:rsid w:val="006E03CA"/>
    <w:rsid w:val="006E096D"/>
    <w:rsid w:val="006E0BE4"/>
    <w:rsid w:val="006E0E88"/>
    <w:rsid w:val="006E16C8"/>
    <w:rsid w:val="006E373F"/>
    <w:rsid w:val="006E3CFA"/>
    <w:rsid w:val="006E5213"/>
    <w:rsid w:val="006E6970"/>
    <w:rsid w:val="006E69AD"/>
    <w:rsid w:val="006E6C13"/>
    <w:rsid w:val="006F02AA"/>
    <w:rsid w:val="006F0BC2"/>
    <w:rsid w:val="006F1131"/>
    <w:rsid w:val="006F2CEC"/>
    <w:rsid w:val="006F338E"/>
    <w:rsid w:val="006F4997"/>
    <w:rsid w:val="006F500D"/>
    <w:rsid w:val="006F5409"/>
    <w:rsid w:val="006F5426"/>
    <w:rsid w:val="006F5675"/>
    <w:rsid w:val="006F5BE0"/>
    <w:rsid w:val="006F5EDC"/>
    <w:rsid w:val="006F720E"/>
    <w:rsid w:val="007000D1"/>
    <w:rsid w:val="007002F5"/>
    <w:rsid w:val="00700EF6"/>
    <w:rsid w:val="0070298A"/>
    <w:rsid w:val="00702E2C"/>
    <w:rsid w:val="007033A1"/>
    <w:rsid w:val="007035DA"/>
    <w:rsid w:val="0070471E"/>
    <w:rsid w:val="00705955"/>
    <w:rsid w:val="00705BE5"/>
    <w:rsid w:val="00705C52"/>
    <w:rsid w:val="00705D84"/>
    <w:rsid w:val="007071D4"/>
    <w:rsid w:val="007103E9"/>
    <w:rsid w:val="00710504"/>
    <w:rsid w:val="00711923"/>
    <w:rsid w:val="00712517"/>
    <w:rsid w:val="00712BE5"/>
    <w:rsid w:val="007164EB"/>
    <w:rsid w:val="0072089A"/>
    <w:rsid w:val="007209AB"/>
    <w:rsid w:val="00720A8A"/>
    <w:rsid w:val="00721519"/>
    <w:rsid w:val="00722516"/>
    <w:rsid w:val="00722BA5"/>
    <w:rsid w:val="00723498"/>
    <w:rsid w:val="00725D49"/>
    <w:rsid w:val="00725F20"/>
    <w:rsid w:val="00730BA7"/>
    <w:rsid w:val="00730CA1"/>
    <w:rsid w:val="00732032"/>
    <w:rsid w:val="007321AE"/>
    <w:rsid w:val="00733585"/>
    <w:rsid w:val="007336BA"/>
    <w:rsid w:val="00734943"/>
    <w:rsid w:val="00734C70"/>
    <w:rsid w:val="00735A3D"/>
    <w:rsid w:val="007367D7"/>
    <w:rsid w:val="00737A86"/>
    <w:rsid w:val="00741C13"/>
    <w:rsid w:val="007420A0"/>
    <w:rsid w:val="00743170"/>
    <w:rsid w:val="00744B34"/>
    <w:rsid w:val="00745276"/>
    <w:rsid w:val="007452B2"/>
    <w:rsid w:val="007457CA"/>
    <w:rsid w:val="00745AB8"/>
    <w:rsid w:val="00747F33"/>
    <w:rsid w:val="00750E84"/>
    <w:rsid w:val="00751B64"/>
    <w:rsid w:val="00753119"/>
    <w:rsid w:val="00753280"/>
    <w:rsid w:val="0075540C"/>
    <w:rsid w:val="00755F67"/>
    <w:rsid w:val="00757835"/>
    <w:rsid w:val="00757DB2"/>
    <w:rsid w:val="0076087E"/>
    <w:rsid w:val="00760CBC"/>
    <w:rsid w:val="00760E86"/>
    <w:rsid w:val="00761874"/>
    <w:rsid w:val="00761AB2"/>
    <w:rsid w:val="007632AE"/>
    <w:rsid w:val="007639F0"/>
    <w:rsid w:val="00767934"/>
    <w:rsid w:val="00767CDF"/>
    <w:rsid w:val="00767D50"/>
    <w:rsid w:val="00770C3D"/>
    <w:rsid w:val="007716EB"/>
    <w:rsid w:val="00772CDC"/>
    <w:rsid w:val="007731DF"/>
    <w:rsid w:val="007733B8"/>
    <w:rsid w:val="00774844"/>
    <w:rsid w:val="007765E2"/>
    <w:rsid w:val="00780752"/>
    <w:rsid w:val="00780E62"/>
    <w:rsid w:val="00781C17"/>
    <w:rsid w:val="007823A5"/>
    <w:rsid w:val="007849C6"/>
    <w:rsid w:val="00784AA4"/>
    <w:rsid w:val="007852E5"/>
    <w:rsid w:val="00785949"/>
    <w:rsid w:val="00785BF4"/>
    <w:rsid w:val="00787168"/>
    <w:rsid w:val="007905E9"/>
    <w:rsid w:val="007911BF"/>
    <w:rsid w:val="00791FB8"/>
    <w:rsid w:val="007923A6"/>
    <w:rsid w:val="007955FB"/>
    <w:rsid w:val="00795673"/>
    <w:rsid w:val="0079680D"/>
    <w:rsid w:val="00797D5F"/>
    <w:rsid w:val="007A0064"/>
    <w:rsid w:val="007A0351"/>
    <w:rsid w:val="007A09DF"/>
    <w:rsid w:val="007A41CD"/>
    <w:rsid w:val="007A49E0"/>
    <w:rsid w:val="007A5ECC"/>
    <w:rsid w:val="007A602E"/>
    <w:rsid w:val="007A6C0B"/>
    <w:rsid w:val="007B0EB2"/>
    <w:rsid w:val="007B1C55"/>
    <w:rsid w:val="007B29A7"/>
    <w:rsid w:val="007B34F2"/>
    <w:rsid w:val="007B7A23"/>
    <w:rsid w:val="007C17D7"/>
    <w:rsid w:val="007C188D"/>
    <w:rsid w:val="007C226E"/>
    <w:rsid w:val="007C262E"/>
    <w:rsid w:val="007C3AE4"/>
    <w:rsid w:val="007C5650"/>
    <w:rsid w:val="007C5DF4"/>
    <w:rsid w:val="007C6BCD"/>
    <w:rsid w:val="007D00AF"/>
    <w:rsid w:val="007D153A"/>
    <w:rsid w:val="007D1623"/>
    <w:rsid w:val="007D4908"/>
    <w:rsid w:val="007E0119"/>
    <w:rsid w:val="007E137D"/>
    <w:rsid w:val="007E3809"/>
    <w:rsid w:val="007E3B90"/>
    <w:rsid w:val="007E67A3"/>
    <w:rsid w:val="007E6E14"/>
    <w:rsid w:val="007F08C1"/>
    <w:rsid w:val="007F107F"/>
    <w:rsid w:val="007F21E6"/>
    <w:rsid w:val="007F22B1"/>
    <w:rsid w:val="007F2C6B"/>
    <w:rsid w:val="007F320A"/>
    <w:rsid w:val="007F391B"/>
    <w:rsid w:val="007F6538"/>
    <w:rsid w:val="007F6B3A"/>
    <w:rsid w:val="00800CCA"/>
    <w:rsid w:val="0080243D"/>
    <w:rsid w:val="00802EC1"/>
    <w:rsid w:val="00803C2F"/>
    <w:rsid w:val="00804AF8"/>
    <w:rsid w:val="00805EAE"/>
    <w:rsid w:val="00806198"/>
    <w:rsid w:val="00807BE2"/>
    <w:rsid w:val="00807CA6"/>
    <w:rsid w:val="00810876"/>
    <w:rsid w:val="00810E1C"/>
    <w:rsid w:val="008124C0"/>
    <w:rsid w:val="00815866"/>
    <w:rsid w:val="00815C39"/>
    <w:rsid w:val="00815FD5"/>
    <w:rsid w:val="00821E36"/>
    <w:rsid w:val="00822BE4"/>
    <w:rsid w:val="0082306B"/>
    <w:rsid w:val="0082524E"/>
    <w:rsid w:val="00826291"/>
    <w:rsid w:val="008300EE"/>
    <w:rsid w:val="00830CA9"/>
    <w:rsid w:val="00832903"/>
    <w:rsid w:val="0083319B"/>
    <w:rsid w:val="00833819"/>
    <w:rsid w:val="00834CC3"/>
    <w:rsid w:val="00835DE0"/>
    <w:rsid w:val="00835F67"/>
    <w:rsid w:val="00836358"/>
    <w:rsid w:val="00836F31"/>
    <w:rsid w:val="00842260"/>
    <w:rsid w:val="00842CD0"/>
    <w:rsid w:val="0084430B"/>
    <w:rsid w:val="008453B8"/>
    <w:rsid w:val="0084586B"/>
    <w:rsid w:val="008458BE"/>
    <w:rsid w:val="00845FD2"/>
    <w:rsid w:val="00847B4E"/>
    <w:rsid w:val="00850A0B"/>
    <w:rsid w:val="0085123F"/>
    <w:rsid w:val="008525DB"/>
    <w:rsid w:val="008533EC"/>
    <w:rsid w:val="008553DC"/>
    <w:rsid w:val="00855A08"/>
    <w:rsid w:val="00855FB4"/>
    <w:rsid w:val="00857107"/>
    <w:rsid w:val="008623B8"/>
    <w:rsid w:val="00862A58"/>
    <w:rsid w:val="00862D2D"/>
    <w:rsid w:val="00863127"/>
    <w:rsid w:val="00863323"/>
    <w:rsid w:val="00864C4D"/>
    <w:rsid w:val="00865829"/>
    <w:rsid w:val="00866711"/>
    <w:rsid w:val="00866C48"/>
    <w:rsid w:val="008675C2"/>
    <w:rsid w:val="00871C9B"/>
    <w:rsid w:val="00873B81"/>
    <w:rsid w:val="008740D6"/>
    <w:rsid w:val="00874C99"/>
    <w:rsid w:val="0087716D"/>
    <w:rsid w:val="00877F83"/>
    <w:rsid w:val="008846EC"/>
    <w:rsid w:val="0088500B"/>
    <w:rsid w:val="008858C0"/>
    <w:rsid w:val="00885E7A"/>
    <w:rsid w:val="00885FB0"/>
    <w:rsid w:val="00887076"/>
    <w:rsid w:val="008872DB"/>
    <w:rsid w:val="00887997"/>
    <w:rsid w:val="008901A9"/>
    <w:rsid w:val="00890F99"/>
    <w:rsid w:val="00891097"/>
    <w:rsid w:val="0089129D"/>
    <w:rsid w:val="008919ED"/>
    <w:rsid w:val="0089216C"/>
    <w:rsid w:val="0089221E"/>
    <w:rsid w:val="00893CF1"/>
    <w:rsid w:val="00895413"/>
    <w:rsid w:val="00895426"/>
    <w:rsid w:val="008A019A"/>
    <w:rsid w:val="008A046A"/>
    <w:rsid w:val="008A06C2"/>
    <w:rsid w:val="008A0DC1"/>
    <w:rsid w:val="008A183E"/>
    <w:rsid w:val="008A272A"/>
    <w:rsid w:val="008A3E79"/>
    <w:rsid w:val="008A79C6"/>
    <w:rsid w:val="008A7E82"/>
    <w:rsid w:val="008B2F5B"/>
    <w:rsid w:val="008B310E"/>
    <w:rsid w:val="008B3804"/>
    <w:rsid w:val="008B3A78"/>
    <w:rsid w:val="008B4318"/>
    <w:rsid w:val="008B63A6"/>
    <w:rsid w:val="008B6635"/>
    <w:rsid w:val="008B7B36"/>
    <w:rsid w:val="008C133A"/>
    <w:rsid w:val="008C2128"/>
    <w:rsid w:val="008C2C96"/>
    <w:rsid w:val="008C68E5"/>
    <w:rsid w:val="008C7346"/>
    <w:rsid w:val="008C7D04"/>
    <w:rsid w:val="008D00E2"/>
    <w:rsid w:val="008D0984"/>
    <w:rsid w:val="008D459A"/>
    <w:rsid w:val="008D4941"/>
    <w:rsid w:val="008E0038"/>
    <w:rsid w:val="008E0747"/>
    <w:rsid w:val="008E14EA"/>
    <w:rsid w:val="008E1D73"/>
    <w:rsid w:val="008E28C9"/>
    <w:rsid w:val="008E3A4D"/>
    <w:rsid w:val="008E40D7"/>
    <w:rsid w:val="008E41E2"/>
    <w:rsid w:val="008E4DEB"/>
    <w:rsid w:val="008E5917"/>
    <w:rsid w:val="008E6FDE"/>
    <w:rsid w:val="008E726B"/>
    <w:rsid w:val="008F0B3B"/>
    <w:rsid w:val="008F1B8A"/>
    <w:rsid w:val="008F2FA9"/>
    <w:rsid w:val="008F3164"/>
    <w:rsid w:val="008F3607"/>
    <w:rsid w:val="008F4B3F"/>
    <w:rsid w:val="008F4F1B"/>
    <w:rsid w:val="008F6000"/>
    <w:rsid w:val="008F64DF"/>
    <w:rsid w:val="00901202"/>
    <w:rsid w:val="00901BA9"/>
    <w:rsid w:val="009028C6"/>
    <w:rsid w:val="009033DD"/>
    <w:rsid w:val="009037D8"/>
    <w:rsid w:val="00904A25"/>
    <w:rsid w:val="00905391"/>
    <w:rsid w:val="00905560"/>
    <w:rsid w:val="00906D92"/>
    <w:rsid w:val="00907549"/>
    <w:rsid w:val="00907580"/>
    <w:rsid w:val="00910B15"/>
    <w:rsid w:val="00911209"/>
    <w:rsid w:val="0091143E"/>
    <w:rsid w:val="00912B69"/>
    <w:rsid w:val="00915416"/>
    <w:rsid w:val="0091584A"/>
    <w:rsid w:val="009164AC"/>
    <w:rsid w:val="00916E87"/>
    <w:rsid w:val="00921C55"/>
    <w:rsid w:val="00921D85"/>
    <w:rsid w:val="00923C0A"/>
    <w:rsid w:val="00923EFB"/>
    <w:rsid w:val="00924146"/>
    <w:rsid w:val="00927693"/>
    <w:rsid w:val="00927A9D"/>
    <w:rsid w:val="00927FD4"/>
    <w:rsid w:val="00931CFF"/>
    <w:rsid w:val="00932949"/>
    <w:rsid w:val="00933D7D"/>
    <w:rsid w:val="0094057A"/>
    <w:rsid w:val="0094425A"/>
    <w:rsid w:val="009467F1"/>
    <w:rsid w:val="00946F65"/>
    <w:rsid w:val="00947245"/>
    <w:rsid w:val="0094797F"/>
    <w:rsid w:val="00947F59"/>
    <w:rsid w:val="00950021"/>
    <w:rsid w:val="00950F46"/>
    <w:rsid w:val="00951D63"/>
    <w:rsid w:val="00952CE8"/>
    <w:rsid w:val="00953214"/>
    <w:rsid w:val="0095507F"/>
    <w:rsid w:val="00955A8F"/>
    <w:rsid w:val="0095724F"/>
    <w:rsid w:val="0095727A"/>
    <w:rsid w:val="0096118B"/>
    <w:rsid w:val="00961F27"/>
    <w:rsid w:val="00961FF4"/>
    <w:rsid w:val="009626BB"/>
    <w:rsid w:val="0096286A"/>
    <w:rsid w:val="00965569"/>
    <w:rsid w:val="009709D7"/>
    <w:rsid w:val="00971724"/>
    <w:rsid w:val="009719C0"/>
    <w:rsid w:val="00972A3E"/>
    <w:rsid w:val="009746B6"/>
    <w:rsid w:val="00975A8C"/>
    <w:rsid w:val="009801E7"/>
    <w:rsid w:val="009805C6"/>
    <w:rsid w:val="009815D0"/>
    <w:rsid w:val="00981A18"/>
    <w:rsid w:val="009829E6"/>
    <w:rsid w:val="00982F32"/>
    <w:rsid w:val="0098503B"/>
    <w:rsid w:val="00985413"/>
    <w:rsid w:val="00985838"/>
    <w:rsid w:val="00990091"/>
    <w:rsid w:val="00990A19"/>
    <w:rsid w:val="009919E4"/>
    <w:rsid w:val="00991C96"/>
    <w:rsid w:val="00995BDD"/>
    <w:rsid w:val="0099777D"/>
    <w:rsid w:val="00997BA9"/>
    <w:rsid w:val="009A2250"/>
    <w:rsid w:val="009A3443"/>
    <w:rsid w:val="009A3E34"/>
    <w:rsid w:val="009A73B1"/>
    <w:rsid w:val="009A7870"/>
    <w:rsid w:val="009A7AF7"/>
    <w:rsid w:val="009A7AFF"/>
    <w:rsid w:val="009B12E2"/>
    <w:rsid w:val="009B15FC"/>
    <w:rsid w:val="009B3167"/>
    <w:rsid w:val="009B3F33"/>
    <w:rsid w:val="009B488D"/>
    <w:rsid w:val="009B48A9"/>
    <w:rsid w:val="009B60B7"/>
    <w:rsid w:val="009B63CC"/>
    <w:rsid w:val="009B6A46"/>
    <w:rsid w:val="009C2780"/>
    <w:rsid w:val="009C2C6F"/>
    <w:rsid w:val="009C3017"/>
    <w:rsid w:val="009C31B4"/>
    <w:rsid w:val="009C41EF"/>
    <w:rsid w:val="009C70B2"/>
    <w:rsid w:val="009D17B6"/>
    <w:rsid w:val="009D1903"/>
    <w:rsid w:val="009D1BF6"/>
    <w:rsid w:val="009D23FE"/>
    <w:rsid w:val="009D2E7A"/>
    <w:rsid w:val="009D4561"/>
    <w:rsid w:val="009D5166"/>
    <w:rsid w:val="009D5E08"/>
    <w:rsid w:val="009D5E8C"/>
    <w:rsid w:val="009D5ECE"/>
    <w:rsid w:val="009D5FA9"/>
    <w:rsid w:val="009D7931"/>
    <w:rsid w:val="009D7B15"/>
    <w:rsid w:val="009E0539"/>
    <w:rsid w:val="009E0FCA"/>
    <w:rsid w:val="009E1473"/>
    <w:rsid w:val="009E2690"/>
    <w:rsid w:val="009E2988"/>
    <w:rsid w:val="009E4212"/>
    <w:rsid w:val="009E572F"/>
    <w:rsid w:val="009E7261"/>
    <w:rsid w:val="009F0C9E"/>
    <w:rsid w:val="009F3E43"/>
    <w:rsid w:val="009F4360"/>
    <w:rsid w:val="009F4387"/>
    <w:rsid w:val="009F645B"/>
    <w:rsid w:val="009F6BD6"/>
    <w:rsid w:val="00A03CB9"/>
    <w:rsid w:val="00A040EF"/>
    <w:rsid w:val="00A0447F"/>
    <w:rsid w:val="00A04680"/>
    <w:rsid w:val="00A06FC7"/>
    <w:rsid w:val="00A1212A"/>
    <w:rsid w:val="00A12468"/>
    <w:rsid w:val="00A12928"/>
    <w:rsid w:val="00A155D9"/>
    <w:rsid w:val="00A15D23"/>
    <w:rsid w:val="00A1720F"/>
    <w:rsid w:val="00A216A1"/>
    <w:rsid w:val="00A21772"/>
    <w:rsid w:val="00A21897"/>
    <w:rsid w:val="00A22118"/>
    <w:rsid w:val="00A2626A"/>
    <w:rsid w:val="00A278A2"/>
    <w:rsid w:val="00A27D6C"/>
    <w:rsid w:val="00A30B57"/>
    <w:rsid w:val="00A30EF6"/>
    <w:rsid w:val="00A316AC"/>
    <w:rsid w:val="00A31B36"/>
    <w:rsid w:val="00A32CA2"/>
    <w:rsid w:val="00A32D73"/>
    <w:rsid w:val="00A333AB"/>
    <w:rsid w:val="00A3536C"/>
    <w:rsid w:val="00A37435"/>
    <w:rsid w:val="00A378FA"/>
    <w:rsid w:val="00A40FA4"/>
    <w:rsid w:val="00A41586"/>
    <w:rsid w:val="00A4224E"/>
    <w:rsid w:val="00A44647"/>
    <w:rsid w:val="00A44BE6"/>
    <w:rsid w:val="00A478F8"/>
    <w:rsid w:val="00A47CFE"/>
    <w:rsid w:val="00A501E8"/>
    <w:rsid w:val="00A50B43"/>
    <w:rsid w:val="00A5483B"/>
    <w:rsid w:val="00A54AB2"/>
    <w:rsid w:val="00A5794D"/>
    <w:rsid w:val="00A60CDC"/>
    <w:rsid w:val="00A62226"/>
    <w:rsid w:val="00A642B5"/>
    <w:rsid w:val="00A7226E"/>
    <w:rsid w:val="00A73C77"/>
    <w:rsid w:val="00A75354"/>
    <w:rsid w:val="00A75C19"/>
    <w:rsid w:val="00A80F16"/>
    <w:rsid w:val="00A82004"/>
    <w:rsid w:val="00A8212D"/>
    <w:rsid w:val="00A83668"/>
    <w:rsid w:val="00A8394D"/>
    <w:rsid w:val="00A8465A"/>
    <w:rsid w:val="00A853E9"/>
    <w:rsid w:val="00A8564B"/>
    <w:rsid w:val="00A87002"/>
    <w:rsid w:val="00A87105"/>
    <w:rsid w:val="00A8717A"/>
    <w:rsid w:val="00A918BF"/>
    <w:rsid w:val="00A91DAA"/>
    <w:rsid w:val="00A9269E"/>
    <w:rsid w:val="00A9290E"/>
    <w:rsid w:val="00A97CC7"/>
    <w:rsid w:val="00AA0A63"/>
    <w:rsid w:val="00AA221E"/>
    <w:rsid w:val="00AA316C"/>
    <w:rsid w:val="00AA3884"/>
    <w:rsid w:val="00AA4193"/>
    <w:rsid w:val="00AA4FD7"/>
    <w:rsid w:val="00AA55F8"/>
    <w:rsid w:val="00AA60E6"/>
    <w:rsid w:val="00AA7578"/>
    <w:rsid w:val="00AB04EA"/>
    <w:rsid w:val="00AB1894"/>
    <w:rsid w:val="00AB26DE"/>
    <w:rsid w:val="00AB4895"/>
    <w:rsid w:val="00AB5A86"/>
    <w:rsid w:val="00AB5CD3"/>
    <w:rsid w:val="00AB6645"/>
    <w:rsid w:val="00AB6B22"/>
    <w:rsid w:val="00AC0ED5"/>
    <w:rsid w:val="00AC1AAE"/>
    <w:rsid w:val="00AC44D4"/>
    <w:rsid w:val="00AC5446"/>
    <w:rsid w:val="00AC5A6D"/>
    <w:rsid w:val="00AC5EE8"/>
    <w:rsid w:val="00AC6169"/>
    <w:rsid w:val="00AC6F3D"/>
    <w:rsid w:val="00AC7306"/>
    <w:rsid w:val="00AD0635"/>
    <w:rsid w:val="00AD109C"/>
    <w:rsid w:val="00AD16F8"/>
    <w:rsid w:val="00AD2475"/>
    <w:rsid w:val="00AD312F"/>
    <w:rsid w:val="00AD5398"/>
    <w:rsid w:val="00AD5BD0"/>
    <w:rsid w:val="00AE19C3"/>
    <w:rsid w:val="00AE22D6"/>
    <w:rsid w:val="00AE3389"/>
    <w:rsid w:val="00AE494A"/>
    <w:rsid w:val="00AE4B91"/>
    <w:rsid w:val="00AE4CDB"/>
    <w:rsid w:val="00AE5807"/>
    <w:rsid w:val="00AE59C4"/>
    <w:rsid w:val="00AE5EF8"/>
    <w:rsid w:val="00AF07E6"/>
    <w:rsid w:val="00AF1C1B"/>
    <w:rsid w:val="00AF1F1D"/>
    <w:rsid w:val="00AF1FE8"/>
    <w:rsid w:val="00AF3A92"/>
    <w:rsid w:val="00AF59ED"/>
    <w:rsid w:val="00AF6800"/>
    <w:rsid w:val="00B014AA"/>
    <w:rsid w:val="00B01D9A"/>
    <w:rsid w:val="00B01DD2"/>
    <w:rsid w:val="00B01EEE"/>
    <w:rsid w:val="00B0340C"/>
    <w:rsid w:val="00B10305"/>
    <w:rsid w:val="00B10534"/>
    <w:rsid w:val="00B1056E"/>
    <w:rsid w:val="00B11349"/>
    <w:rsid w:val="00B1135A"/>
    <w:rsid w:val="00B12A65"/>
    <w:rsid w:val="00B12B28"/>
    <w:rsid w:val="00B14CC2"/>
    <w:rsid w:val="00B15A85"/>
    <w:rsid w:val="00B15F8B"/>
    <w:rsid w:val="00B16F44"/>
    <w:rsid w:val="00B17C9D"/>
    <w:rsid w:val="00B20EEE"/>
    <w:rsid w:val="00B21980"/>
    <w:rsid w:val="00B21D92"/>
    <w:rsid w:val="00B2217F"/>
    <w:rsid w:val="00B22434"/>
    <w:rsid w:val="00B239AB"/>
    <w:rsid w:val="00B23D4C"/>
    <w:rsid w:val="00B24344"/>
    <w:rsid w:val="00B2481F"/>
    <w:rsid w:val="00B24C81"/>
    <w:rsid w:val="00B256D1"/>
    <w:rsid w:val="00B25924"/>
    <w:rsid w:val="00B306D9"/>
    <w:rsid w:val="00B339D9"/>
    <w:rsid w:val="00B37062"/>
    <w:rsid w:val="00B42A84"/>
    <w:rsid w:val="00B441B0"/>
    <w:rsid w:val="00B4439A"/>
    <w:rsid w:val="00B44F10"/>
    <w:rsid w:val="00B454F3"/>
    <w:rsid w:val="00B46997"/>
    <w:rsid w:val="00B46F3A"/>
    <w:rsid w:val="00B50571"/>
    <w:rsid w:val="00B51938"/>
    <w:rsid w:val="00B5282A"/>
    <w:rsid w:val="00B530A6"/>
    <w:rsid w:val="00B55358"/>
    <w:rsid w:val="00B560CA"/>
    <w:rsid w:val="00B56A9E"/>
    <w:rsid w:val="00B60A73"/>
    <w:rsid w:val="00B61A4C"/>
    <w:rsid w:val="00B621C2"/>
    <w:rsid w:val="00B6330A"/>
    <w:rsid w:val="00B648ED"/>
    <w:rsid w:val="00B658BE"/>
    <w:rsid w:val="00B66470"/>
    <w:rsid w:val="00B7248E"/>
    <w:rsid w:val="00B73776"/>
    <w:rsid w:val="00B7380E"/>
    <w:rsid w:val="00B73972"/>
    <w:rsid w:val="00B754BA"/>
    <w:rsid w:val="00B75A53"/>
    <w:rsid w:val="00B77C81"/>
    <w:rsid w:val="00B809D5"/>
    <w:rsid w:val="00B83BD4"/>
    <w:rsid w:val="00B85264"/>
    <w:rsid w:val="00B8546A"/>
    <w:rsid w:val="00B86596"/>
    <w:rsid w:val="00B8686C"/>
    <w:rsid w:val="00B90FC5"/>
    <w:rsid w:val="00B91291"/>
    <w:rsid w:val="00B92921"/>
    <w:rsid w:val="00B929F4"/>
    <w:rsid w:val="00B93569"/>
    <w:rsid w:val="00B95499"/>
    <w:rsid w:val="00BA0836"/>
    <w:rsid w:val="00BA35CC"/>
    <w:rsid w:val="00BA3D29"/>
    <w:rsid w:val="00BA45AB"/>
    <w:rsid w:val="00BA4E7E"/>
    <w:rsid w:val="00BA54E8"/>
    <w:rsid w:val="00BA58CA"/>
    <w:rsid w:val="00BA5C46"/>
    <w:rsid w:val="00BA60F8"/>
    <w:rsid w:val="00BA6811"/>
    <w:rsid w:val="00BA780A"/>
    <w:rsid w:val="00BB17A7"/>
    <w:rsid w:val="00BB1939"/>
    <w:rsid w:val="00BB205E"/>
    <w:rsid w:val="00BB274D"/>
    <w:rsid w:val="00BB3C84"/>
    <w:rsid w:val="00BB50C4"/>
    <w:rsid w:val="00BC009D"/>
    <w:rsid w:val="00BC04F2"/>
    <w:rsid w:val="00BC4FE7"/>
    <w:rsid w:val="00BC5B27"/>
    <w:rsid w:val="00BC69EA"/>
    <w:rsid w:val="00BC727F"/>
    <w:rsid w:val="00BD119A"/>
    <w:rsid w:val="00BD131B"/>
    <w:rsid w:val="00BD2672"/>
    <w:rsid w:val="00BD2F89"/>
    <w:rsid w:val="00BD4581"/>
    <w:rsid w:val="00BD521C"/>
    <w:rsid w:val="00BD5DF1"/>
    <w:rsid w:val="00BD6A52"/>
    <w:rsid w:val="00BE007E"/>
    <w:rsid w:val="00BE02C9"/>
    <w:rsid w:val="00BE0C59"/>
    <w:rsid w:val="00BE0F2D"/>
    <w:rsid w:val="00BE184A"/>
    <w:rsid w:val="00BE27BE"/>
    <w:rsid w:val="00BE32AF"/>
    <w:rsid w:val="00BE4DAE"/>
    <w:rsid w:val="00BE5665"/>
    <w:rsid w:val="00BE5CC5"/>
    <w:rsid w:val="00BE638A"/>
    <w:rsid w:val="00BE7588"/>
    <w:rsid w:val="00BF0939"/>
    <w:rsid w:val="00BF0BB2"/>
    <w:rsid w:val="00BF142D"/>
    <w:rsid w:val="00BF1B22"/>
    <w:rsid w:val="00BF1D4E"/>
    <w:rsid w:val="00BF1E5F"/>
    <w:rsid w:val="00BF2749"/>
    <w:rsid w:val="00BF2CB5"/>
    <w:rsid w:val="00BF5DB5"/>
    <w:rsid w:val="00BF70E9"/>
    <w:rsid w:val="00C003D6"/>
    <w:rsid w:val="00C008F2"/>
    <w:rsid w:val="00C00947"/>
    <w:rsid w:val="00C02F61"/>
    <w:rsid w:val="00C0492F"/>
    <w:rsid w:val="00C04CCF"/>
    <w:rsid w:val="00C05159"/>
    <w:rsid w:val="00C05500"/>
    <w:rsid w:val="00C0561B"/>
    <w:rsid w:val="00C063B4"/>
    <w:rsid w:val="00C07636"/>
    <w:rsid w:val="00C10661"/>
    <w:rsid w:val="00C13C66"/>
    <w:rsid w:val="00C13C80"/>
    <w:rsid w:val="00C15D9E"/>
    <w:rsid w:val="00C20A32"/>
    <w:rsid w:val="00C20BF4"/>
    <w:rsid w:val="00C2318C"/>
    <w:rsid w:val="00C24B29"/>
    <w:rsid w:val="00C27053"/>
    <w:rsid w:val="00C270BB"/>
    <w:rsid w:val="00C27454"/>
    <w:rsid w:val="00C305B3"/>
    <w:rsid w:val="00C3089D"/>
    <w:rsid w:val="00C31425"/>
    <w:rsid w:val="00C31AD5"/>
    <w:rsid w:val="00C31E40"/>
    <w:rsid w:val="00C32CD1"/>
    <w:rsid w:val="00C341AC"/>
    <w:rsid w:val="00C35555"/>
    <w:rsid w:val="00C359F1"/>
    <w:rsid w:val="00C36300"/>
    <w:rsid w:val="00C36636"/>
    <w:rsid w:val="00C379B6"/>
    <w:rsid w:val="00C37D6A"/>
    <w:rsid w:val="00C40F26"/>
    <w:rsid w:val="00C41D73"/>
    <w:rsid w:val="00C421BD"/>
    <w:rsid w:val="00C428BB"/>
    <w:rsid w:val="00C42CE9"/>
    <w:rsid w:val="00C43C8B"/>
    <w:rsid w:val="00C43DFB"/>
    <w:rsid w:val="00C50BC6"/>
    <w:rsid w:val="00C52977"/>
    <w:rsid w:val="00C52C63"/>
    <w:rsid w:val="00C54051"/>
    <w:rsid w:val="00C54620"/>
    <w:rsid w:val="00C55D33"/>
    <w:rsid w:val="00C56B48"/>
    <w:rsid w:val="00C60A6F"/>
    <w:rsid w:val="00C611CC"/>
    <w:rsid w:val="00C6150B"/>
    <w:rsid w:val="00C641CF"/>
    <w:rsid w:val="00C644D9"/>
    <w:rsid w:val="00C64C60"/>
    <w:rsid w:val="00C6506C"/>
    <w:rsid w:val="00C658B8"/>
    <w:rsid w:val="00C65E58"/>
    <w:rsid w:val="00C66931"/>
    <w:rsid w:val="00C71416"/>
    <w:rsid w:val="00C714DC"/>
    <w:rsid w:val="00C7267F"/>
    <w:rsid w:val="00C74107"/>
    <w:rsid w:val="00C745DA"/>
    <w:rsid w:val="00C75910"/>
    <w:rsid w:val="00C76237"/>
    <w:rsid w:val="00C76E2F"/>
    <w:rsid w:val="00C77B97"/>
    <w:rsid w:val="00C77C83"/>
    <w:rsid w:val="00C801D6"/>
    <w:rsid w:val="00C80554"/>
    <w:rsid w:val="00C81193"/>
    <w:rsid w:val="00C81A89"/>
    <w:rsid w:val="00C81E79"/>
    <w:rsid w:val="00C833E6"/>
    <w:rsid w:val="00C839B4"/>
    <w:rsid w:val="00C83E1E"/>
    <w:rsid w:val="00C85192"/>
    <w:rsid w:val="00C85952"/>
    <w:rsid w:val="00C86A4E"/>
    <w:rsid w:val="00C86C6F"/>
    <w:rsid w:val="00C87265"/>
    <w:rsid w:val="00C8741A"/>
    <w:rsid w:val="00C87DF9"/>
    <w:rsid w:val="00C90DB8"/>
    <w:rsid w:val="00C9355B"/>
    <w:rsid w:val="00C94270"/>
    <w:rsid w:val="00C942C9"/>
    <w:rsid w:val="00C946E6"/>
    <w:rsid w:val="00C95726"/>
    <w:rsid w:val="00C95C4C"/>
    <w:rsid w:val="00C963B7"/>
    <w:rsid w:val="00C97E6E"/>
    <w:rsid w:val="00CA0C8E"/>
    <w:rsid w:val="00CA11F2"/>
    <w:rsid w:val="00CA2D04"/>
    <w:rsid w:val="00CA3B8A"/>
    <w:rsid w:val="00CA3CB2"/>
    <w:rsid w:val="00CB00DF"/>
    <w:rsid w:val="00CB2A3A"/>
    <w:rsid w:val="00CB4F90"/>
    <w:rsid w:val="00CB6D8B"/>
    <w:rsid w:val="00CC0109"/>
    <w:rsid w:val="00CC03B8"/>
    <w:rsid w:val="00CC12AE"/>
    <w:rsid w:val="00CC312A"/>
    <w:rsid w:val="00CC4CB3"/>
    <w:rsid w:val="00CC5ABA"/>
    <w:rsid w:val="00CC6373"/>
    <w:rsid w:val="00CD0041"/>
    <w:rsid w:val="00CD07C2"/>
    <w:rsid w:val="00CD09D7"/>
    <w:rsid w:val="00CD1C47"/>
    <w:rsid w:val="00CD2864"/>
    <w:rsid w:val="00CD39E0"/>
    <w:rsid w:val="00CD424C"/>
    <w:rsid w:val="00CD4DCA"/>
    <w:rsid w:val="00CD5768"/>
    <w:rsid w:val="00CD7D52"/>
    <w:rsid w:val="00CE0900"/>
    <w:rsid w:val="00CE18CE"/>
    <w:rsid w:val="00CE2E2E"/>
    <w:rsid w:val="00CE3039"/>
    <w:rsid w:val="00CE56D2"/>
    <w:rsid w:val="00CE6959"/>
    <w:rsid w:val="00CE6F0F"/>
    <w:rsid w:val="00CE7312"/>
    <w:rsid w:val="00CE7344"/>
    <w:rsid w:val="00CE7E27"/>
    <w:rsid w:val="00CF0BDA"/>
    <w:rsid w:val="00CF16D8"/>
    <w:rsid w:val="00CF26D3"/>
    <w:rsid w:val="00CF3C99"/>
    <w:rsid w:val="00CF6A44"/>
    <w:rsid w:val="00CF7708"/>
    <w:rsid w:val="00CF7A87"/>
    <w:rsid w:val="00CF7DC0"/>
    <w:rsid w:val="00D0268B"/>
    <w:rsid w:val="00D04525"/>
    <w:rsid w:val="00D04893"/>
    <w:rsid w:val="00D05A13"/>
    <w:rsid w:val="00D05E6C"/>
    <w:rsid w:val="00D066D4"/>
    <w:rsid w:val="00D07A52"/>
    <w:rsid w:val="00D10417"/>
    <w:rsid w:val="00D10F39"/>
    <w:rsid w:val="00D13372"/>
    <w:rsid w:val="00D152A1"/>
    <w:rsid w:val="00D1630E"/>
    <w:rsid w:val="00D208D4"/>
    <w:rsid w:val="00D21753"/>
    <w:rsid w:val="00D220EB"/>
    <w:rsid w:val="00D22C40"/>
    <w:rsid w:val="00D23485"/>
    <w:rsid w:val="00D244D6"/>
    <w:rsid w:val="00D24E96"/>
    <w:rsid w:val="00D25377"/>
    <w:rsid w:val="00D26691"/>
    <w:rsid w:val="00D26703"/>
    <w:rsid w:val="00D27313"/>
    <w:rsid w:val="00D27DDF"/>
    <w:rsid w:val="00D31BE9"/>
    <w:rsid w:val="00D31E0A"/>
    <w:rsid w:val="00D34F3C"/>
    <w:rsid w:val="00D36474"/>
    <w:rsid w:val="00D36E3A"/>
    <w:rsid w:val="00D37DB4"/>
    <w:rsid w:val="00D40694"/>
    <w:rsid w:val="00D4086E"/>
    <w:rsid w:val="00D42385"/>
    <w:rsid w:val="00D462D4"/>
    <w:rsid w:val="00D518EC"/>
    <w:rsid w:val="00D528B8"/>
    <w:rsid w:val="00D54008"/>
    <w:rsid w:val="00D542EC"/>
    <w:rsid w:val="00D56329"/>
    <w:rsid w:val="00D56879"/>
    <w:rsid w:val="00D604B4"/>
    <w:rsid w:val="00D6090B"/>
    <w:rsid w:val="00D616AA"/>
    <w:rsid w:val="00D63F47"/>
    <w:rsid w:val="00D653F4"/>
    <w:rsid w:val="00D65CD4"/>
    <w:rsid w:val="00D66669"/>
    <w:rsid w:val="00D70D6A"/>
    <w:rsid w:val="00D718B6"/>
    <w:rsid w:val="00D71F7C"/>
    <w:rsid w:val="00D72EAE"/>
    <w:rsid w:val="00D73214"/>
    <w:rsid w:val="00D737DA"/>
    <w:rsid w:val="00D739F6"/>
    <w:rsid w:val="00D743CF"/>
    <w:rsid w:val="00D74869"/>
    <w:rsid w:val="00D748A5"/>
    <w:rsid w:val="00D75F35"/>
    <w:rsid w:val="00D760A8"/>
    <w:rsid w:val="00D76E7E"/>
    <w:rsid w:val="00D812DF"/>
    <w:rsid w:val="00D8626D"/>
    <w:rsid w:val="00D8698F"/>
    <w:rsid w:val="00D91360"/>
    <w:rsid w:val="00D92B28"/>
    <w:rsid w:val="00D9341A"/>
    <w:rsid w:val="00D95595"/>
    <w:rsid w:val="00DA0B19"/>
    <w:rsid w:val="00DA167F"/>
    <w:rsid w:val="00DA2A53"/>
    <w:rsid w:val="00DA36F6"/>
    <w:rsid w:val="00DA5472"/>
    <w:rsid w:val="00DA6BA8"/>
    <w:rsid w:val="00DA74C4"/>
    <w:rsid w:val="00DA78DA"/>
    <w:rsid w:val="00DB07D3"/>
    <w:rsid w:val="00DB18F8"/>
    <w:rsid w:val="00DB3518"/>
    <w:rsid w:val="00DB39AE"/>
    <w:rsid w:val="00DB5637"/>
    <w:rsid w:val="00DB6294"/>
    <w:rsid w:val="00DB71D1"/>
    <w:rsid w:val="00DB7D29"/>
    <w:rsid w:val="00DC1C1B"/>
    <w:rsid w:val="00DC2AF2"/>
    <w:rsid w:val="00DC2E46"/>
    <w:rsid w:val="00DC3BC9"/>
    <w:rsid w:val="00DC413E"/>
    <w:rsid w:val="00DC49E0"/>
    <w:rsid w:val="00DC52AC"/>
    <w:rsid w:val="00DC6357"/>
    <w:rsid w:val="00DC63B6"/>
    <w:rsid w:val="00DD08A2"/>
    <w:rsid w:val="00DD1255"/>
    <w:rsid w:val="00DD1D3A"/>
    <w:rsid w:val="00DD27F1"/>
    <w:rsid w:val="00DD2A12"/>
    <w:rsid w:val="00DD4835"/>
    <w:rsid w:val="00DD5B45"/>
    <w:rsid w:val="00DD608D"/>
    <w:rsid w:val="00DD6605"/>
    <w:rsid w:val="00DD6FEA"/>
    <w:rsid w:val="00DD7D0C"/>
    <w:rsid w:val="00DE030E"/>
    <w:rsid w:val="00DE252F"/>
    <w:rsid w:val="00DE329B"/>
    <w:rsid w:val="00DE347F"/>
    <w:rsid w:val="00DE4351"/>
    <w:rsid w:val="00DE4CBB"/>
    <w:rsid w:val="00DE682A"/>
    <w:rsid w:val="00DE6987"/>
    <w:rsid w:val="00DE6C9F"/>
    <w:rsid w:val="00DE6D6C"/>
    <w:rsid w:val="00DE72A9"/>
    <w:rsid w:val="00DE7F55"/>
    <w:rsid w:val="00DF0C58"/>
    <w:rsid w:val="00DF0ED5"/>
    <w:rsid w:val="00DF1552"/>
    <w:rsid w:val="00DF2853"/>
    <w:rsid w:val="00DF45C4"/>
    <w:rsid w:val="00DF5756"/>
    <w:rsid w:val="00DF5A59"/>
    <w:rsid w:val="00DF61B6"/>
    <w:rsid w:val="00E015B6"/>
    <w:rsid w:val="00E02CE5"/>
    <w:rsid w:val="00E04668"/>
    <w:rsid w:val="00E07B4F"/>
    <w:rsid w:val="00E10049"/>
    <w:rsid w:val="00E105A9"/>
    <w:rsid w:val="00E10CCF"/>
    <w:rsid w:val="00E12382"/>
    <w:rsid w:val="00E12C10"/>
    <w:rsid w:val="00E13A7A"/>
    <w:rsid w:val="00E14843"/>
    <w:rsid w:val="00E14EEF"/>
    <w:rsid w:val="00E163BA"/>
    <w:rsid w:val="00E1711B"/>
    <w:rsid w:val="00E21494"/>
    <w:rsid w:val="00E21E60"/>
    <w:rsid w:val="00E2357A"/>
    <w:rsid w:val="00E24EC7"/>
    <w:rsid w:val="00E2542A"/>
    <w:rsid w:val="00E2761E"/>
    <w:rsid w:val="00E306B7"/>
    <w:rsid w:val="00E30F51"/>
    <w:rsid w:val="00E31F5D"/>
    <w:rsid w:val="00E34C86"/>
    <w:rsid w:val="00E376B2"/>
    <w:rsid w:val="00E37FEE"/>
    <w:rsid w:val="00E40A7D"/>
    <w:rsid w:val="00E4173D"/>
    <w:rsid w:val="00E42B27"/>
    <w:rsid w:val="00E437DF"/>
    <w:rsid w:val="00E47909"/>
    <w:rsid w:val="00E47EEE"/>
    <w:rsid w:val="00E5009F"/>
    <w:rsid w:val="00E51102"/>
    <w:rsid w:val="00E52332"/>
    <w:rsid w:val="00E52A0B"/>
    <w:rsid w:val="00E536CD"/>
    <w:rsid w:val="00E541DC"/>
    <w:rsid w:val="00E5538B"/>
    <w:rsid w:val="00E55B4F"/>
    <w:rsid w:val="00E55E5C"/>
    <w:rsid w:val="00E562A3"/>
    <w:rsid w:val="00E6684E"/>
    <w:rsid w:val="00E66D03"/>
    <w:rsid w:val="00E710CC"/>
    <w:rsid w:val="00E71818"/>
    <w:rsid w:val="00E74846"/>
    <w:rsid w:val="00E74B2E"/>
    <w:rsid w:val="00E77555"/>
    <w:rsid w:val="00E7795A"/>
    <w:rsid w:val="00E77A48"/>
    <w:rsid w:val="00E80482"/>
    <w:rsid w:val="00E8111B"/>
    <w:rsid w:val="00E817C8"/>
    <w:rsid w:val="00E81E86"/>
    <w:rsid w:val="00E83F6A"/>
    <w:rsid w:val="00E8448E"/>
    <w:rsid w:val="00E85B54"/>
    <w:rsid w:val="00E862C6"/>
    <w:rsid w:val="00E875A1"/>
    <w:rsid w:val="00E87734"/>
    <w:rsid w:val="00E900E0"/>
    <w:rsid w:val="00E90174"/>
    <w:rsid w:val="00E9181A"/>
    <w:rsid w:val="00E91D9F"/>
    <w:rsid w:val="00E92C45"/>
    <w:rsid w:val="00E945AA"/>
    <w:rsid w:val="00E94A9D"/>
    <w:rsid w:val="00E94FE1"/>
    <w:rsid w:val="00E9501B"/>
    <w:rsid w:val="00E95C4A"/>
    <w:rsid w:val="00E95F50"/>
    <w:rsid w:val="00E96B44"/>
    <w:rsid w:val="00E9707F"/>
    <w:rsid w:val="00E972CE"/>
    <w:rsid w:val="00E97C54"/>
    <w:rsid w:val="00EA2309"/>
    <w:rsid w:val="00EA2C4D"/>
    <w:rsid w:val="00EA2E00"/>
    <w:rsid w:val="00EA3103"/>
    <w:rsid w:val="00EA5409"/>
    <w:rsid w:val="00EA5924"/>
    <w:rsid w:val="00EA656C"/>
    <w:rsid w:val="00EA7F29"/>
    <w:rsid w:val="00EB0791"/>
    <w:rsid w:val="00EB2961"/>
    <w:rsid w:val="00EB3922"/>
    <w:rsid w:val="00EB4858"/>
    <w:rsid w:val="00EB4BC1"/>
    <w:rsid w:val="00EB5640"/>
    <w:rsid w:val="00EB5D04"/>
    <w:rsid w:val="00EB679A"/>
    <w:rsid w:val="00EC0786"/>
    <w:rsid w:val="00EC22A3"/>
    <w:rsid w:val="00EC5B45"/>
    <w:rsid w:val="00EC5BF0"/>
    <w:rsid w:val="00EC67C8"/>
    <w:rsid w:val="00EC6ABE"/>
    <w:rsid w:val="00EC7871"/>
    <w:rsid w:val="00EC7BFD"/>
    <w:rsid w:val="00ED04C5"/>
    <w:rsid w:val="00ED124A"/>
    <w:rsid w:val="00ED2D6D"/>
    <w:rsid w:val="00ED313A"/>
    <w:rsid w:val="00ED5808"/>
    <w:rsid w:val="00ED66EC"/>
    <w:rsid w:val="00EE0677"/>
    <w:rsid w:val="00EE09C8"/>
    <w:rsid w:val="00EE3C72"/>
    <w:rsid w:val="00EE5E4B"/>
    <w:rsid w:val="00EF156D"/>
    <w:rsid w:val="00EF1941"/>
    <w:rsid w:val="00EF1FF1"/>
    <w:rsid w:val="00EF24DB"/>
    <w:rsid w:val="00EF3AB3"/>
    <w:rsid w:val="00EF3D08"/>
    <w:rsid w:val="00EF4C06"/>
    <w:rsid w:val="00EF4C36"/>
    <w:rsid w:val="00EF586B"/>
    <w:rsid w:val="00EF7C9F"/>
    <w:rsid w:val="00F00D53"/>
    <w:rsid w:val="00F0161B"/>
    <w:rsid w:val="00F0423C"/>
    <w:rsid w:val="00F06218"/>
    <w:rsid w:val="00F06772"/>
    <w:rsid w:val="00F06BD8"/>
    <w:rsid w:val="00F078F5"/>
    <w:rsid w:val="00F07D10"/>
    <w:rsid w:val="00F12759"/>
    <w:rsid w:val="00F12FB2"/>
    <w:rsid w:val="00F16083"/>
    <w:rsid w:val="00F16188"/>
    <w:rsid w:val="00F1640A"/>
    <w:rsid w:val="00F16781"/>
    <w:rsid w:val="00F16FAE"/>
    <w:rsid w:val="00F17473"/>
    <w:rsid w:val="00F235AD"/>
    <w:rsid w:val="00F250F0"/>
    <w:rsid w:val="00F25533"/>
    <w:rsid w:val="00F26627"/>
    <w:rsid w:val="00F2681F"/>
    <w:rsid w:val="00F26838"/>
    <w:rsid w:val="00F26854"/>
    <w:rsid w:val="00F31F42"/>
    <w:rsid w:val="00F32FD0"/>
    <w:rsid w:val="00F33954"/>
    <w:rsid w:val="00F33DCE"/>
    <w:rsid w:val="00F34A69"/>
    <w:rsid w:val="00F357BF"/>
    <w:rsid w:val="00F35975"/>
    <w:rsid w:val="00F361AD"/>
    <w:rsid w:val="00F3635C"/>
    <w:rsid w:val="00F36C8E"/>
    <w:rsid w:val="00F3781B"/>
    <w:rsid w:val="00F407E3"/>
    <w:rsid w:val="00F41DD3"/>
    <w:rsid w:val="00F4348C"/>
    <w:rsid w:val="00F434B6"/>
    <w:rsid w:val="00F447C8"/>
    <w:rsid w:val="00F44D20"/>
    <w:rsid w:val="00F4500D"/>
    <w:rsid w:val="00F47869"/>
    <w:rsid w:val="00F50246"/>
    <w:rsid w:val="00F51F63"/>
    <w:rsid w:val="00F53333"/>
    <w:rsid w:val="00F53E6A"/>
    <w:rsid w:val="00F5462B"/>
    <w:rsid w:val="00F60A50"/>
    <w:rsid w:val="00F60FF2"/>
    <w:rsid w:val="00F6145A"/>
    <w:rsid w:val="00F61792"/>
    <w:rsid w:val="00F624C4"/>
    <w:rsid w:val="00F63445"/>
    <w:rsid w:val="00F641B7"/>
    <w:rsid w:val="00F6693C"/>
    <w:rsid w:val="00F71767"/>
    <w:rsid w:val="00F73E4B"/>
    <w:rsid w:val="00F74D2C"/>
    <w:rsid w:val="00F74E37"/>
    <w:rsid w:val="00F7679D"/>
    <w:rsid w:val="00F7727F"/>
    <w:rsid w:val="00F80B6F"/>
    <w:rsid w:val="00F80F4C"/>
    <w:rsid w:val="00F8140B"/>
    <w:rsid w:val="00F81F3D"/>
    <w:rsid w:val="00F8234E"/>
    <w:rsid w:val="00F83450"/>
    <w:rsid w:val="00F83CB6"/>
    <w:rsid w:val="00F84A40"/>
    <w:rsid w:val="00F85995"/>
    <w:rsid w:val="00F85E39"/>
    <w:rsid w:val="00F86A20"/>
    <w:rsid w:val="00F86C5A"/>
    <w:rsid w:val="00F87485"/>
    <w:rsid w:val="00F87D6C"/>
    <w:rsid w:val="00F90B3E"/>
    <w:rsid w:val="00F916A3"/>
    <w:rsid w:val="00F966B7"/>
    <w:rsid w:val="00FA0BA1"/>
    <w:rsid w:val="00FA152D"/>
    <w:rsid w:val="00FA4E4E"/>
    <w:rsid w:val="00FA50D9"/>
    <w:rsid w:val="00FA5772"/>
    <w:rsid w:val="00FA5D7D"/>
    <w:rsid w:val="00FA61F8"/>
    <w:rsid w:val="00FA650E"/>
    <w:rsid w:val="00FA77BC"/>
    <w:rsid w:val="00FB059A"/>
    <w:rsid w:val="00FB3385"/>
    <w:rsid w:val="00FB3D49"/>
    <w:rsid w:val="00FB63D8"/>
    <w:rsid w:val="00FB6DE4"/>
    <w:rsid w:val="00FB71A7"/>
    <w:rsid w:val="00FB75C1"/>
    <w:rsid w:val="00FC1447"/>
    <w:rsid w:val="00FC165B"/>
    <w:rsid w:val="00FC1B03"/>
    <w:rsid w:val="00FC1D6B"/>
    <w:rsid w:val="00FC1FB0"/>
    <w:rsid w:val="00FC26B0"/>
    <w:rsid w:val="00FC2D2F"/>
    <w:rsid w:val="00FC3157"/>
    <w:rsid w:val="00FC321C"/>
    <w:rsid w:val="00FC485F"/>
    <w:rsid w:val="00FC553C"/>
    <w:rsid w:val="00FC5F71"/>
    <w:rsid w:val="00FC602C"/>
    <w:rsid w:val="00FC7F18"/>
    <w:rsid w:val="00FD08D9"/>
    <w:rsid w:val="00FD21AE"/>
    <w:rsid w:val="00FD26AE"/>
    <w:rsid w:val="00FD37F5"/>
    <w:rsid w:val="00FD4213"/>
    <w:rsid w:val="00FD45D4"/>
    <w:rsid w:val="00FD4F53"/>
    <w:rsid w:val="00FD5F86"/>
    <w:rsid w:val="00FE0E97"/>
    <w:rsid w:val="00FE1956"/>
    <w:rsid w:val="00FE1AF1"/>
    <w:rsid w:val="00FE1EC6"/>
    <w:rsid w:val="00FE218A"/>
    <w:rsid w:val="00FE349E"/>
    <w:rsid w:val="00FE4B8B"/>
    <w:rsid w:val="00FE58DE"/>
    <w:rsid w:val="00FE644E"/>
    <w:rsid w:val="00FE6E64"/>
    <w:rsid w:val="00FE7491"/>
    <w:rsid w:val="00FE7EC2"/>
    <w:rsid w:val="00FF3C98"/>
    <w:rsid w:val="00FF4FC8"/>
    <w:rsid w:val="00FF55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A792586"/>
  <w15:chartTrackingRefBased/>
  <w15:docId w15:val="{5EDD0580-AC9D-40CC-B56E-DB375E837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1C98"/>
    <w:rPr>
      <w:rFonts w:ascii="Arial" w:hAnsi="Arial" w:cs="Arial"/>
      <w:sz w:val="24"/>
      <w:szCs w:val="24"/>
      <w:lang w:eastAsia="en-US"/>
    </w:rPr>
  </w:style>
  <w:style w:type="paragraph" w:styleId="Heading1">
    <w:name w:val="heading 1"/>
    <w:basedOn w:val="Normal"/>
    <w:next w:val="Normal"/>
    <w:link w:val="Heading1Char"/>
    <w:qFormat/>
    <w:rsid w:val="00C0492F"/>
    <w:pPr>
      <w:keepNext/>
      <w:keepLines/>
      <w:spacing w:after="240"/>
      <w:outlineLvl w:val="0"/>
    </w:pPr>
    <w:rPr>
      <w:rFonts w:eastAsiaTheme="majorEastAsia" w:cstheme="majorBidi"/>
      <w:b/>
      <w:caps/>
      <w:color w:val="000000" w:themeColor="text1"/>
      <w:szCs w:val="32"/>
    </w:rPr>
  </w:style>
  <w:style w:type="paragraph" w:styleId="Heading3">
    <w:name w:val="heading 3"/>
    <w:basedOn w:val="Normal"/>
    <w:next w:val="Normal"/>
    <w:qFormat/>
    <w:rsid w:val="00570C22"/>
    <w:pPr>
      <w:keepNext/>
      <w:spacing w:before="240" w:after="60"/>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2">
    <w:name w:val="normal2"/>
    <w:rsid w:val="00570C22"/>
    <w:rPr>
      <w:rFonts w:ascii="Times New Roman" w:hAnsi="Times New Roman" w:cs="Times New Roman" w:hint="default"/>
      <w:strike w:val="0"/>
      <w:dstrike w:val="0"/>
      <w:sz w:val="24"/>
      <w:szCs w:val="24"/>
      <w:u w:val="none"/>
      <w:effect w:val="none"/>
    </w:rPr>
  </w:style>
  <w:style w:type="paragraph" w:styleId="Header">
    <w:name w:val="header"/>
    <w:basedOn w:val="Normal"/>
    <w:link w:val="HeaderChar"/>
    <w:rsid w:val="00A1212A"/>
    <w:pPr>
      <w:tabs>
        <w:tab w:val="center" w:pos="4153"/>
        <w:tab w:val="right" w:pos="8306"/>
      </w:tabs>
    </w:pPr>
  </w:style>
  <w:style w:type="paragraph" w:styleId="Footer">
    <w:name w:val="footer"/>
    <w:basedOn w:val="Normal"/>
    <w:rsid w:val="00A1212A"/>
    <w:pPr>
      <w:tabs>
        <w:tab w:val="center" w:pos="4153"/>
        <w:tab w:val="right" w:pos="8306"/>
      </w:tabs>
    </w:pPr>
  </w:style>
  <w:style w:type="character" w:styleId="Strong">
    <w:name w:val="Strong"/>
    <w:qFormat/>
    <w:rsid w:val="009B488D"/>
    <w:rPr>
      <w:b/>
      <w:bCs/>
    </w:rPr>
  </w:style>
  <w:style w:type="paragraph" w:customStyle="1" w:styleId="Bulleted">
    <w:name w:val="Bulleted"/>
    <w:basedOn w:val="Normal"/>
    <w:rsid w:val="00EC67C8"/>
    <w:pPr>
      <w:numPr>
        <w:numId w:val="1"/>
      </w:numPr>
    </w:pPr>
  </w:style>
  <w:style w:type="paragraph" w:styleId="ListParagraph">
    <w:name w:val="List Paragraph"/>
    <w:basedOn w:val="Normal"/>
    <w:uiPriority w:val="34"/>
    <w:qFormat/>
    <w:rsid w:val="0057017A"/>
    <w:pPr>
      <w:ind w:left="720"/>
    </w:pPr>
  </w:style>
  <w:style w:type="paragraph" w:styleId="BalloonText">
    <w:name w:val="Balloon Text"/>
    <w:basedOn w:val="Normal"/>
    <w:link w:val="BalloonTextChar"/>
    <w:rsid w:val="004B357C"/>
    <w:rPr>
      <w:rFonts w:ascii="Tahoma" w:hAnsi="Tahoma" w:cs="Tahoma"/>
      <w:sz w:val="16"/>
      <w:szCs w:val="16"/>
    </w:rPr>
  </w:style>
  <w:style w:type="character" w:customStyle="1" w:styleId="BalloonTextChar">
    <w:name w:val="Balloon Text Char"/>
    <w:link w:val="BalloonText"/>
    <w:rsid w:val="004B357C"/>
    <w:rPr>
      <w:rFonts w:ascii="Tahoma" w:hAnsi="Tahoma" w:cs="Tahoma"/>
      <w:sz w:val="16"/>
      <w:szCs w:val="16"/>
      <w:lang w:eastAsia="en-US"/>
    </w:rPr>
  </w:style>
  <w:style w:type="paragraph" w:styleId="NoSpacing">
    <w:name w:val="No Spacing"/>
    <w:uiPriority w:val="1"/>
    <w:qFormat/>
    <w:rsid w:val="00C81A89"/>
    <w:rPr>
      <w:rFonts w:ascii="Arial" w:eastAsia="Calibri" w:hAnsi="Arial" w:cs="Arial"/>
      <w:sz w:val="22"/>
      <w:szCs w:val="22"/>
      <w:lang w:eastAsia="en-US"/>
    </w:rPr>
  </w:style>
  <w:style w:type="character" w:styleId="Hyperlink">
    <w:name w:val="Hyperlink"/>
    <w:rsid w:val="00E55B4F"/>
    <w:rPr>
      <w:color w:val="0000FF"/>
      <w:u w:val="single"/>
    </w:rPr>
  </w:style>
  <w:style w:type="table" w:styleId="TableGrid">
    <w:name w:val="Table Grid"/>
    <w:basedOn w:val="TableNormal"/>
    <w:uiPriority w:val="59"/>
    <w:rsid w:val="00026CE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A6222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966B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966B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966B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966B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966B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966B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966B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966B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0C5166"/>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rsid w:val="00B15F8B"/>
    <w:rPr>
      <w:rFonts w:ascii="Arial" w:hAnsi="Arial" w:cs="Arial"/>
      <w:sz w:val="24"/>
      <w:szCs w:val="24"/>
      <w:lang w:eastAsia="en-US"/>
    </w:rPr>
  </w:style>
  <w:style w:type="paragraph" w:customStyle="1" w:styleId="Default">
    <w:name w:val="Default"/>
    <w:rsid w:val="006B41B0"/>
    <w:pPr>
      <w:autoSpaceDE w:val="0"/>
      <w:autoSpaceDN w:val="0"/>
      <w:adjustRightInd w:val="0"/>
    </w:pPr>
    <w:rPr>
      <w:rFonts w:ascii="Rockwell" w:hAnsi="Rockwell" w:cs="Rockwell"/>
      <w:color w:val="000000"/>
      <w:sz w:val="24"/>
      <w:szCs w:val="24"/>
    </w:rPr>
  </w:style>
  <w:style w:type="character" w:customStyle="1" w:styleId="Heading1Char">
    <w:name w:val="Heading 1 Char"/>
    <w:basedOn w:val="DefaultParagraphFont"/>
    <w:link w:val="Heading1"/>
    <w:rsid w:val="00C0492F"/>
    <w:rPr>
      <w:rFonts w:ascii="Arial" w:eastAsiaTheme="majorEastAsia" w:hAnsi="Arial" w:cstheme="majorBidi"/>
      <w:b/>
      <w:caps/>
      <w:color w:val="000000" w:themeColor="text1"/>
      <w:sz w:val="24"/>
      <w:szCs w:val="32"/>
      <w:lang w:eastAsia="en-US"/>
    </w:rPr>
  </w:style>
  <w:style w:type="paragraph" w:customStyle="1" w:styleId="NumbList3">
    <w:name w:val="NumbList3"/>
    <w:basedOn w:val="Normal"/>
    <w:rsid w:val="00C0492F"/>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5095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10" Type="http://schemas.openxmlformats.org/officeDocument/2006/relationships/header" Target="header1.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A0D580-5D22-479C-977D-B4DAD0290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1349</Words>
  <Characters>7442</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EssexFire</Company>
  <LinksUpToDate>false</LinksUpToDate>
  <CharactersWithSpaces>8774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 Section</dc:creator>
  <cp:keywords/>
  <cp:lastModifiedBy>Anthony Maude 42078422</cp:lastModifiedBy>
  <cp:revision>2</cp:revision>
  <cp:lastPrinted>2017-04-27T08:33:00Z</cp:lastPrinted>
  <dcterms:created xsi:type="dcterms:W3CDTF">2018-05-23T16:19:00Z</dcterms:created>
  <dcterms:modified xsi:type="dcterms:W3CDTF">2018-05-23T16:19:00Z</dcterms:modified>
</cp:coreProperties>
</file>