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22" w:rsidRDefault="002F45F7" w:rsidP="007320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107DC" wp14:editId="555B80EA">
                <wp:simplePos x="0" y="0"/>
                <wp:positionH relativeFrom="column">
                  <wp:posOffset>-9525</wp:posOffset>
                </wp:positionH>
                <wp:positionV relativeFrom="paragraph">
                  <wp:posOffset>-1024255</wp:posOffset>
                </wp:positionV>
                <wp:extent cx="4352290" cy="781685"/>
                <wp:effectExtent l="635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107D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<v:textbox>
                  <w:txbxContent>
                    <w:p w:rsidR="00B15F8B" w:rsidRPr="002F45F7" w:rsidRDefault="002F45F7" w:rsidP="00B15F8B">
                      <w:pPr>
                        <w:pStyle w:val="Head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ESSEX POLICE, FIRE AND CRIME COMMISSIONER FIRE &amp; RESCUE AUTHORITY</w:t>
                      </w:r>
                    </w:p>
                    <w:p w:rsidR="00B15F8B" w:rsidRPr="002F45F7" w:rsidRDefault="00B15F8B" w:rsidP="00B15F8B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F45F7">
                        <w:rPr>
                          <w:rFonts w:ascii="Arial Narrow" w:hAnsi="Arial Narrow"/>
                          <w:sz w:val="32"/>
                          <w:szCs w:val="32"/>
                        </w:rPr>
                        <w:t>Essex County Fire &amp; Rescue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4575904" wp14:editId="26783856">
            <wp:simplePos x="0" y="0"/>
            <wp:positionH relativeFrom="column">
              <wp:posOffset>-447040</wp:posOffset>
            </wp:positionH>
            <wp:positionV relativeFrom="paragraph">
              <wp:posOffset>-1593215</wp:posOffset>
            </wp:positionV>
            <wp:extent cx="6946900" cy="1572895"/>
            <wp:effectExtent l="0" t="0" r="0" b="0"/>
            <wp:wrapNone/>
            <wp:docPr id="10" name="Picture 17" descr="RH_A4+stripcrest_bor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_A4+stripcrest_border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F26859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and Resources Board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2C32A0" w:rsidP="00C9346B">
            <w:pPr>
              <w:spacing w:before="120" w:after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  <w:bookmarkStart w:id="0" w:name="_GoBack"/>
            <w:bookmarkEnd w:id="0"/>
            <w:r w:rsidR="001B3328">
              <w:rPr>
                <w:rFonts w:cs="Times New Roman"/>
                <w:sz w:val="32"/>
                <w:szCs w:val="32"/>
              </w:rPr>
              <w:t xml:space="preserve"> </w:t>
            </w:r>
          </w:p>
        </w:tc>
      </w:tr>
      <w:tr w:rsidR="00B15F8B" w:rsidRPr="009E572F" w:rsidTr="00B15F8B"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:rsidR="00B15F8B" w:rsidRPr="009E572F" w:rsidRDefault="001B3328" w:rsidP="00EC7871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</w:t>
            </w:r>
            <w:r w:rsidR="00F26859">
              <w:rPr>
                <w:rFonts w:cs="Times New Roman"/>
                <w:szCs w:val="20"/>
              </w:rPr>
              <w:t>29 August 2018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B15F8B" w:rsidRPr="00B15F8B" w:rsidRDefault="003C4D29" w:rsidP="001B3328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 </w:t>
            </w:r>
            <w:r w:rsidR="001B3328">
              <w:rPr>
                <w:rFonts w:cs="Times New Roman"/>
                <w:b/>
                <w:szCs w:val="20"/>
              </w:rPr>
              <w:t xml:space="preserve"> 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9E572F" w:rsidRPr="00B15F8B" w:rsidRDefault="00C9346B" w:rsidP="009E572F">
            <w:pPr>
              <w:spacing w:before="120" w:after="120"/>
              <w:rPr>
                <w:rFonts w:cs="Times New Roman"/>
                <w:szCs w:val="20"/>
              </w:rPr>
            </w:pPr>
            <w:r w:rsidRPr="00C9346B">
              <w:rPr>
                <w:rFonts w:cs="Times New Roman"/>
                <w:szCs w:val="20"/>
              </w:rPr>
              <w:t>Community Development and Safeguarding Manager</w:t>
            </w:r>
          </w:p>
        </w:tc>
      </w:tr>
      <w:tr w:rsidR="009E572F" w:rsidRPr="009E572F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C9346B" w:rsidP="009E572F">
            <w:pPr>
              <w:spacing w:before="120" w:after="120"/>
              <w:rPr>
                <w:rFonts w:cs="Times New Roman"/>
                <w:szCs w:val="20"/>
              </w:rPr>
            </w:pPr>
            <w:r w:rsidRPr="00C9346B">
              <w:rPr>
                <w:rFonts w:cs="Times New Roman"/>
                <w:szCs w:val="20"/>
              </w:rPr>
              <w:t>Director of Prevention, Protection &amp; Response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:rsidR="009E572F" w:rsidRPr="003A46D1" w:rsidRDefault="00C9346B" w:rsidP="001B3328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Safeguarding Update </w:t>
            </w:r>
            <w:r w:rsidR="001A44CA">
              <w:rPr>
                <w:rFonts w:cs="Times New Roman"/>
                <w:b/>
                <w:szCs w:val="20"/>
              </w:rPr>
              <w:t>–</w:t>
            </w:r>
            <w:r>
              <w:rPr>
                <w:rFonts w:cs="Times New Roman"/>
                <w:b/>
                <w:szCs w:val="20"/>
              </w:rPr>
              <w:t xml:space="preserve"> </w:t>
            </w:r>
            <w:r w:rsidR="00DB2D5C">
              <w:rPr>
                <w:rFonts w:cs="Times New Roman"/>
                <w:b/>
                <w:szCs w:val="20"/>
              </w:rPr>
              <w:t>Ju</w:t>
            </w:r>
            <w:r w:rsidR="001B3328">
              <w:rPr>
                <w:rFonts w:cs="Times New Roman"/>
                <w:b/>
                <w:szCs w:val="20"/>
              </w:rPr>
              <w:t>ly</w:t>
            </w:r>
            <w:r w:rsidR="00DB2D5C">
              <w:rPr>
                <w:rFonts w:cs="Times New Roman"/>
                <w:b/>
                <w:szCs w:val="20"/>
              </w:rPr>
              <w:t xml:space="preserve"> </w:t>
            </w:r>
            <w:r w:rsidR="001A44CA">
              <w:rPr>
                <w:rFonts w:cs="Times New Roman"/>
                <w:b/>
                <w:szCs w:val="20"/>
              </w:rPr>
              <w:t xml:space="preserve"> 2018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9E572F" w:rsidRPr="009E572F" w:rsidRDefault="00145906" w:rsidP="009E572F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  <w:r w:rsidR="00C43DFB">
              <w:rPr>
                <w:rFonts w:cs="Times New Roman"/>
                <w:szCs w:val="20"/>
              </w:rPr>
              <w:t xml:space="preserve"> 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C0492F" w:rsidRPr="009C4F98" w:rsidRDefault="00C0492F" w:rsidP="00C0492F">
      <w:pPr>
        <w:pStyle w:val="Heading1"/>
      </w:pPr>
      <w:r w:rsidRPr="00C0492F">
        <w:t>Recommendations</w:t>
      </w:r>
    </w:p>
    <w:p w:rsidR="00C9346B" w:rsidRDefault="00C9346B" w:rsidP="00C9346B">
      <w:pPr>
        <w:pStyle w:val="NumbList3"/>
        <w:numPr>
          <w:ilvl w:val="0"/>
          <w:numId w:val="0"/>
        </w:numPr>
        <w:spacing w:after="240"/>
        <w:jc w:val="both"/>
      </w:pPr>
      <w:r>
        <w:t>Members of the board are asked to note the following contents of the report for information.</w:t>
      </w:r>
    </w:p>
    <w:p w:rsidR="00C0492F" w:rsidRPr="002E1E94" w:rsidRDefault="00C0492F" w:rsidP="00C0492F">
      <w:pPr>
        <w:pStyle w:val="Heading1"/>
      </w:pPr>
      <w:r>
        <w:t>BACKGROUND</w:t>
      </w:r>
    </w:p>
    <w:p w:rsidR="00164879" w:rsidRDefault="00C9346B" w:rsidP="00C9346B">
      <w:pPr>
        <w:pStyle w:val="NumbList3"/>
        <w:numPr>
          <w:ilvl w:val="0"/>
          <w:numId w:val="0"/>
        </w:numPr>
        <w:spacing w:after="240"/>
        <w:jc w:val="both"/>
      </w:pPr>
      <w:r w:rsidRPr="00C9346B">
        <w:t xml:space="preserve">Safeguarding updates are submitted to the </w:t>
      </w:r>
      <w:r w:rsidR="00F26859">
        <w:t>Performance and Resources Board</w:t>
      </w:r>
      <w:r>
        <w:t xml:space="preserve"> on a </w:t>
      </w:r>
      <w:r w:rsidRPr="00C9346B">
        <w:t>monthly basis.</w:t>
      </w:r>
    </w:p>
    <w:p w:rsidR="00C0492F" w:rsidRPr="002E1E94" w:rsidRDefault="00C0492F" w:rsidP="00C0492F">
      <w:pPr>
        <w:pStyle w:val="Heading1"/>
      </w:pPr>
      <w:r>
        <w:t>Options and Analysis</w:t>
      </w:r>
    </w:p>
    <w:p w:rsidR="00065289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Adult Safeguarding referrals </w:t>
      </w:r>
      <w:r w:rsidR="00795919">
        <w:rPr>
          <w:rFonts w:eastAsiaTheme="minorHAnsi"/>
          <w:b/>
        </w:rPr>
        <w:t>Ju</w:t>
      </w:r>
      <w:r w:rsidR="00E72F78">
        <w:rPr>
          <w:rFonts w:eastAsiaTheme="minorHAnsi"/>
          <w:b/>
        </w:rPr>
        <w:t>ly</w:t>
      </w:r>
      <w:r w:rsidR="003852EA">
        <w:rPr>
          <w:rFonts w:eastAsiaTheme="minorHAnsi"/>
          <w:b/>
        </w:rPr>
        <w:t xml:space="preserve"> 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North West </w:t>
            </w:r>
          </w:p>
        </w:tc>
        <w:tc>
          <w:tcPr>
            <w:tcW w:w="4508" w:type="dxa"/>
          </w:tcPr>
          <w:p w:rsidR="00C9346B" w:rsidRPr="00C9346B" w:rsidRDefault="00E72F78" w:rsidP="00C9346B">
            <w:r>
              <w:t>3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North East </w:t>
            </w:r>
          </w:p>
        </w:tc>
        <w:tc>
          <w:tcPr>
            <w:tcW w:w="4508" w:type="dxa"/>
          </w:tcPr>
          <w:p w:rsidR="00C9346B" w:rsidRPr="00C9346B" w:rsidRDefault="00152ABF" w:rsidP="00C9346B">
            <w:r>
              <w:t>2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South West </w:t>
            </w:r>
          </w:p>
        </w:tc>
        <w:tc>
          <w:tcPr>
            <w:tcW w:w="4508" w:type="dxa"/>
          </w:tcPr>
          <w:p w:rsidR="00C9346B" w:rsidRPr="00C9346B" w:rsidRDefault="00E72F78" w:rsidP="003852EA">
            <w:r>
              <w:t>5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 xml:space="preserve">Crews South East </w:t>
            </w:r>
          </w:p>
        </w:tc>
        <w:tc>
          <w:tcPr>
            <w:tcW w:w="4508" w:type="dxa"/>
          </w:tcPr>
          <w:p w:rsidR="00C9346B" w:rsidRPr="00C9346B" w:rsidRDefault="00152ABF" w:rsidP="00C9346B">
            <w:r>
              <w:t>6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E72F78" w:rsidP="00C9346B">
            <w:r>
              <w:t>Safe and Well</w:t>
            </w:r>
          </w:p>
        </w:tc>
        <w:tc>
          <w:tcPr>
            <w:tcW w:w="4508" w:type="dxa"/>
          </w:tcPr>
          <w:p w:rsidR="00C9346B" w:rsidRPr="00C9346B" w:rsidRDefault="008106B3" w:rsidP="00C9346B">
            <w:r>
              <w:t>9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>Community Builders</w:t>
            </w:r>
          </w:p>
        </w:tc>
        <w:tc>
          <w:tcPr>
            <w:tcW w:w="4508" w:type="dxa"/>
          </w:tcPr>
          <w:p w:rsidR="00C9346B" w:rsidRPr="00C9346B" w:rsidRDefault="00152ABF" w:rsidP="00C9346B">
            <w:r>
              <w:t>5</w:t>
            </w:r>
          </w:p>
        </w:tc>
      </w:tr>
      <w:tr w:rsidR="00F978B2" w:rsidRPr="00C9346B" w:rsidTr="00C45006">
        <w:tc>
          <w:tcPr>
            <w:tcW w:w="4508" w:type="dxa"/>
          </w:tcPr>
          <w:p w:rsidR="00F978B2" w:rsidRPr="00C9346B" w:rsidRDefault="00795919" w:rsidP="00C9346B">
            <w:r>
              <w:t>Police (Rural Collaboration)</w:t>
            </w:r>
          </w:p>
        </w:tc>
        <w:tc>
          <w:tcPr>
            <w:tcW w:w="4508" w:type="dxa"/>
          </w:tcPr>
          <w:p w:rsidR="00F978B2" w:rsidRDefault="00E72F78" w:rsidP="00C9346B">
            <w:r>
              <w:t xml:space="preserve"> 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C9346B" w:rsidP="00C9346B">
            <w:r w:rsidRPr="00C9346B">
              <w:t>Internal referrals</w:t>
            </w:r>
          </w:p>
        </w:tc>
        <w:tc>
          <w:tcPr>
            <w:tcW w:w="4508" w:type="dxa"/>
          </w:tcPr>
          <w:p w:rsidR="00C9346B" w:rsidRPr="00C9346B" w:rsidRDefault="00455574" w:rsidP="00C9346B">
            <w:r>
              <w:t>1</w:t>
            </w:r>
          </w:p>
        </w:tc>
      </w:tr>
      <w:tr w:rsidR="001A44CA" w:rsidRPr="00C9346B" w:rsidTr="001A44CA"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795919" w:rsidP="008106B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106B3">
              <w:rPr>
                <w:b/>
              </w:rPr>
              <w:t>31</w:t>
            </w:r>
          </w:p>
        </w:tc>
      </w:tr>
    </w:tbl>
    <w:p w:rsidR="00164879" w:rsidRDefault="00164879" w:rsidP="00C9346B">
      <w:pPr>
        <w:rPr>
          <w:rFonts w:eastAsiaTheme="minorHAnsi"/>
        </w:rPr>
      </w:pPr>
    </w:p>
    <w:p w:rsidR="00164879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Children’s Safeguarding referrals </w:t>
      </w:r>
      <w:r w:rsidR="00795919">
        <w:rPr>
          <w:rFonts w:eastAsiaTheme="minorHAnsi"/>
          <w:b/>
        </w:rPr>
        <w:t>Ju</w:t>
      </w:r>
      <w:r w:rsidR="00E72F78">
        <w:rPr>
          <w:rFonts w:eastAsiaTheme="minorHAnsi"/>
          <w:b/>
        </w:rPr>
        <w:t>ly</w:t>
      </w:r>
      <w:r w:rsidR="00795919">
        <w:rPr>
          <w:rFonts w:eastAsiaTheme="minorHAnsi"/>
          <w:b/>
        </w:rPr>
        <w:t xml:space="preserve"> </w:t>
      </w:r>
      <w:r w:rsidR="003852EA">
        <w:rPr>
          <w:rFonts w:eastAsiaTheme="minorHAnsi"/>
          <w:b/>
        </w:rPr>
        <w:t>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346B" w:rsidRPr="00C9346B" w:rsidTr="00164879">
        <w:trPr>
          <w:trHeight w:val="436"/>
        </w:trPr>
        <w:tc>
          <w:tcPr>
            <w:tcW w:w="4508" w:type="dxa"/>
          </w:tcPr>
          <w:p w:rsidR="00164879" w:rsidRPr="00C9346B" w:rsidRDefault="00C9346B" w:rsidP="00164879">
            <w:r w:rsidRPr="00C9346B">
              <w:t>Education Officers</w:t>
            </w:r>
          </w:p>
        </w:tc>
        <w:tc>
          <w:tcPr>
            <w:tcW w:w="4508" w:type="dxa"/>
          </w:tcPr>
          <w:p w:rsidR="00C9346B" w:rsidRPr="00C9346B" w:rsidRDefault="00E72F78" w:rsidP="00C9346B">
            <w:r>
              <w:t>1</w:t>
            </w:r>
          </w:p>
        </w:tc>
      </w:tr>
      <w:tr w:rsidR="00C9346B" w:rsidRPr="00C9346B" w:rsidTr="00C45006">
        <w:tc>
          <w:tcPr>
            <w:tcW w:w="4508" w:type="dxa"/>
          </w:tcPr>
          <w:p w:rsidR="00C9346B" w:rsidRPr="00C9346B" w:rsidRDefault="00E72F78" w:rsidP="00C9346B">
            <w:r>
              <w:t>JFS</w:t>
            </w:r>
          </w:p>
        </w:tc>
        <w:tc>
          <w:tcPr>
            <w:tcW w:w="4508" w:type="dxa"/>
          </w:tcPr>
          <w:p w:rsidR="00C9346B" w:rsidRPr="00C9346B" w:rsidRDefault="00795919" w:rsidP="00C9346B">
            <w:r>
              <w:t>2</w:t>
            </w:r>
          </w:p>
        </w:tc>
      </w:tr>
      <w:tr w:rsidR="00E72F78" w:rsidRPr="00C9346B" w:rsidTr="00C45006">
        <w:tc>
          <w:tcPr>
            <w:tcW w:w="4508" w:type="dxa"/>
          </w:tcPr>
          <w:p w:rsidR="00E72F78" w:rsidRDefault="00E72F78" w:rsidP="00E72F78">
            <w:r>
              <w:t>Safe and Well</w:t>
            </w:r>
          </w:p>
        </w:tc>
        <w:tc>
          <w:tcPr>
            <w:tcW w:w="4508" w:type="dxa"/>
          </w:tcPr>
          <w:p w:rsidR="00E72F78" w:rsidRDefault="00E72F78" w:rsidP="00C9346B">
            <w:r>
              <w:t>1</w:t>
            </w:r>
          </w:p>
        </w:tc>
      </w:tr>
      <w:tr w:rsidR="001A44CA" w:rsidRPr="00C9346B" w:rsidTr="001A44CA"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1A44CA" w:rsidRPr="001A44CA" w:rsidRDefault="00795919" w:rsidP="00C934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64879" w:rsidRDefault="00795919" w:rsidP="00C9346B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795919" w:rsidRDefault="00795919" w:rsidP="00C9346B">
      <w:pPr>
        <w:rPr>
          <w:rFonts w:eastAsiaTheme="minorHAnsi"/>
        </w:rPr>
      </w:pPr>
    </w:p>
    <w:p w:rsidR="00795919" w:rsidRDefault="00795919" w:rsidP="00C9346B">
      <w:pPr>
        <w:rPr>
          <w:rFonts w:eastAsiaTheme="minorHAnsi"/>
          <w:b/>
        </w:rPr>
      </w:pPr>
    </w:p>
    <w:p w:rsidR="001A44CA" w:rsidRPr="00C9346B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 xml:space="preserve">Community Builder Engagements </w:t>
      </w:r>
      <w:r w:rsidR="00795919">
        <w:rPr>
          <w:rFonts w:eastAsiaTheme="minorHAnsi"/>
          <w:b/>
        </w:rPr>
        <w:t>Ju</w:t>
      </w:r>
      <w:r w:rsidR="00E72F78">
        <w:rPr>
          <w:rFonts w:eastAsiaTheme="minorHAnsi"/>
          <w:b/>
        </w:rPr>
        <w:t>ly</w:t>
      </w:r>
      <w:r w:rsidR="00795919">
        <w:rPr>
          <w:rFonts w:eastAsiaTheme="minorHAnsi"/>
          <w:b/>
        </w:rPr>
        <w:t xml:space="preserve"> 2018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689"/>
        <w:gridCol w:w="3118"/>
      </w:tblGrid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North East</w:t>
            </w:r>
          </w:p>
        </w:tc>
        <w:tc>
          <w:tcPr>
            <w:tcW w:w="3118" w:type="dxa"/>
          </w:tcPr>
          <w:p w:rsidR="001A44CA" w:rsidRPr="00C9346B" w:rsidRDefault="001232AB" w:rsidP="00C9346B">
            <w:r>
              <w:t>8</w:t>
            </w:r>
          </w:p>
        </w:tc>
      </w:tr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North West</w:t>
            </w:r>
          </w:p>
        </w:tc>
        <w:tc>
          <w:tcPr>
            <w:tcW w:w="3118" w:type="dxa"/>
          </w:tcPr>
          <w:p w:rsidR="001A44CA" w:rsidRPr="00C9346B" w:rsidRDefault="00152ABF" w:rsidP="00152ABF">
            <w:r>
              <w:t>10</w:t>
            </w:r>
          </w:p>
        </w:tc>
      </w:tr>
      <w:tr w:rsidR="001A44CA" w:rsidRPr="00C9346B" w:rsidTr="00DC076C">
        <w:tc>
          <w:tcPr>
            <w:tcW w:w="2689" w:type="dxa"/>
          </w:tcPr>
          <w:p w:rsidR="001A44CA" w:rsidRPr="00C9346B" w:rsidRDefault="001A44CA" w:rsidP="00C9346B">
            <w:r w:rsidRPr="00C9346B">
              <w:t>South East</w:t>
            </w:r>
          </w:p>
        </w:tc>
        <w:tc>
          <w:tcPr>
            <w:tcW w:w="3118" w:type="dxa"/>
          </w:tcPr>
          <w:p w:rsidR="001A44CA" w:rsidRPr="00C9346B" w:rsidRDefault="001232AB" w:rsidP="00C9346B">
            <w:r>
              <w:t>6</w:t>
            </w:r>
          </w:p>
        </w:tc>
      </w:tr>
      <w:tr w:rsidR="001A44CA" w:rsidRPr="00C9346B" w:rsidTr="00DC076C">
        <w:trPr>
          <w:trHeight w:val="70"/>
        </w:trPr>
        <w:tc>
          <w:tcPr>
            <w:tcW w:w="2689" w:type="dxa"/>
          </w:tcPr>
          <w:p w:rsidR="001A44CA" w:rsidRPr="00C9346B" w:rsidRDefault="001A44CA" w:rsidP="00C9346B">
            <w:r w:rsidRPr="00C9346B">
              <w:t>South West</w:t>
            </w:r>
          </w:p>
        </w:tc>
        <w:tc>
          <w:tcPr>
            <w:tcW w:w="3118" w:type="dxa"/>
          </w:tcPr>
          <w:p w:rsidR="001A44CA" w:rsidRPr="00C9346B" w:rsidRDefault="001232AB" w:rsidP="00C9346B">
            <w:r>
              <w:t>1</w:t>
            </w:r>
          </w:p>
        </w:tc>
      </w:tr>
      <w:tr w:rsidR="001A44CA" w:rsidRPr="00C9346B" w:rsidTr="001A44CA">
        <w:trPr>
          <w:trHeight w:val="70"/>
        </w:trPr>
        <w:tc>
          <w:tcPr>
            <w:tcW w:w="2689" w:type="dxa"/>
            <w:shd w:val="clear" w:color="auto" w:fill="D9D9D9" w:themeFill="background1" w:themeFillShade="D9"/>
          </w:tcPr>
          <w:p w:rsidR="001A44CA" w:rsidRPr="001A44CA" w:rsidRDefault="001A44CA" w:rsidP="00C9346B">
            <w:pPr>
              <w:rPr>
                <w:b/>
              </w:rPr>
            </w:pPr>
            <w:r w:rsidRPr="001A44CA">
              <w:rPr>
                <w:b/>
              </w:rPr>
              <w:t>TOTAL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A44CA" w:rsidRPr="001A44CA" w:rsidRDefault="001232AB" w:rsidP="00152ABF">
            <w:pPr>
              <w:rPr>
                <w:b/>
              </w:rPr>
            </w:pPr>
            <w:r>
              <w:rPr>
                <w:b/>
              </w:rPr>
              <w:t>2</w:t>
            </w:r>
            <w:r w:rsidR="00152ABF">
              <w:rPr>
                <w:b/>
              </w:rPr>
              <w:t>5</w:t>
            </w:r>
          </w:p>
        </w:tc>
      </w:tr>
    </w:tbl>
    <w:p w:rsidR="00164879" w:rsidRDefault="00164879" w:rsidP="00C9346B">
      <w:pPr>
        <w:rPr>
          <w:rFonts w:eastAsiaTheme="minorHAnsi"/>
          <w:b/>
        </w:rPr>
      </w:pPr>
    </w:p>
    <w:p w:rsidR="00772286" w:rsidRDefault="00C9346B" w:rsidP="00C9346B">
      <w:pPr>
        <w:rPr>
          <w:rFonts w:eastAsiaTheme="minorHAnsi"/>
          <w:b/>
        </w:rPr>
      </w:pPr>
      <w:r w:rsidRPr="00C9346B">
        <w:rPr>
          <w:rFonts w:eastAsiaTheme="minorHAnsi"/>
          <w:b/>
        </w:rPr>
        <w:t>Comparison Trends for the previous 12 months</w:t>
      </w:r>
    </w:p>
    <w:p w:rsidR="003C4D29" w:rsidRPr="00C9346B" w:rsidRDefault="00165D99" w:rsidP="00C9346B">
      <w:pPr>
        <w:rPr>
          <w:rFonts w:eastAsiaTheme="minorHAnsi"/>
          <w:b/>
        </w:rPr>
      </w:pPr>
      <w:r w:rsidRPr="00C9346B">
        <w:rPr>
          <w:rFonts w:eastAsiaTheme="minorHAnsi"/>
          <w:b/>
          <w:noProof/>
          <w:lang w:eastAsia="en-GB"/>
        </w:rPr>
        <w:drawing>
          <wp:inline distT="0" distB="0" distL="0" distR="0" wp14:anchorId="1C1E71EE" wp14:editId="57057101">
            <wp:extent cx="5972538" cy="3645725"/>
            <wp:effectExtent l="0" t="0" r="9525" b="1206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4879" w:rsidRPr="00C9346B" w:rsidRDefault="00164879" w:rsidP="00C9346B">
      <w:pPr>
        <w:rPr>
          <w:rFonts w:eastAsiaTheme="minorHAnsi"/>
          <w:b/>
        </w:rPr>
      </w:pPr>
    </w:p>
    <w:p w:rsidR="00C9346B" w:rsidRDefault="00C9346B" w:rsidP="00C9346B">
      <w:pPr>
        <w:jc w:val="both"/>
        <w:rPr>
          <w:rFonts w:eastAsiaTheme="minorHAnsi"/>
          <w:b/>
        </w:rPr>
      </w:pPr>
      <w:r w:rsidRPr="00C9346B">
        <w:rPr>
          <w:rFonts w:eastAsiaTheme="minorHAnsi"/>
          <w:b/>
        </w:rPr>
        <w:t>Total number of outstanding</w:t>
      </w:r>
      <w:r w:rsidR="003C4D29">
        <w:rPr>
          <w:rFonts w:eastAsiaTheme="minorHAnsi"/>
          <w:b/>
        </w:rPr>
        <w:t xml:space="preserve">/open </w:t>
      </w:r>
      <w:r w:rsidRPr="00C9346B">
        <w:rPr>
          <w:rFonts w:eastAsiaTheme="minorHAnsi"/>
          <w:b/>
        </w:rPr>
        <w:t>referrals</w:t>
      </w:r>
    </w:p>
    <w:p w:rsidR="00EB3E1B" w:rsidRDefault="00393D2A" w:rsidP="00230895">
      <w:pPr>
        <w:jc w:val="both"/>
        <w:rPr>
          <w:rFonts w:eastAsiaTheme="minorHAnsi"/>
        </w:rPr>
      </w:pPr>
      <w:r>
        <w:rPr>
          <w:rFonts w:eastAsiaTheme="minorHAnsi"/>
        </w:rPr>
        <w:t>The current n</w:t>
      </w:r>
      <w:r w:rsidR="00C9346B" w:rsidRPr="00C9346B">
        <w:rPr>
          <w:rFonts w:eastAsiaTheme="minorHAnsi"/>
        </w:rPr>
        <w:t xml:space="preserve">umber of outstanding referrals being case managed </w:t>
      </w:r>
      <w:r w:rsidR="009A737C">
        <w:rPr>
          <w:rFonts w:eastAsiaTheme="minorHAnsi"/>
        </w:rPr>
        <w:t>increases daily with</w:t>
      </w:r>
      <w:r w:rsidR="00671A54">
        <w:rPr>
          <w:rFonts w:eastAsiaTheme="minorHAnsi"/>
        </w:rPr>
        <w:t xml:space="preserve"> currently </w:t>
      </w:r>
      <w:r w:rsidR="00A01B18">
        <w:rPr>
          <w:rFonts w:eastAsiaTheme="minorHAnsi"/>
        </w:rPr>
        <w:t>17</w:t>
      </w:r>
      <w:r w:rsidR="00A251F6">
        <w:rPr>
          <w:rFonts w:eastAsiaTheme="minorHAnsi"/>
        </w:rPr>
        <w:t>5</w:t>
      </w:r>
      <w:r w:rsidR="00A01B18">
        <w:rPr>
          <w:rFonts w:eastAsiaTheme="minorHAnsi"/>
        </w:rPr>
        <w:t xml:space="preserve"> </w:t>
      </w:r>
      <w:r w:rsidR="00671A54">
        <w:rPr>
          <w:rFonts w:eastAsiaTheme="minorHAnsi"/>
        </w:rPr>
        <w:t>open cases</w:t>
      </w:r>
      <w:r w:rsidR="007C54B2">
        <w:rPr>
          <w:rFonts w:eastAsiaTheme="minorHAnsi"/>
        </w:rPr>
        <w:t xml:space="preserve">. </w:t>
      </w:r>
      <w:r w:rsidR="00DD2379">
        <w:rPr>
          <w:rFonts w:eastAsiaTheme="minorHAnsi"/>
        </w:rPr>
        <w:t>The Service is looking to resolve the issue of outstanding cases requiring feedback from Essex County Council</w:t>
      </w:r>
      <w:r w:rsidR="00795919">
        <w:rPr>
          <w:rFonts w:eastAsiaTheme="minorHAnsi"/>
        </w:rPr>
        <w:t xml:space="preserve">. </w:t>
      </w:r>
    </w:p>
    <w:p w:rsidR="00795919" w:rsidRDefault="00795919" w:rsidP="00C9346B">
      <w:pPr>
        <w:jc w:val="both"/>
        <w:rPr>
          <w:rFonts w:eastAsiaTheme="minorHAnsi"/>
          <w:b/>
        </w:rPr>
      </w:pPr>
    </w:p>
    <w:p w:rsidR="003E2350" w:rsidRDefault="003E2350" w:rsidP="00C9346B">
      <w:pPr>
        <w:jc w:val="both"/>
        <w:rPr>
          <w:rFonts w:eastAsiaTheme="minorHAnsi"/>
          <w:b/>
        </w:rPr>
      </w:pPr>
    </w:p>
    <w:p w:rsidR="00C9346B" w:rsidRDefault="00C9346B" w:rsidP="00C9346B">
      <w:pPr>
        <w:jc w:val="both"/>
        <w:rPr>
          <w:rFonts w:eastAsiaTheme="minorHAnsi"/>
          <w:b/>
        </w:rPr>
      </w:pPr>
      <w:r w:rsidRPr="00C9346B">
        <w:rPr>
          <w:rFonts w:eastAsiaTheme="minorHAnsi"/>
          <w:b/>
        </w:rPr>
        <w:t>Any trends/ areas attracting most referrals</w:t>
      </w:r>
    </w:p>
    <w:p w:rsidR="003C4D29" w:rsidRDefault="00C9346B" w:rsidP="00C9346B">
      <w:pPr>
        <w:jc w:val="both"/>
        <w:rPr>
          <w:rFonts w:eastAsiaTheme="minorHAnsi"/>
        </w:rPr>
      </w:pPr>
      <w:r w:rsidRPr="00C9346B">
        <w:rPr>
          <w:rFonts w:eastAsiaTheme="minorHAnsi"/>
        </w:rPr>
        <w:t xml:space="preserve">The majority of referrals are regarding concerns for older people and their welfare, including hoarding. </w:t>
      </w:r>
    </w:p>
    <w:p w:rsidR="00C9346B" w:rsidRPr="00C9346B" w:rsidRDefault="00C9346B" w:rsidP="00C9346B">
      <w:pPr>
        <w:jc w:val="both"/>
        <w:rPr>
          <w:rFonts w:eastAsiaTheme="minorHAnsi"/>
        </w:rPr>
      </w:pPr>
    </w:p>
    <w:p w:rsidR="00C9346B" w:rsidRPr="00C9346B" w:rsidRDefault="00802E3E" w:rsidP="00C9346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UPDATE ON RESOURCES</w:t>
      </w:r>
    </w:p>
    <w:p w:rsidR="00C9346B" w:rsidRDefault="00DD2379" w:rsidP="00C9346B">
      <w:pPr>
        <w:jc w:val="both"/>
      </w:pPr>
      <w:r>
        <w:t>The Community Safety team are investigating the option to appoint a 12 month contract business support assistant in the near future to help with the outstanding cases.</w:t>
      </w:r>
    </w:p>
    <w:p w:rsidR="00DD2379" w:rsidRPr="00C9346B" w:rsidRDefault="00DD2379" w:rsidP="00C9346B">
      <w:pPr>
        <w:jc w:val="both"/>
        <w:rPr>
          <w:rFonts w:eastAsiaTheme="minorHAnsi"/>
        </w:rPr>
      </w:pPr>
    </w:p>
    <w:p w:rsidR="00C9346B" w:rsidRDefault="00C9346B" w:rsidP="00C9346B">
      <w:pPr>
        <w:jc w:val="both"/>
        <w:rPr>
          <w:rFonts w:eastAsiaTheme="minorHAnsi"/>
        </w:rPr>
      </w:pPr>
      <w:r w:rsidRPr="00C9346B">
        <w:rPr>
          <w:rFonts w:eastAsiaTheme="minorHAnsi"/>
          <w:b/>
        </w:rPr>
        <w:t>Community Builders</w:t>
      </w:r>
      <w:r w:rsidRPr="00C9346B">
        <w:rPr>
          <w:rFonts w:eastAsiaTheme="minorHAnsi"/>
        </w:rPr>
        <w:t xml:space="preserve">: </w:t>
      </w:r>
    </w:p>
    <w:p w:rsidR="00FD7536" w:rsidRDefault="00A01B18" w:rsidP="00C9346B">
      <w:pPr>
        <w:jc w:val="both"/>
        <w:rPr>
          <w:rFonts w:eastAsiaTheme="minorHAnsi"/>
        </w:rPr>
      </w:pPr>
      <w:r>
        <w:rPr>
          <w:rFonts w:eastAsiaTheme="minorHAnsi"/>
        </w:rPr>
        <w:t xml:space="preserve">Following a recruitment process </w:t>
      </w:r>
      <w:r w:rsidR="00DD2379">
        <w:rPr>
          <w:rFonts w:eastAsiaTheme="minorHAnsi"/>
        </w:rPr>
        <w:t>a new Community Builder will be joining</w:t>
      </w:r>
      <w:r>
        <w:rPr>
          <w:rFonts w:eastAsiaTheme="minorHAnsi"/>
        </w:rPr>
        <w:t xml:space="preserve"> on the 1</w:t>
      </w:r>
      <w:r w:rsidRPr="00A01B18">
        <w:rPr>
          <w:rFonts w:eastAsiaTheme="minorHAnsi"/>
          <w:vertAlign w:val="superscript"/>
        </w:rPr>
        <w:t>st</w:t>
      </w:r>
      <w:r>
        <w:rPr>
          <w:rFonts w:eastAsiaTheme="minorHAnsi"/>
        </w:rPr>
        <w:t xml:space="preserve"> September 2018. </w:t>
      </w:r>
    </w:p>
    <w:p w:rsidR="008106B3" w:rsidRDefault="008106B3" w:rsidP="00C9346B">
      <w:pPr>
        <w:jc w:val="both"/>
        <w:rPr>
          <w:rFonts w:eastAsiaTheme="minorHAnsi"/>
        </w:rPr>
      </w:pPr>
    </w:p>
    <w:p w:rsidR="00743E3F" w:rsidRDefault="00743E3F" w:rsidP="00C9346B">
      <w:pPr>
        <w:jc w:val="both"/>
        <w:rPr>
          <w:rFonts w:eastAsiaTheme="minorHAnsi"/>
          <w:b/>
        </w:rPr>
      </w:pPr>
      <w:r w:rsidRPr="00743E3F">
        <w:rPr>
          <w:rFonts w:eastAsiaTheme="minorHAnsi"/>
          <w:b/>
        </w:rPr>
        <w:t>Rural Builders</w:t>
      </w:r>
      <w:r>
        <w:rPr>
          <w:rFonts w:eastAsiaTheme="minorHAnsi"/>
          <w:b/>
        </w:rPr>
        <w:t>.</w:t>
      </w:r>
    </w:p>
    <w:p w:rsidR="00B45E14" w:rsidRDefault="00A01B18" w:rsidP="00C9346B">
      <w:pPr>
        <w:jc w:val="both"/>
        <w:rPr>
          <w:rFonts w:eastAsiaTheme="minorHAnsi"/>
        </w:rPr>
      </w:pPr>
      <w:r>
        <w:rPr>
          <w:rFonts w:eastAsiaTheme="minorHAnsi"/>
        </w:rPr>
        <w:t>A six monthly report</w:t>
      </w:r>
      <w:r w:rsidR="008106B3">
        <w:rPr>
          <w:rFonts w:eastAsiaTheme="minorHAnsi"/>
        </w:rPr>
        <w:t xml:space="preserve"> is being</w:t>
      </w:r>
      <w:r>
        <w:rPr>
          <w:rFonts w:eastAsiaTheme="minorHAnsi"/>
        </w:rPr>
        <w:t xml:space="preserve"> </w:t>
      </w:r>
      <w:r w:rsidR="000548DD">
        <w:rPr>
          <w:rFonts w:eastAsiaTheme="minorHAnsi"/>
        </w:rPr>
        <w:t xml:space="preserve">drafted </w:t>
      </w:r>
      <w:r>
        <w:rPr>
          <w:rFonts w:eastAsiaTheme="minorHAnsi"/>
        </w:rPr>
        <w:t>noting the progress of this pilot</w:t>
      </w:r>
      <w:r w:rsidR="008106B3">
        <w:rPr>
          <w:rFonts w:eastAsiaTheme="minorHAnsi"/>
        </w:rPr>
        <w:t xml:space="preserve"> and action plan moving forward.</w:t>
      </w:r>
      <w:r w:rsidR="0096195E">
        <w:rPr>
          <w:rFonts w:eastAsiaTheme="minorHAnsi"/>
        </w:rPr>
        <w:t xml:space="preserve"> </w:t>
      </w:r>
      <w:r w:rsidR="0011773E">
        <w:rPr>
          <w:rFonts w:eastAsiaTheme="minorHAnsi"/>
        </w:rPr>
        <w:t xml:space="preserve"> </w:t>
      </w:r>
    </w:p>
    <w:p w:rsidR="00802E3E" w:rsidRPr="00772286" w:rsidRDefault="00802E3E" w:rsidP="00C9346B">
      <w:pPr>
        <w:jc w:val="both"/>
        <w:rPr>
          <w:rFonts w:eastAsiaTheme="minorHAnsi"/>
        </w:rPr>
      </w:pPr>
    </w:p>
    <w:p w:rsidR="00802E3E" w:rsidRDefault="00802E3E" w:rsidP="00C9346B">
      <w:pPr>
        <w:jc w:val="both"/>
        <w:rPr>
          <w:rFonts w:eastAsiaTheme="minorHAnsi"/>
        </w:rPr>
      </w:pPr>
    </w:p>
    <w:p w:rsidR="00FD7536" w:rsidRPr="000C0EE3" w:rsidRDefault="00802E3E" w:rsidP="003E2350">
      <w:pPr>
        <w:jc w:val="both"/>
        <w:rPr>
          <w:rFonts w:eastAsiaTheme="minorHAnsi"/>
          <w:b/>
        </w:rPr>
      </w:pPr>
      <w:r w:rsidRPr="00802E3E">
        <w:rPr>
          <w:rFonts w:eastAsiaTheme="minorHAnsi"/>
          <w:b/>
        </w:rPr>
        <w:t>Significant Information</w:t>
      </w:r>
      <w:r>
        <w:rPr>
          <w:rFonts w:eastAsiaTheme="minorHAnsi"/>
          <w:b/>
        </w:rPr>
        <w:t>:</w:t>
      </w:r>
      <w:r w:rsidR="0011773E">
        <w:rPr>
          <w:rFonts w:eastAsiaTheme="minorHAnsi"/>
          <w:b/>
        </w:rPr>
        <w:t xml:space="preserve"> </w:t>
      </w:r>
    </w:p>
    <w:p w:rsidR="0011773E" w:rsidRPr="003E2350" w:rsidRDefault="0011773E" w:rsidP="003E2350">
      <w:pPr>
        <w:jc w:val="both"/>
        <w:rPr>
          <w:rFonts w:eastAsiaTheme="minorHAnsi"/>
        </w:rPr>
      </w:pPr>
    </w:p>
    <w:p w:rsidR="00230895" w:rsidRDefault="00C0492F" w:rsidP="00230895">
      <w:pPr>
        <w:pStyle w:val="Heading1"/>
      </w:pPr>
      <w:r w:rsidRPr="002E1E94">
        <w:t>Benefits and Risk Implications</w:t>
      </w:r>
    </w:p>
    <w:p w:rsidR="00230895" w:rsidRDefault="00DD2379" w:rsidP="00230895">
      <w:r>
        <w:t>None specific to this report.</w:t>
      </w:r>
    </w:p>
    <w:p w:rsidR="00DD2379" w:rsidRPr="00230895" w:rsidRDefault="00DD2379" w:rsidP="00230895"/>
    <w:p w:rsidR="00802E3E" w:rsidRDefault="00C0492F" w:rsidP="008106B3">
      <w:pPr>
        <w:pStyle w:val="Heading1"/>
        <w:tabs>
          <w:tab w:val="right" w:pos="9354"/>
        </w:tabs>
      </w:pPr>
      <w:r w:rsidRPr="002E1E94">
        <w:t>Financial Implications</w:t>
      </w:r>
      <w:r w:rsidR="003F506B">
        <w:t xml:space="preserve"> </w:t>
      </w:r>
      <w:r w:rsidR="00D62349">
        <w:t xml:space="preserve"> </w:t>
      </w:r>
    </w:p>
    <w:p w:rsidR="00BE70EA" w:rsidRDefault="00DD2379" w:rsidP="003F506B">
      <w:r>
        <w:t>Possibly the r</w:t>
      </w:r>
      <w:r w:rsidR="000548DD">
        <w:t>ecruitment of 1 X Business Support Assistant</w:t>
      </w:r>
      <w:r w:rsidR="00BE70EA">
        <w:t xml:space="preserve"> for CD&amp;S Team</w:t>
      </w:r>
      <w:r w:rsidR="004D6FCF">
        <w:t>.</w:t>
      </w:r>
    </w:p>
    <w:p w:rsidR="003F506B" w:rsidRPr="003F506B" w:rsidRDefault="003F506B" w:rsidP="003F506B"/>
    <w:p w:rsidR="00C0492F" w:rsidRPr="002E1E94" w:rsidRDefault="00C0492F" w:rsidP="00C0492F">
      <w:pPr>
        <w:pStyle w:val="Heading1"/>
      </w:pPr>
      <w:r w:rsidRPr="002E1E94">
        <w:t>Equality and Diversity Implications</w:t>
      </w:r>
    </w:p>
    <w:p w:rsidR="00C0492F" w:rsidRPr="000C653B" w:rsidRDefault="00C9346B" w:rsidP="00C9346B">
      <w:pPr>
        <w:pStyle w:val="NumbList3"/>
        <w:numPr>
          <w:ilvl w:val="0"/>
          <w:numId w:val="0"/>
        </w:numPr>
        <w:spacing w:after="240"/>
        <w:ind w:left="360" w:hanging="360"/>
        <w:rPr>
          <w:noProof/>
        </w:rPr>
      </w:pPr>
      <w:r w:rsidRPr="00C9346B">
        <w:rPr>
          <w:noProof/>
        </w:rPr>
        <w:t>There are no equality and diversity implications associated with this paper.</w:t>
      </w:r>
    </w:p>
    <w:p w:rsidR="00C0492F" w:rsidRPr="002E1E94" w:rsidRDefault="00C0492F" w:rsidP="00C0492F">
      <w:pPr>
        <w:pStyle w:val="Heading1"/>
      </w:pPr>
      <w:r w:rsidRPr="002E1E94">
        <w:t>Workforce Engagement</w:t>
      </w:r>
    </w:p>
    <w:p w:rsidR="00DD2379" w:rsidRPr="00DD2379" w:rsidRDefault="00DD2379" w:rsidP="00802E3E">
      <w:pPr>
        <w:pStyle w:val="NumbList3"/>
        <w:numPr>
          <w:ilvl w:val="0"/>
          <w:numId w:val="0"/>
        </w:numPr>
        <w:spacing w:after="240"/>
        <w:ind w:left="360" w:hanging="360"/>
        <w:rPr>
          <w:noProof/>
        </w:rPr>
      </w:pPr>
      <w:r w:rsidRPr="00DD2379">
        <w:rPr>
          <w:noProof/>
        </w:rPr>
        <w:t>N</w:t>
      </w:r>
      <w:r>
        <w:rPr>
          <w:noProof/>
        </w:rPr>
        <w:t>one specific</w:t>
      </w:r>
      <w:r w:rsidRPr="00DD2379">
        <w:rPr>
          <w:noProof/>
        </w:rPr>
        <w:t xml:space="preserve"> to this report.</w:t>
      </w:r>
    </w:p>
    <w:p w:rsidR="00C0492F" w:rsidRPr="00802E3E" w:rsidRDefault="00802E3E" w:rsidP="00802E3E">
      <w:pPr>
        <w:pStyle w:val="NumbList3"/>
        <w:numPr>
          <w:ilvl w:val="0"/>
          <w:numId w:val="0"/>
        </w:numPr>
        <w:spacing w:after="240"/>
        <w:ind w:left="360" w:hanging="360"/>
        <w:rPr>
          <w:b/>
        </w:rPr>
      </w:pPr>
      <w:r w:rsidRPr="00802E3E">
        <w:rPr>
          <w:b/>
        </w:rPr>
        <w:t>LEGAL IMPLICATIONS</w:t>
      </w:r>
    </w:p>
    <w:p w:rsidR="002F45F7" w:rsidRDefault="00C9346B" w:rsidP="00C9346B">
      <w:pPr>
        <w:pStyle w:val="NumbList3"/>
        <w:numPr>
          <w:ilvl w:val="0"/>
          <w:numId w:val="0"/>
        </w:numPr>
        <w:spacing w:after="240"/>
        <w:ind w:left="360" w:hanging="360"/>
        <w:rPr>
          <w:noProof/>
        </w:rPr>
      </w:pPr>
      <w:r w:rsidRPr="00C9346B">
        <w:rPr>
          <w:noProof/>
        </w:rPr>
        <w:t>There are no legal impliactions associated with this paper.</w:t>
      </w:r>
    </w:p>
    <w:p w:rsidR="00165D99" w:rsidRDefault="00165D99" w:rsidP="003E2350">
      <w:pPr>
        <w:pStyle w:val="NumbList3"/>
        <w:numPr>
          <w:ilvl w:val="0"/>
          <w:numId w:val="0"/>
        </w:numPr>
        <w:spacing w:after="240"/>
        <w:rPr>
          <w:noProof/>
        </w:rPr>
      </w:pPr>
    </w:p>
    <w:sectPr w:rsidR="00165D99" w:rsidSect="00A8212D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6B" w:rsidRDefault="0033126B">
      <w:r>
        <w:separator/>
      </w:r>
    </w:p>
  </w:endnote>
  <w:endnote w:type="continuationSeparator" w:id="0">
    <w:p w:rsidR="0033126B" w:rsidRDefault="0033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2C32A0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C32A0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2C32A0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C32A0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6B" w:rsidRDefault="0033126B">
      <w:r>
        <w:separator/>
      </w:r>
    </w:p>
  </w:footnote>
  <w:footnote w:type="continuationSeparator" w:id="0">
    <w:p w:rsidR="0033126B" w:rsidRDefault="00331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1D4C"/>
    <w:multiLevelType w:val="hybridMultilevel"/>
    <w:tmpl w:val="39EE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114"/>
    <w:multiLevelType w:val="hybridMultilevel"/>
    <w:tmpl w:val="AB0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B08"/>
    <w:multiLevelType w:val="hybridMultilevel"/>
    <w:tmpl w:val="A3E0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E84454"/>
    <w:multiLevelType w:val="hybridMultilevel"/>
    <w:tmpl w:val="02A8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06A6"/>
    <w:multiLevelType w:val="hybridMultilevel"/>
    <w:tmpl w:val="738E76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4B58"/>
    <w:rsid w:val="0001605A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A61"/>
    <w:rsid w:val="00050FB5"/>
    <w:rsid w:val="000548DD"/>
    <w:rsid w:val="000562DA"/>
    <w:rsid w:val="00057E76"/>
    <w:rsid w:val="000609B3"/>
    <w:rsid w:val="00061F0C"/>
    <w:rsid w:val="000640F3"/>
    <w:rsid w:val="000649BD"/>
    <w:rsid w:val="000651F2"/>
    <w:rsid w:val="00065289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4404"/>
    <w:rsid w:val="000952E3"/>
    <w:rsid w:val="000961DD"/>
    <w:rsid w:val="00096D9B"/>
    <w:rsid w:val="00097190"/>
    <w:rsid w:val="000A2A62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0EE3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11C6"/>
    <w:rsid w:val="000E4379"/>
    <w:rsid w:val="000E4CAB"/>
    <w:rsid w:val="000E68C7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1773E"/>
    <w:rsid w:val="00120C6E"/>
    <w:rsid w:val="00121537"/>
    <w:rsid w:val="00121710"/>
    <w:rsid w:val="00121C63"/>
    <w:rsid w:val="001232AB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906"/>
    <w:rsid w:val="00145D73"/>
    <w:rsid w:val="0014714B"/>
    <w:rsid w:val="00151327"/>
    <w:rsid w:val="00152ABF"/>
    <w:rsid w:val="00153361"/>
    <w:rsid w:val="0015497F"/>
    <w:rsid w:val="00154F7E"/>
    <w:rsid w:val="00160C32"/>
    <w:rsid w:val="001619B4"/>
    <w:rsid w:val="00164527"/>
    <w:rsid w:val="00164879"/>
    <w:rsid w:val="00165D99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293A"/>
    <w:rsid w:val="0019306B"/>
    <w:rsid w:val="00196CAA"/>
    <w:rsid w:val="001A013D"/>
    <w:rsid w:val="001A05AD"/>
    <w:rsid w:val="001A0754"/>
    <w:rsid w:val="001A07A4"/>
    <w:rsid w:val="001A0CB3"/>
    <w:rsid w:val="001A2C5A"/>
    <w:rsid w:val="001A44CA"/>
    <w:rsid w:val="001A4AC0"/>
    <w:rsid w:val="001A4D55"/>
    <w:rsid w:val="001A7C3E"/>
    <w:rsid w:val="001B0312"/>
    <w:rsid w:val="001B2635"/>
    <w:rsid w:val="001B2E8F"/>
    <w:rsid w:val="001B3328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895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FAA"/>
    <w:rsid w:val="002C1247"/>
    <w:rsid w:val="002C30F2"/>
    <w:rsid w:val="002C32A0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F86"/>
    <w:rsid w:val="00307E2F"/>
    <w:rsid w:val="00310FB4"/>
    <w:rsid w:val="00311DE8"/>
    <w:rsid w:val="0031264D"/>
    <w:rsid w:val="00313226"/>
    <w:rsid w:val="00313AC9"/>
    <w:rsid w:val="00313CA1"/>
    <w:rsid w:val="00320AFF"/>
    <w:rsid w:val="003213BF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F33"/>
    <w:rsid w:val="0033126B"/>
    <w:rsid w:val="003321FF"/>
    <w:rsid w:val="003372DC"/>
    <w:rsid w:val="0033767C"/>
    <w:rsid w:val="00337BFE"/>
    <w:rsid w:val="00337E0A"/>
    <w:rsid w:val="00345B4F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52EA"/>
    <w:rsid w:val="0039069F"/>
    <w:rsid w:val="00391893"/>
    <w:rsid w:val="0039269C"/>
    <w:rsid w:val="00392E6F"/>
    <w:rsid w:val="003935F3"/>
    <w:rsid w:val="00393D2A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3B5"/>
    <w:rsid w:val="003C06ED"/>
    <w:rsid w:val="003C07C3"/>
    <w:rsid w:val="003C1A2C"/>
    <w:rsid w:val="003C33C4"/>
    <w:rsid w:val="003C4D29"/>
    <w:rsid w:val="003C603E"/>
    <w:rsid w:val="003C62FF"/>
    <w:rsid w:val="003C6904"/>
    <w:rsid w:val="003D22D1"/>
    <w:rsid w:val="003D3327"/>
    <w:rsid w:val="003D3504"/>
    <w:rsid w:val="003D5E8A"/>
    <w:rsid w:val="003E0237"/>
    <w:rsid w:val="003E2350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506B"/>
    <w:rsid w:val="003F60A0"/>
    <w:rsid w:val="003F684E"/>
    <w:rsid w:val="003F6C0F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5574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6FCF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5EB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55EA"/>
    <w:rsid w:val="005B6366"/>
    <w:rsid w:val="005B6694"/>
    <w:rsid w:val="005B7713"/>
    <w:rsid w:val="005C1EC5"/>
    <w:rsid w:val="005C23A4"/>
    <w:rsid w:val="005C324B"/>
    <w:rsid w:val="005C3712"/>
    <w:rsid w:val="005C488E"/>
    <w:rsid w:val="005C6BA6"/>
    <w:rsid w:val="005D0C3D"/>
    <w:rsid w:val="005D1589"/>
    <w:rsid w:val="005D1595"/>
    <w:rsid w:val="005D1D2F"/>
    <w:rsid w:val="005D41E9"/>
    <w:rsid w:val="005D74B8"/>
    <w:rsid w:val="005E0DB3"/>
    <w:rsid w:val="005E1ABF"/>
    <w:rsid w:val="005E317F"/>
    <w:rsid w:val="005E360D"/>
    <w:rsid w:val="005E41B0"/>
    <w:rsid w:val="005E5076"/>
    <w:rsid w:val="005E539D"/>
    <w:rsid w:val="005E5B4A"/>
    <w:rsid w:val="005F06DF"/>
    <w:rsid w:val="005F0721"/>
    <w:rsid w:val="005F1929"/>
    <w:rsid w:val="005F2798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1A54"/>
    <w:rsid w:val="006729AD"/>
    <w:rsid w:val="00674926"/>
    <w:rsid w:val="006759F4"/>
    <w:rsid w:val="00675C98"/>
    <w:rsid w:val="00675E9D"/>
    <w:rsid w:val="0067624F"/>
    <w:rsid w:val="0067750B"/>
    <w:rsid w:val="0068042F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1C13"/>
    <w:rsid w:val="007420A0"/>
    <w:rsid w:val="00743170"/>
    <w:rsid w:val="00743E3F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540C"/>
    <w:rsid w:val="00755F67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5695"/>
    <w:rsid w:val="00767934"/>
    <w:rsid w:val="00767CDF"/>
    <w:rsid w:val="00767D50"/>
    <w:rsid w:val="00770C3D"/>
    <w:rsid w:val="007716EB"/>
    <w:rsid w:val="00772286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7168"/>
    <w:rsid w:val="007905E9"/>
    <w:rsid w:val="007911BF"/>
    <w:rsid w:val="00791FB8"/>
    <w:rsid w:val="007923A6"/>
    <w:rsid w:val="007955FB"/>
    <w:rsid w:val="00795673"/>
    <w:rsid w:val="00795919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4B2"/>
    <w:rsid w:val="007C5650"/>
    <w:rsid w:val="007C5DF4"/>
    <w:rsid w:val="007C6BCD"/>
    <w:rsid w:val="007D00AF"/>
    <w:rsid w:val="007D153A"/>
    <w:rsid w:val="007D1623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3E"/>
    <w:rsid w:val="00802EC1"/>
    <w:rsid w:val="00803C2F"/>
    <w:rsid w:val="00804AF8"/>
    <w:rsid w:val="00805EAE"/>
    <w:rsid w:val="00806198"/>
    <w:rsid w:val="00807BE2"/>
    <w:rsid w:val="00807CA6"/>
    <w:rsid w:val="008106B3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15DC"/>
    <w:rsid w:val="008623B8"/>
    <w:rsid w:val="00862A58"/>
    <w:rsid w:val="00862D2D"/>
    <w:rsid w:val="00863127"/>
    <w:rsid w:val="00863323"/>
    <w:rsid w:val="00864C4D"/>
    <w:rsid w:val="00865829"/>
    <w:rsid w:val="00865DC3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F99"/>
    <w:rsid w:val="00891097"/>
    <w:rsid w:val="0089129D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20D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0C6B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425A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95E"/>
    <w:rsid w:val="00961F27"/>
    <w:rsid w:val="00961FF4"/>
    <w:rsid w:val="009626BB"/>
    <w:rsid w:val="0096286A"/>
    <w:rsid w:val="00965569"/>
    <w:rsid w:val="009658CE"/>
    <w:rsid w:val="009709D7"/>
    <w:rsid w:val="00971724"/>
    <w:rsid w:val="009719C0"/>
    <w:rsid w:val="00972A3E"/>
    <w:rsid w:val="009746B6"/>
    <w:rsid w:val="00975A8C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7C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6B87"/>
    <w:rsid w:val="009E7261"/>
    <w:rsid w:val="009F0C9E"/>
    <w:rsid w:val="009F3E43"/>
    <w:rsid w:val="009F4360"/>
    <w:rsid w:val="009F4387"/>
    <w:rsid w:val="009F645B"/>
    <w:rsid w:val="009F6BD6"/>
    <w:rsid w:val="00A01B18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51F6"/>
    <w:rsid w:val="00A2626A"/>
    <w:rsid w:val="00A278A2"/>
    <w:rsid w:val="00A27D6C"/>
    <w:rsid w:val="00A30B57"/>
    <w:rsid w:val="00A30EF6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5E14"/>
    <w:rsid w:val="00B46997"/>
    <w:rsid w:val="00B46F3A"/>
    <w:rsid w:val="00B50571"/>
    <w:rsid w:val="00B51938"/>
    <w:rsid w:val="00B5282A"/>
    <w:rsid w:val="00B530A6"/>
    <w:rsid w:val="00B55358"/>
    <w:rsid w:val="00B560CA"/>
    <w:rsid w:val="00B56A9E"/>
    <w:rsid w:val="00B60A73"/>
    <w:rsid w:val="00B61A4C"/>
    <w:rsid w:val="00B621C2"/>
    <w:rsid w:val="00B6330A"/>
    <w:rsid w:val="00B648ED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70EA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20A32"/>
    <w:rsid w:val="00C20BF4"/>
    <w:rsid w:val="00C2318C"/>
    <w:rsid w:val="00C24B2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4B8"/>
    <w:rsid w:val="00C90DB8"/>
    <w:rsid w:val="00C9346B"/>
    <w:rsid w:val="00C9355B"/>
    <w:rsid w:val="00C94270"/>
    <w:rsid w:val="00C942C9"/>
    <w:rsid w:val="00C946B8"/>
    <w:rsid w:val="00C946E6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03E9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069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2349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626D"/>
    <w:rsid w:val="00D8698F"/>
    <w:rsid w:val="00D91360"/>
    <w:rsid w:val="00D92B28"/>
    <w:rsid w:val="00D9341A"/>
    <w:rsid w:val="00D95595"/>
    <w:rsid w:val="00DA0B19"/>
    <w:rsid w:val="00DA167F"/>
    <w:rsid w:val="00DA2A53"/>
    <w:rsid w:val="00DA36F6"/>
    <w:rsid w:val="00DA5472"/>
    <w:rsid w:val="00DA6BA8"/>
    <w:rsid w:val="00DA74C4"/>
    <w:rsid w:val="00DA78DA"/>
    <w:rsid w:val="00DB07D3"/>
    <w:rsid w:val="00DB18F8"/>
    <w:rsid w:val="00DB2D5C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D08A2"/>
    <w:rsid w:val="00DD1255"/>
    <w:rsid w:val="00DD1D3A"/>
    <w:rsid w:val="00DD2379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2F7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2961"/>
    <w:rsid w:val="00EB3922"/>
    <w:rsid w:val="00EB3E1B"/>
    <w:rsid w:val="00EB4858"/>
    <w:rsid w:val="00EB4BC1"/>
    <w:rsid w:val="00EB5640"/>
    <w:rsid w:val="00EB5D04"/>
    <w:rsid w:val="00EB679A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6EC"/>
    <w:rsid w:val="00EE0677"/>
    <w:rsid w:val="00EE09C8"/>
    <w:rsid w:val="00EE2084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26859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A20"/>
    <w:rsid w:val="00F86C5A"/>
    <w:rsid w:val="00F87485"/>
    <w:rsid w:val="00F90B3E"/>
    <w:rsid w:val="00F916A3"/>
    <w:rsid w:val="00F966B7"/>
    <w:rsid w:val="00F978B2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D7536"/>
    <w:rsid w:val="00FE0E97"/>
    <w:rsid w:val="00FE1956"/>
    <w:rsid w:val="00FE1AF1"/>
    <w:rsid w:val="00FE1EC6"/>
    <w:rsid w:val="00FE218A"/>
    <w:rsid w:val="00FE349E"/>
    <w:rsid w:val="00FE4B8B"/>
    <w:rsid w:val="00FE4FA5"/>
    <w:rsid w:val="00FE58DE"/>
    <w:rsid w:val="00FE644E"/>
    <w:rsid w:val="00FE6E64"/>
    <w:rsid w:val="00FE7491"/>
    <w:rsid w:val="00FE7EC2"/>
    <w:rsid w:val="00FF24C5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2F4A48C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5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  <w:style w:type="table" w:customStyle="1" w:styleId="TableGrid11">
    <w:name w:val="Table Grid11"/>
    <w:basedOn w:val="TableNormal"/>
    <w:next w:val="TableGrid"/>
    <w:uiPriority w:val="39"/>
    <w:rsid w:val="00C934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865D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Adult,Child and Community Builder referrals</a:t>
            </a:r>
          </a:p>
          <a:p>
            <a:pPr>
              <a:defRPr/>
            </a:pPr>
            <a:r>
              <a:rPr lang="en-GB" b="1"/>
              <a:t> Aug 17- July 2018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4.8844516445013753E-2"/>
          <c:y val="0.17829646403065669"/>
          <c:w val="0.92563714224717131"/>
          <c:h val="0.650745912465522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Adult Safeguarding referrals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40</c:v>
                </c:pt>
                <c:pt idx="1">
                  <c:v>24</c:v>
                </c:pt>
                <c:pt idx="2">
                  <c:v>26</c:v>
                </c:pt>
                <c:pt idx="3">
                  <c:v>24</c:v>
                </c:pt>
                <c:pt idx="4">
                  <c:v>21</c:v>
                </c:pt>
                <c:pt idx="5">
                  <c:v>36</c:v>
                </c:pt>
                <c:pt idx="6">
                  <c:v>24</c:v>
                </c:pt>
                <c:pt idx="7">
                  <c:v>28</c:v>
                </c:pt>
                <c:pt idx="8">
                  <c:v>22</c:v>
                </c:pt>
                <c:pt idx="9">
                  <c:v>32</c:v>
                </c:pt>
                <c:pt idx="10">
                  <c:v>29</c:v>
                </c:pt>
                <c:pt idx="1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FA-4994-B41F-67B4947A9D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Children Safeguarding referrals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  <c:pt idx="7">
                  <c:v>11</c:v>
                </c:pt>
                <c:pt idx="8">
                  <c:v>1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FA-4994-B41F-67B4947A9D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Community Builder Engagements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mmm\-yy</c:formatCode>
                <c:ptCount val="12"/>
                <c:pt idx="0">
                  <c:v>42948</c:v>
                </c:pt>
                <c:pt idx="1">
                  <c:v>42979</c:v>
                </c:pt>
                <c:pt idx="2">
                  <c:v>43009</c:v>
                </c:pt>
                <c:pt idx="3">
                  <c:v>43040</c:v>
                </c:pt>
                <c:pt idx="4">
                  <c:v>43070</c:v>
                </c:pt>
                <c:pt idx="5">
                  <c:v>43101</c:v>
                </c:pt>
                <c:pt idx="6">
                  <c:v>43132</c:v>
                </c:pt>
                <c:pt idx="7">
                  <c:v>43160</c:v>
                </c:pt>
                <c:pt idx="8">
                  <c:v>43191</c:v>
                </c:pt>
                <c:pt idx="9">
                  <c:v>43221</c:v>
                </c:pt>
                <c:pt idx="10">
                  <c:v>43252</c:v>
                </c:pt>
                <c:pt idx="11">
                  <c:v>43282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20</c:v>
                </c:pt>
                <c:pt idx="1">
                  <c:v>18</c:v>
                </c:pt>
                <c:pt idx="2">
                  <c:v>24</c:v>
                </c:pt>
                <c:pt idx="3">
                  <c:v>17</c:v>
                </c:pt>
                <c:pt idx="4">
                  <c:v>18</c:v>
                </c:pt>
                <c:pt idx="5">
                  <c:v>21</c:v>
                </c:pt>
                <c:pt idx="6">
                  <c:v>14</c:v>
                </c:pt>
                <c:pt idx="7">
                  <c:v>18</c:v>
                </c:pt>
                <c:pt idx="8">
                  <c:v>21</c:v>
                </c:pt>
                <c:pt idx="9">
                  <c:v>17</c:v>
                </c:pt>
                <c:pt idx="10">
                  <c:v>15</c:v>
                </c:pt>
                <c:pt idx="1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FA-4994-B41F-67B4947A9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794480"/>
        <c:axId val="431794152"/>
      </c:barChart>
      <c:dateAx>
        <c:axId val="43179448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94152"/>
        <c:crosses val="autoZero"/>
        <c:auto val="1"/>
        <c:lblOffset val="100"/>
        <c:baseTimeUnit val="months"/>
      </c:dateAx>
      <c:valAx>
        <c:axId val="431794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79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E19F-9AE8-45FB-849C-27CC6FCA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Camilla Brandal 42078438</cp:lastModifiedBy>
  <cp:revision>3</cp:revision>
  <cp:lastPrinted>2017-04-27T08:33:00Z</cp:lastPrinted>
  <dcterms:created xsi:type="dcterms:W3CDTF">2018-08-16T11:08:00Z</dcterms:created>
  <dcterms:modified xsi:type="dcterms:W3CDTF">2018-08-24T12:48:00Z</dcterms:modified>
</cp:coreProperties>
</file>