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4CC107DC" wp14:editId="555B80EA">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07DC"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24575904" wp14:editId="2678385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B15F8B" w:rsidRDefault="003264AA" w:rsidP="009E572F">
            <w:pPr>
              <w:spacing w:before="120" w:after="120"/>
              <w:rPr>
                <w:rFonts w:cs="Times New Roman"/>
                <w:b/>
                <w:szCs w:val="20"/>
              </w:rPr>
            </w:pPr>
            <w:bookmarkStart w:id="0" w:name="_GoBack"/>
            <w:bookmarkEnd w:id="0"/>
            <w:r>
              <w:rPr>
                <w:rFonts w:cs="Times New Roman"/>
                <w:b/>
                <w:szCs w:val="20"/>
              </w:rPr>
              <w:t>STRATEGIC BOARD</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1540E7" w:rsidP="009E572F">
            <w:pPr>
              <w:spacing w:before="120" w:after="120"/>
              <w:rPr>
                <w:rFonts w:cs="Times New Roman"/>
                <w:sz w:val="32"/>
                <w:szCs w:val="32"/>
              </w:rPr>
            </w:pPr>
            <w:r>
              <w:rPr>
                <w:rFonts w:cs="Times New Roman"/>
                <w:sz w:val="32"/>
                <w:szCs w:val="32"/>
              </w:rPr>
              <w:t>7</w:t>
            </w:r>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3264AA" w:rsidP="00EC7871">
            <w:pPr>
              <w:spacing w:before="120" w:after="120"/>
              <w:rPr>
                <w:rFonts w:cs="Times New Roman"/>
                <w:szCs w:val="20"/>
              </w:rPr>
            </w:pPr>
            <w:r>
              <w:rPr>
                <w:rFonts w:cs="Times New Roman"/>
                <w:szCs w:val="20"/>
              </w:rPr>
              <w:t>8 June 2018</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1540E7" w:rsidP="009E572F">
            <w:pPr>
              <w:spacing w:before="120" w:after="120"/>
              <w:rPr>
                <w:rFonts w:cs="Times New Roman"/>
                <w:b/>
                <w:szCs w:val="20"/>
              </w:rPr>
            </w:pPr>
            <w:r>
              <w:rPr>
                <w:rFonts w:cs="Times New Roman"/>
                <w:b/>
                <w:szCs w:val="20"/>
              </w:rPr>
              <w:t>2</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9E572F" w:rsidRPr="00B15F8B" w:rsidRDefault="003264AA" w:rsidP="00B55C12">
            <w:pPr>
              <w:spacing w:before="120" w:after="120"/>
              <w:rPr>
                <w:rFonts w:cs="Times New Roman"/>
                <w:szCs w:val="20"/>
              </w:rPr>
            </w:pPr>
            <w:r>
              <w:rPr>
                <w:rFonts w:cs="Times New Roman"/>
                <w:szCs w:val="20"/>
              </w:rPr>
              <w:t>Charles Thomas</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9E572F" w:rsidRPr="009E572F" w:rsidRDefault="003264AA" w:rsidP="009E572F">
            <w:pPr>
              <w:spacing w:before="120" w:after="120"/>
              <w:rPr>
                <w:rFonts w:cs="Times New Roman"/>
                <w:szCs w:val="20"/>
              </w:rPr>
            </w:pPr>
            <w:r>
              <w:rPr>
                <w:rFonts w:cs="Times New Roman"/>
                <w:szCs w:val="20"/>
              </w:rPr>
              <w:t>Dave Bill</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3264AA" w:rsidP="009706A9">
            <w:pPr>
              <w:spacing w:before="120" w:after="120"/>
              <w:rPr>
                <w:rFonts w:cs="Times New Roman"/>
                <w:b/>
                <w:szCs w:val="20"/>
              </w:rPr>
            </w:pPr>
            <w:r>
              <w:rPr>
                <w:rFonts w:cs="Times New Roman"/>
                <w:b/>
                <w:szCs w:val="20"/>
              </w:rPr>
              <w:t xml:space="preserve">Strategic </w:t>
            </w:r>
            <w:r w:rsidR="009706A9">
              <w:rPr>
                <w:rFonts w:cs="Times New Roman"/>
                <w:b/>
                <w:szCs w:val="20"/>
              </w:rPr>
              <w:t>A</w:t>
            </w:r>
            <w:r>
              <w:rPr>
                <w:rFonts w:cs="Times New Roman"/>
                <w:b/>
                <w:szCs w:val="20"/>
              </w:rPr>
              <w:t>ssessment of Risk</w:t>
            </w:r>
            <w:r w:rsidR="00BF307F">
              <w:rPr>
                <w:rFonts w:cs="Times New Roman"/>
                <w:b/>
                <w:szCs w:val="20"/>
              </w:rPr>
              <w:t xml:space="preserve"> Report</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C956C8" w:rsidP="009E572F">
            <w:pPr>
              <w:tabs>
                <w:tab w:val="num" w:pos="567"/>
              </w:tabs>
              <w:spacing w:before="120" w:after="120"/>
              <w:rPr>
                <w:rFonts w:cs="Times New Roman"/>
                <w:szCs w:val="20"/>
              </w:rPr>
            </w:pPr>
            <w:r>
              <w:rPr>
                <w:rFonts w:cs="Times New Roman"/>
                <w:szCs w:val="20"/>
              </w:rPr>
              <w:t>Consider</w:t>
            </w:r>
          </w:p>
        </w:tc>
      </w:tr>
    </w:tbl>
    <w:p w:rsidR="002F45F7" w:rsidRDefault="002F45F7" w:rsidP="009E572F">
      <w:pPr>
        <w:tabs>
          <w:tab w:val="num" w:pos="567"/>
        </w:tabs>
        <w:spacing w:after="120"/>
        <w:rPr>
          <w:rFonts w:cs="Times New Roman"/>
          <w:szCs w:val="20"/>
        </w:rPr>
        <w:sectPr w:rsidR="002F45F7" w:rsidSect="002F45F7">
          <w:headerReference w:type="even" r:id="rId9"/>
          <w:headerReference w:type="default" r:id="rId10"/>
          <w:footerReference w:type="even" r:id="rId11"/>
          <w:footerReference w:type="default" r:id="rId12"/>
          <w:headerReference w:type="first" r:id="rId13"/>
          <w:footerReference w:type="first" r:id="rId14"/>
          <w:pgSz w:w="11906" w:h="16838" w:code="9"/>
          <w:pgMar w:top="2977" w:right="1134" w:bottom="244" w:left="1276" w:header="709" w:footer="709" w:gutter="0"/>
          <w:cols w:space="708"/>
          <w:titlePg/>
          <w:docGrid w:linePitch="360"/>
        </w:sectPr>
      </w:pPr>
    </w:p>
    <w:p w:rsidR="009E572F" w:rsidRDefault="009E572F" w:rsidP="009E572F">
      <w:pPr>
        <w:tabs>
          <w:tab w:val="num" w:pos="567"/>
        </w:tabs>
        <w:spacing w:after="120"/>
        <w:rPr>
          <w:rFonts w:cs="Times New Roman"/>
          <w:szCs w:val="20"/>
        </w:rPr>
      </w:pPr>
    </w:p>
    <w:p w:rsidR="00C0492F" w:rsidRPr="00D424C8" w:rsidRDefault="00C0492F" w:rsidP="00C0492F">
      <w:pPr>
        <w:pStyle w:val="Heading1"/>
        <w:rPr>
          <w:sz w:val="22"/>
          <w:szCs w:val="22"/>
        </w:rPr>
      </w:pPr>
      <w:r w:rsidRPr="00D424C8">
        <w:rPr>
          <w:sz w:val="22"/>
          <w:szCs w:val="22"/>
        </w:rPr>
        <w:t>Recommendations</w:t>
      </w:r>
    </w:p>
    <w:p w:rsidR="00B55C12" w:rsidRPr="00D424C8" w:rsidRDefault="00C956C8">
      <w:pPr>
        <w:pStyle w:val="NumbList3"/>
        <w:numPr>
          <w:ilvl w:val="0"/>
          <w:numId w:val="0"/>
        </w:numPr>
        <w:spacing w:after="240"/>
        <w:rPr>
          <w:sz w:val="22"/>
          <w:szCs w:val="22"/>
        </w:rPr>
        <w:sectPr w:rsidR="00B55C12" w:rsidRPr="00D424C8" w:rsidSect="002F45F7">
          <w:headerReference w:type="even" r:id="rId15"/>
          <w:headerReference w:type="default" r:id="rId16"/>
          <w:footerReference w:type="default" r:id="rId17"/>
          <w:headerReference w:type="first" r:id="rId18"/>
          <w:footerReference w:type="first" r:id="rId19"/>
          <w:type w:val="continuous"/>
          <w:pgSz w:w="11906" w:h="16838" w:code="9"/>
          <w:pgMar w:top="2977" w:right="1134" w:bottom="244" w:left="1276" w:header="709" w:footer="709" w:gutter="0"/>
          <w:cols w:space="708"/>
          <w:titlePg/>
          <w:docGrid w:linePitch="360"/>
        </w:sectPr>
      </w:pPr>
      <w:r w:rsidRPr="00D725A7">
        <w:rPr>
          <w:sz w:val="22"/>
          <w:szCs w:val="22"/>
        </w:rPr>
        <w:t xml:space="preserve">1. That the </w:t>
      </w:r>
      <w:r>
        <w:rPr>
          <w:sz w:val="22"/>
          <w:szCs w:val="22"/>
        </w:rPr>
        <w:t>Strategic Board review the Strategic Assessment of Risk prior to submission to the Chief Fire Officer and Commissioner for approval.</w:t>
      </w:r>
    </w:p>
    <w:p w:rsidR="00C0492F" w:rsidRPr="00D424C8" w:rsidRDefault="00C0492F" w:rsidP="00C0492F">
      <w:pPr>
        <w:pStyle w:val="Heading1"/>
        <w:rPr>
          <w:sz w:val="22"/>
          <w:szCs w:val="22"/>
        </w:rPr>
      </w:pPr>
      <w:r w:rsidRPr="00D424C8">
        <w:rPr>
          <w:sz w:val="22"/>
          <w:szCs w:val="22"/>
        </w:rPr>
        <w:t>BACKGROUND</w:t>
      </w:r>
    </w:p>
    <w:p w:rsidR="001540E7" w:rsidRDefault="00C0492F" w:rsidP="001540E7">
      <w:pPr>
        <w:pStyle w:val="NumbList3"/>
        <w:spacing w:after="240"/>
        <w:ind w:left="357" w:hanging="357"/>
        <w:rPr>
          <w:sz w:val="22"/>
          <w:szCs w:val="22"/>
        </w:rPr>
      </w:pPr>
      <w:r w:rsidRPr="00D424C8">
        <w:rPr>
          <w:sz w:val="22"/>
          <w:szCs w:val="22"/>
        </w:rPr>
        <w:t xml:space="preserve"> </w:t>
      </w:r>
      <w:r w:rsidR="003264AA" w:rsidRPr="00D424C8">
        <w:rPr>
          <w:sz w:val="22"/>
          <w:szCs w:val="22"/>
        </w:rPr>
        <w:t>The Strategic Assessment of Risk, (SAOR), has</w:t>
      </w:r>
      <w:r w:rsidR="00413493">
        <w:rPr>
          <w:sz w:val="22"/>
          <w:szCs w:val="22"/>
        </w:rPr>
        <w:t xml:space="preserve"> been in existence for a number of years.</w:t>
      </w:r>
      <w:r w:rsidR="003264AA" w:rsidRPr="00D424C8">
        <w:rPr>
          <w:sz w:val="22"/>
          <w:szCs w:val="22"/>
        </w:rPr>
        <w:t xml:space="preserve"> </w:t>
      </w:r>
      <w:r w:rsidR="009706A9" w:rsidRPr="00D424C8">
        <w:rPr>
          <w:sz w:val="22"/>
          <w:szCs w:val="22"/>
        </w:rPr>
        <w:t xml:space="preserve">The </w:t>
      </w:r>
      <w:r w:rsidR="00413493">
        <w:rPr>
          <w:sz w:val="22"/>
          <w:szCs w:val="22"/>
        </w:rPr>
        <w:t xml:space="preserve">SAOR </w:t>
      </w:r>
      <w:r w:rsidR="009706A9" w:rsidRPr="00D424C8">
        <w:rPr>
          <w:sz w:val="22"/>
          <w:szCs w:val="22"/>
        </w:rPr>
        <w:t xml:space="preserve">strives to provide a </w:t>
      </w:r>
      <w:r w:rsidR="00D725A7" w:rsidRPr="00D424C8">
        <w:rPr>
          <w:sz w:val="22"/>
          <w:szCs w:val="22"/>
        </w:rPr>
        <w:t>high-level</w:t>
      </w:r>
      <w:r w:rsidR="00C956C8">
        <w:rPr>
          <w:sz w:val="22"/>
          <w:szCs w:val="22"/>
        </w:rPr>
        <w:t xml:space="preserve"> </w:t>
      </w:r>
      <w:r w:rsidR="009706A9" w:rsidRPr="00D424C8">
        <w:rPr>
          <w:sz w:val="22"/>
          <w:szCs w:val="22"/>
        </w:rPr>
        <w:t xml:space="preserve">overview of the foreseeable risks that </w:t>
      </w:r>
      <w:r w:rsidR="001170EF">
        <w:rPr>
          <w:sz w:val="22"/>
          <w:szCs w:val="22"/>
        </w:rPr>
        <w:t>Essex</w:t>
      </w:r>
      <w:r w:rsidR="00C956C8">
        <w:rPr>
          <w:sz w:val="22"/>
          <w:szCs w:val="22"/>
        </w:rPr>
        <w:t xml:space="preserve"> </w:t>
      </w:r>
      <w:r w:rsidR="001170EF">
        <w:rPr>
          <w:sz w:val="22"/>
          <w:szCs w:val="22"/>
        </w:rPr>
        <w:t>F</w:t>
      </w:r>
      <w:r w:rsidR="00C956C8">
        <w:rPr>
          <w:sz w:val="22"/>
          <w:szCs w:val="22"/>
        </w:rPr>
        <w:t xml:space="preserve">ire and </w:t>
      </w:r>
      <w:r w:rsidR="001170EF">
        <w:rPr>
          <w:sz w:val="22"/>
          <w:szCs w:val="22"/>
        </w:rPr>
        <w:t>R</w:t>
      </w:r>
      <w:r w:rsidR="00C956C8">
        <w:rPr>
          <w:sz w:val="22"/>
          <w:szCs w:val="22"/>
        </w:rPr>
        <w:t xml:space="preserve">escue </w:t>
      </w:r>
      <w:r w:rsidR="001170EF">
        <w:rPr>
          <w:sz w:val="22"/>
          <w:szCs w:val="22"/>
        </w:rPr>
        <w:t>S</w:t>
      </w:r>
      <w:r w:rsidR="00C956C8">
        <w:rPr>
          <w:sz w:val="22"/>
          <w:szCs w:val="22"/>
        </w:rPr>
        <w:t>ervice</w:t>
      </w:r>
      <w:r w:rsidR="001170EF">
        <w:rPr>
          <w:sz w:val="22"/>
          <w:szCs w:val="22"/>
        </w:rPr>
        <w:t xml:space="preserve"> (ECFRS)</w:t>
      </w:r>
      <w:r w:rsidR="00C956C8">
        <w:rPr>
          <w:sz w:val="22"/>
          <w:szCs w:val="22"/>
        </w:rPr>
        <w:t xml:space="preserve"> faces</w:t>
      </w:r>
      <w:r w:rsidR="009706A9" w:rsidRPr="00D424C8">
        <w:rPr>
          <w:sz w:val="22"/>
          <w:szCs w:val="22"/>
        </w:rPr>
        <w:t>. The</w:t>
      </w:r>
      <w:r w:rsidR="003264AA" w:rsidRPr="00D424C8">
        <w:rPr>
          <w:sz w:val="22"/>
          <w:szCs w:val="22"/>
        </w:rPr>
        <w:t xml:space="preserve"> most recent iterations have underpinned the Integrated Risk Management Plan (IRMP). </w:t>
      </w:r>
      <w:r w:rsidR="00D424C8">
        <w:rPr>
          <w:sz w:val="22"/>
          <w:szCs w:val="22"/>
        </w:rPr>
        <w:t>The SAOR is necessarily not a short read</w:t>
      </w:r>
      <w:r w:rsidR="00C956C8">
        <w:rPr>
          <w:sz w:val="22"/>
          <w:szCs w:val="22"/>
        </w:rPr>
        <w:t>, nor is</w:t>
      </w:r>
      <w:r w:rsidR="00D725A7">
        <w:rPr>
          <w:sz w:val="22"/>
          <w:szCs w:val="22"/>
        </w:rPr>
        <w:t xml:space="preserve"> </w:t>
      </w:r>
      <w:r w:rsidR="00C956C8">
        <w:rPr>
          <w:sz w:val="22"/>
          <w:szCs w:val="22"/>
        </w:rPr>
        <w:t>it</w:t>
      </w:r>
      <w:r w:rsidR="00D424C8">
        <w:rPr>
          <w:sz w:val="22"/>
          <w:szCs w:val="22"/>
        </w:rPr>
        <w:t xml:space="preserve"> intended to be a “cover-to-cover” read. Using the index, managers should </w:t>
      </w:r>
      <w:r w:rsidR="00E95DC3">
        <w:rPr>
          <w:sz w:val="22"/>
          <w:szCs w:val="22"/>
        </w:rPr>
        <w:t>identify specific areas of interest, draw on the SAOR content, and research more deeply as required from other resources.</w:t>
      </w:r>
    </w:p>
    <w:p w:rsidR="00E95DC3" w:rsidRPr="001540E7" w:rsidRDefault="00BF307F" w:rsidP="001540E7">
      <w:pPr>
        <w:pStyle w:val="NumbList3"/>
        <w:spacing w:after="240"/>
        <w:ind w:left="357" w:hanging="357"/>
        <w:rPr>
          <w:sz w:val="22"/>
          <w:szCs w:val="22"/>
        </w:rPr>
      </w:pPr>
      <w:r w:rsidRPr="001540E7">
        <w:rPr>
          <w:sz w:val="22"/>
          <w:szCs w:val="22"/>
        </w:rPr>
        <w:t xml:space="preserve">The aim of the SAOR is to identify the potential risks and existing issues, (e.g. population clusters, risk areas in general, and demographics), that could require </w:t>
      </w:r>
      <w:r w:rsidR="00C956C8" w:rsidRPr="001540E7">
        <w:rPr>
          <w:sz w:val="22"/>
          <w:szCs w:val="22"/>
        </w:rPr>
        <w:t xml:space="preserve">fire and rescue service </w:t>
      </w:r>
      <w:r w:rsidRPr="001540E7">
        <w:rPr>
          <w:sz w:val="22"/>
          <w:szCs w:val="22"/>
        </w:rPr>
        <w:t xml:space="preserve">intervention. The intervention could be in the form of prevention or protection activity to reduce the likelihood of the risk materialising and as such the occasions at which a response is required. The intervention could also entail an operational response from ECFRS, either alone, or as part of multi-agency arrangements. Concurrent incident management may also be required at a large scale. </w:t>
      </w:r>
    </w:p>
    <w:p w:rsidR="00C0492F" w:rsidRPr="00D424C8" w:rsidRDefault="009706A9" w:rsidP="009706A9">
      <w:pPr>
        <w:pStyle w:val="NumbList3"/>
        <w:numPr>
          <w:ilvl w:val="0"/>
          <w:numId w:val="0"/>
        </w:numPr>
        <w:spacing w:after="240"/>
        <w:rPr>
          <w:b/>
          <w:sz w:val="22"/>
          <w:szCs w:val="22"/>
        </w:rPr>
      </w:pPr>
      <w:r w:rsidRPr="00D424C8">
        <w:rPr>
          <w:b/>
          <w:sz w:val="22"/>
          <w:szCs w:val="22"/>
        </w:rPr>
        <w:t xml:space="preserve">OPTIONS AND ANALYSIS. </w:t>
      </w:r>
    </w:p>
    <w:p w:rsidR="009706A9" w:rsidRPr="00D424C8" w:rsidRDefault="009706A9" w:rsidP="009706A9">
      <w:pPr>
        <w:pStyle w:val="NumbList3"/>
        <w:rPr>
          <w:sz w:val="22"/>
          <w:szCs w:val="22"/>
        </w:rPr>
      </w:pPr>
      <w:r w:rsidRPr="00D424C8">
        <w:rPr>
          <w:sz w:val="22"/>
          <w:szCs w:val="22"/>
        </w:rPr>
        <w:t xml:space="preserve">There are </w:t>
      </w:r>
      <w:r w:rsidR="00C956C8">
        <w:rPr>
          <w:sz w:val="22"/>
          <w:szCs w:val="22"/>
        </w:rPr>
        <w:t xml:space="preserve">changes </w:t>
      </w:r>
      <w:r w:rsidRPr="00D424C8">
        <w:rPr>
          <w:sz w:val="22"/>
          <w:szCs w:val="22"/>
        </w:rPr>
        <w:t xml:space="preserve">in each edition </w:t>
      </w:r>
      <w:r w:rsidR="00C956C8">
        <w:rPr>
          <w:sz w:val="22"/>
          <w:szCs w:val="22"/>
        </w:rPr>
        <w:t xml:space="preserve">required </w:t>
      </w:r>
      <w:r w:rsidRPr="00D424C8">
        <w:rPr>
          <w:sz w:val="22"/>
          <w:szCs w:val="22"/>
        </w:rPr>
        <w:t xml:space="preserve">to meet new needs or match new data. For example, </w:t>
      </w:r>
      <w:r w:rsidR="00C956C8">
        <w:rPr>
          <w:sz w:val="22"/>
          <w:szCs w:val="22"/>
        </w:rPr>
        <w:t>publication of a new</w:t>
      </w:r>
      <w:r w:rsidRPr="00D424C8">
        <w:rPr>
          <w:sz w:val="22"/>
          <w:szCs w:val="22"/>
        </w:rPr>
        <w:t xml:space="preserve"> National Framework, </w:t>
      </w:r>
      <w:r w:rsidR="00C956C8">
        <w:rPr>
          <w:sz w:val="22"/>
          <w:szCs w:val="22"/>
        </w:rPr>
        <w:t>revised</w:t>
      </w:r>
      <w:r w:rsidRPr="00D424C8">
        <w:rPr>
          <w:sz w:val="22"/>
          <w:szCs w:val="22"/>
        </w:rPr>
        <w:t xml:space="preserve"> population</w:t>
      </w:r>
      <w:r w:rsidR="00C4274B" w:rsidRPr="00D424C8">
        <w:rPr>
          <w:sz w:val="22"/>
          <w:szCs w:val="22"/>
        </w:rPr>
        <w:t xml:space="preserve"> </w:t>
      </w:r>
      <w:r w:rsidR="00D424C8">
        <w:rPr>
          <w:sz w:val="22"/>
          <w:szCs w:val="22"/>
        </w:rPr>
        <w:t xml:space="preserve">figures </w:t>
      </w:r>
      <w:r w:rsidR="00C4274B" w:rsidRPr="00D424C8">
        <w:rPr>
          <w:sz w:val="22"/>
          <w:szCs w:val="22"/>
        </w:rPr>
        <w:t xml:space="preserve">from the Office of National Statistics, (ONS), </w:t>
      </w:r>
      <w:r w:rsidRPr="00D424C8">
        <w:rPr>
          <w:sz w:val="22"/>
          <w:szCs w:val="22"/>
        </w:rPr>
        <w:t xml:space="preserve">and road casualty statistics from the “Safer Essex </w:t>
      </w:r>
      <w:r w:rsidR="00C4274B" w:rsidRPr="00D424C8">
        <w:rPr>
          <w:sz w:val="22"/>
          <w:szCs w:val="22"/>
        </w:rPr>
        <w:t>Roads Partnership</w:t>
      </w:r>
      <w:r w:rsidR="001867A9">
        <w:rPr>
          <w:sz w:val="22"/>
          <w:szCs w:val="22"/>
        </w:rPr>
        <w:t>”</w:t>
      </w:r>
      <w:r w:rsidRPr="00D424C8">
        <w:rPr>
          <w:sz w:val="22"/>
          <w:szCs w:val="22"/>
        </w:rPr>
        <w:t>. In addition to references available through the O</w:t>
      </w:r>
      <w:r w:rsidR="00C4274B" w:rsidRPr="00D424C8">
        <w:rPr>
          <w:sz w:val="22"/>
          <w:szCs w:val="22"/>
        </w:rPr>
        <w:t>NS</w:t>
      </w:r>
      <w:r w:rsidRPr="00D424C8">
        <w:rPr>
          <w:sz w:val="22"/>
          <w:szCs w:val="22"/>
        </w:rPr>
        <w:t xml:space="preserve">, use is made of </w:t>
      </w:r>
      <w:r w:rsidR="00C4274B" w:rsidRPr="00D424C8">
        <w:rPr>
          <w:sz w:val="22"/>
          <w:szCs w:val="22"/>
        </w:rPr>
        <w:t xml:space="preserve">strategic </w:t>
      </w:r>
      <w:r w:rsidRPr="00D424C8">
        <w:rPr>
          <w:sz w:val="22"/>
          <w:szCs w:val="22"/>
        </w:rPr>
        <w:t>source documents from, e.g. Essex County Council. Other data is obtained by researching publicly available information, such as housing requirements from local authority planning web pages.</w:t>
      </w:r>
      <w:r w:rsidR="00C4274B" w:rsidRPr="00D424C8">
        <w:rPr>
          <w:sz w:val="22"/>
          <w:szCs w:val="22"/>
        </w:rPr>
        <w:t xml:space="preserve"> </w:t>
      </w:r>
    </w:p>
    <w:p w:rsidR="009706A9" w:rsidRPr="00D424C8" w:rsidRDefault="009706A9" w:rsidP="009706A9">
      <w:pPr>
        <w:pStyle w:val="NumbList3"/>
        <w:numPr>
          <w:ilvl w:val="0"/>
          <w:numId w:val="0"/>
        </w:numPr>
        <w:ind w:left="360"/>
        <w:rPr>
          <w:sz w:val="22"/>
          <w:szCs w:val="22"/>
        </w:rPr>
      </w:pPr>
    </w:p>
    <w:p w:rsidR="009706A9" w:rsidRPr="00D424C8" w:rsidRDefault="00C4274B" w:rsidP="009706A9">
      <w:pPr>
        <w:pStyle w:val="NumbList3"/>
        <w:rPr>
          <w:sz w:val="22"/>
          <w:szCs w:val="22"/>
        </w:rPr>
      </w:pPr>
      <w:r w:rsidRPr="00D424C8">
        <w:rPr>
          <w:sz w:val="22"/>
          <w:szCs w:val="22"/>
        </w:rPr>
        <w:lastRenderedPageBreak/>
        <w:t xml:space="preserve">There is no specific date for the publication of each edition of the SAOR. Statistical updates used in the SAOR occur in April, June, September and October. Arguably one of the most significant data sets, the Mid – Year population estimates for the year previous, is published by the ONS at the end of June. It is suggested that if a fixed time for publication is to be selected, whilst narrative and observations may require approval/authorisation, matters of fact can be amended </w:t>
      </w:r>
      <w:r w:rsidR="009865C9" w:rsidRPr="00D424C8">
        <w:rPr>
          <w:sz w:val="22"/>
          <w:szCs w:val="22"/>
        </w:rPr>
        <w:t>as data sets are published, supported by with Information Reports to the appropriate /approving/ authorising Committees/Boards.</w:t>
      </w:r>
    </w:p>
    <w:p w:rsidR="00EC7871" w:rsidRPr="00D424C8" w:rsidRDefault="00EC7871" w:rsidP="009706A9">
      <w:pPr>
        <w:pStyle w:val="NumbList3"/>
        <w:numPr>
          <w:ilvl w:val="0"/>
          <w:numId w:val="0"/>
        </w:numPr>
        <w:spacing w:after="240"/>
        <w:ind w:left="357"/>
        <w:rPr>
          <w:sz w:val="22"/>
          <w:szCs w:val="22"/>
        </w:rPr>
      </w:pPr>
    </w:p>
    <w:p w:rsidR="00C0492F" w:rsidRPr="00D424C8" w:rsidRDefault="00C0492F" w:rsidP="00C0492F">
      <w:pPr>
        <w:pStyle w:val="Heading1"/>
        <w:rPr>
          <w:sz w:val="22"/>
          <w:szCs w:val="22"/>
        </w:rPr>
      </w:pPr>
      <w:r w:rsidRPr="00D424C8">
        <w:rPr>
          <w:sz w:val="22"/>
          <w:szCs w:val="22"/>
        </w:rPr>
        <w:t>Benefits and Risk Implications</w:t>
      </w:r>
    </w:p>
    <w:p w:rsidR="00BF307F" w:rsidRPr="00D424C8" w:rsidRDefault="009865C9" w:rsidP="00BF307F">
      <w:pPr>
        <w:pStyle w:val="NumbList3"/>
        <w:rPr>
          <w:sz w:val="22"/>
          <w:szCs w:val="22"/>
        </w:rPr>
      </w:pPr>
      <w:r w:rsidRPr="00D424C8">
        <w:rPr>
          <w:sz w:val="22"/>
          <w:szCs w:val="22"/>
        </w:rPr>
        <w:t xml:space="preserve">As stated, the SAOR is a </w:t>
      </w:r>
      <w:r w:rsidR="001867A9" w:rsidRPr="00D424C8">
        <w:rPr>
          <w:sz w:val="22"/>
          <w:szCs w:val="22"/>
        </w:rPr>
        <w:t>high-level</w:t>
      </w:r>
      <w:r w:rsidR="001170EF">
        <w:rPr>
          <w:sz w:val="22"/>
          <w:szCs w:val="22"/>
        </w:rPr>
        <w:t xml:space="preserve"> </w:t>
      </w:r>
      <w:r w:rsidRPr="00D424C8">
        <w:rPr>
          <w:sz w:val="22"/>
          <w:szCs w:val="22"/>
        </w:rPr>
        <w:t>overview of risks.</w:t>
      </w:r>
      <w:r w:rsidR="00BF307F" w:rsidRPr="00D424C8">
        <w:rPr>
          <w:sz w:val="22"/>
          <w:szCs w:val="22"/>
        </w:rPr>
        <w:t xml:space="preserve"> </w:t>
      </w:r>
      <w:r w:rsidR="00D424C8" w:rsidRPr="00D424C8">
        <w:rPr>
          <w:sz w:val="22"/>
          <w:szCs w:val="22"/>
        </w:rPr>
        <w:t xml:space="preserve">The intent is that </w:t>
      </w:r>
      <w:r w:rsidR="00BF307F" w:rsidRPr="00D424C8">
        <w:rPr>
          <w:sz w:val="22"/>
          <w:szCs w:val="22"/>
        </w:rPr>
        <w:t>Department managers should consider the points below in relation to their use of the SAOR:</w:t>
      </w:r>
    </w:p>
    <w:p w:rsidR="00D424C8" w:rsidRPr="00D424C8" w:rsidRDefault="00D424C8" w:rsidP="00D424C8">
      <w:pPr>
        <w:pStyle w:val="NumbList3"/>
        <w:numPr>
          <w:ilvl w:val="0"/>
          <w:numId w:val="0"/>
        </w:numPr>
        <w:ind w:left="360"/>
        <w:rPr>
          <w:sz w:val="22"/>
          <w:szCs w:val="22"/>
        </w:rPr>
      </w:pPr>
    </w:p>
    <w:p w:rsidR="001170EF" w:rsidRDefault="001170EF">
      <w:pPr>
        <w:pStyle w:val="NumbList3"/>
        <w:numPr>
          <w:ilvl w:val="0"/>
          <w:numId w:val="11"/>
        </w:numPr>
        <w:rPr>
          <w:sz w:val="22"/>
          <w:szCs w:val="22"/>
        </w:rPr>
      </w:pPr>
      <w:r>
        <w:rPr>
          <w:sz w:val="22"/>
          <w:szCs w:val="22"/>
        </w:rPr>
        <w:t>Informing the Strategic Risk Register</w:t>
      </w:r>
    </w:p>
    <w:p w:rsidR="00072F30" w:rsidRDefault="00D424C8">
      <w:pPr>
        <w:pStyle w:val="NumbList3"/>
        <w:numPr>
          <w:ilvl w:val="0"/>
          <w:numId w:val="11"/>
        </w:numPr>
        <w:rPr>
          <w:sz w:val="22"/>
          <w:szCs w:val="22"/>
        </w:rPr>
      </w:pPr>
      <w:r w:rsidRPr="00072F30">
        <w:rPr>
          <w:sz w:val="22"/>
          <w:szCs w:val="22"/>
        </w:rPr>
        <w:t>Gap analysis and the identification of possible improvements to capabilities</w:t>
      </w:r>
    </w:p>
    <w:p w:rsidR="00D424C8" w:rsidRPr="00072F30" w:rsidRDefault="00072F30">
      <w:pPr>
        <w:pStyle w:val="NumbList3"/>
        <w:numPr>
          <w:ilvl w:val="0"/>
          <w:numId w:val="11"/>
        </w:numPr>
        <w:rPr>
          <w:sz w:val="22"/>
          <w:szCs w:val="22"/>
        </w:rPr>
      </w:pPr>
      <w:r>
        <w:rPr>
          <w:sz w:val="22"/>
          <w:szCs w:val="22"/>
        </w:rPr>
        <w:t>Likely future demands or reduction in demands on  the service</w:t>
      </w:r>
    </w:p>
    <w:p w:rsidR="00072F30" w:rsidRDefault="00D424C8">
      <w:pPr>
        <w:pStyle w:val="NumbList3"/>
        <w:numPr>
          <w:ilvl w:val="0"/>
          <w:numId w:val="11"/>
        </w:numPr>
        <w:rPr>
          <w:sz w:val="22"/>
          <w:szCs w:val="22"/>
        </w:rPr>
      </w:pPr>
      <w:r w:rsidRPr="00C956C8">
        <w:rPr>
          <w:sz w:val="22"/>
          <w:szCs w:val="22"/>
        </w:rPr>
        <w:t xml:space="preserve">The preparation of </w:t>
      </w:r>
      <w:r w:rsidR="00072F30">
        <w:rPr>
          <w:sz w:val="22"/>
          <w:szCs w:val="22"/>
        </w:rPr>
        <w:t xml:space="preserve">the </w:t>
      </w:r>
      <w:r w:rsidRPr="00C956C8">
        <w:rPr>
          <w:sz w:val="22"/>
          <w:szCs w:val="22"/>
        </w:rPr>
        <w:t xml:space="preserve">IRMP </w:t>
      </w:r>
    </w:p>
    <w:p w:rsidR="00072F30" w:rsidRDefault="00072F30">
      <w:pPr>
        <w:pStyle w:val="NumbList3"/>
        <w:numPr>
          <w:ilvl w:val="0"/>
          <w:numId w:val="11"/>
        </w:numPr>
        <w:rPr>
          <w:sz w:val="22"/>
          <w:szCs w:val="22"/>
        </w:rPr>
      </w:pPr>
      <w:r>
        <w:rPr>
          <w:sz w:val="22"/>
          <w:szCs w:val="22"/>
        </w:rPr>
        <w:t>The preparation of operational and procedural documents</w:t>
      </w:r>
    </w:p>
    <w:p w:rsidR="00072F30" w:rsidRDefault="00072F30" w:rsidP="001867A9">
      <w:pPr>
        <w:pStyle w:val="NumbList3"/>
        <w:numPr>
          <w:ilvl w:val="0"/>
          <w:numId w:val="11"/>
        </w:numPr>
        <w:rPr>
          <w:sz w:val="22"/>
          <w:szCs w:val="22"/>
        </w:rPr>
      </w:pPr>
      <w:r>
        <w:rPr>
          <w:sz w:val="22"/>
          <w:szCs w:val="22"/>
        </w:rPr>
        <w:t>Better informed business planning processes</w:t>
      </w:r>
    </w:p>
    <w:p w:rsidR="00072F30" w:rsidRDefault="00072F30" w:rsidP="001867A9">
      <w:pPr>
        <w:pStyle w:val="NumbList3"/>
        <w:numPr>
          <w:ilvl w:val="0"/>
          <w:numId w:val="11"/>
        </w:numPr>
        <w:rPr>
          <w:sz w:val="22"/>
          <w:szCs w:val="22"/>
        </w:rPr>
      </w:pPr>
      <w:r>
        <w:rPr>
          <w:sz w:val="22"/>
          <w:szCs w:val="22"/>
        </w:rPr>
        <w:t>Pointers for better engagement with key partners</w:t>
      </w:r>
    </w:p>
    <w:p w:rsidR="00E95DC3" w:rsidRPr="00D424C8" w:rsidRDefault="00E95DC3" w:rsidP="001867A9">
      <w:pPr>
        <w:pStyle w:val="NumbList3"/>
        <w:numPr>
          <w:ilvl w:val="0"/>
          <w:numId w:val="0"/>
        </w:numPr>
        <w:ind w:left="1080"/>
        <w:rPr>
          <w:sz w:val="22"/>
          <w:szCs w:val="22"/>
        </w:rPr>
      </w:pPr>
    </w:p>
    <w:p w:rsidR="00D424C8" w:rsidRDefault="00E95DC3" w:rsidP="00BF307F">
      <w:pPr>
        <w:pStyle w:val="NumbList3"/>
        <w:rPr>
          <w:sz w:val="22"/>
          <w:szCs w:val="22"/>
        </w:rPr>
      </w:pPr>
      <w:r>
        <w:rPr>
          <w:sz w:val="22"/>
          <w:szCs w:val="22"/>
        </w:rPr>
        <w:t xml:space="preserve">The SAOR has a partial risk register at the end of chapters, with a full risk register at its Annex B. The identified risks, of which there are 11, are cross-referenced to the Essex Resilience Forum Community Risk Register. </w:t>
      </w:r>
    </w:p>
    <w:p w:rsidR="00BF307F" w:rsidRPr="00D424C8" w:rsidRDefault="00BF307F" w:rsidP="00BF307F">
      <w:pPr>
        <w:pStyle w:val="NumbList3"/>
        <w:numPr>
          <w:ilvl w:val="0"/>
          <w:numId w:val="0"/>
        </w:numPr>
        <w:rPr>
          <w:sz w:val="22"/>
          <w:szCs w:val="22"/>
        </w:rPr>
      </w:pPr>
    </w:p>
    <w:p w:rsidR="00C0492F" w:rsidRPr="00D424C8" w:rsidRDefault="00C0492F" w:rsidP="00C0492F">
      <w:pPr>
        <w:pStyle w:val="Heading1"/>
        <w:rPr>
          <w:sz w:val="22"/>
          <w:szCs w:val="22"/>
        </w:rPr>
      </w:pPr>
      <w:r w:rsidRPr="00D424C8">
        <w:rPr>
          <w:sz w:val="22"/>
          <w:szCs w:val="22"/>
        </w:rPr>
        <w:t>Financial Implications</w:t>
      </w:r>
    </w:p>
    <w:p w:rsidR="00C0492F" w:rsidRPr="00D424C8" w:rsidRDefault="00BF307F" w:rsidP="00C0492F">
      <w:pPr>
        <w:pStyle w:val="NumbList3"/>
        <w:spacing w:after="240"/>
        <w:ind w:left="357" w:hanging="357"/>
        <w:rPr>
          <w:sz w:val="22"/>
          <w:szCs w:val="22"/>
        </w:rPr>
      </w:pPr>
      <w:r w:rsidRPr="00D424C8">
        <w:rPr>
          <w:sz w:val="22"/>
          <w:szCs w:val="22"/>
        </w:rPr>
        <w:t>None at this stage.</w:t>
      </w:r>
    </w:p>
    <w:p w:rsidR="00C0492F" w:rsidRPr="00D424C8" w:rsidRDefault="00C0492F" w:rsidP="00C0492F">
      <w:pPr>
        <w:pStyle w:val="Heading1"/>
        <w:rPr>
          <w:sz w:val="22"/>
          <w:szCs w:val="22"/>
        </w:rPr>
      </w:pPr>
      <w:r w:rsidRPr="00D424C8">
        <w:rPr>
          <w:sz w:val="22"/>
          <w:szCs w:val="22"/>
        </w:rPr>
        <w:t>Equality and Diversity Implications</w:t>
      </w:r>
    </w:p>
    <w:p w:rsidR="00C0492F" w:rsidRPr="00D424C8" w:rsidRDefault="00BF307F" w:rsidP="00C0492F">
      <w:pPr>
        <w:pStyle w:val="NumbList3"/>
        <w:spacing w:after="240"/>
        <w:ind w:left="357" w:hanging="357"/>
        <w:rPr>
          <w:sz w:val="22"/>
          <w:szCs w:val="22"/>
        </w:rPr>
      </w:pPr>
      <w:r w:rsidRPr="00D424C8">
        <w:rPr>
          <w:sz w:val="22"/>
          <w:szCs w:val="22"/>
        </w:rPr>
        <w:t>None at this stage.</w:t>
      </w:r>
    </w:p>
    <w:p w:rsidR="00C0492F" w:rsidRPr="00D424C8" w:rsidRDefault="00C0492F" w:rsidP="00C0492F">
      <w:pPr>
        <w:pStyle w:val="Heading1"/>
        <w:rPr>
          <w:sz w:val="22"/>
          <w:szCs w:val="22"/>
        </w:rPr>
      </w:pPr>
      <w:r w:rsidRPr="00D424C8">
        <w:rPr>
          <w:sz w:val="22"/>
          <w:szCs w:val="22"/>
        </w:rPr>
        <w:t>Workforce Engagement</w:t>
      </w:r>
    </w:p>
    <w:p w:rsidR="00C0492F" w:rsidRPr="00D424C8" w:rsidRDefault="00BF307F" w:rsidP="00C0492F">
      <w:pPr>
        <w:pStyle w:val="NumbList3"/>
        <w:spacing w:after="240"/>
        <w:ind w:left="357" w:hanging="357"/>
        <w:rPr>
          <w:sz w:val="22"/>
          <w:szCs w:val="22"/>
        </w:rPr>
      </w:pPr>
      <w:r w:rsidRPr="00D424C8">
        <w:rPr>
          <w:sz w:val="22"/>
          <w:szCs w:val="22"/>
        </w:rPr>
        <w:t xml:space="preserve">The Corporate Risk </w:t>
      </w:r>
      <w:r w:rsidR="00072F30">
        <w:rPr>
          <w:sz w:val="22"/>
          <w:szCs w:val="22"/>
        </w:rPr>
        <w:t>and</w:t>
      </w:r>
      <w:r w:rsidRPr="00D424C8">
        <w:rPr>
          <w:sz w:val="22"/>
          <w:szCs w:val="22"/>
        </w:rPr>
        <w:t xml:space="preserve"> Business Continuity Manager is the author and researcher for the SAOR. Colleagues from across the Service provide annual updates, e.g. Chapter 2 Base Case and Chapter 5 Transport Infrastructure.</w:t>
      </w:r>
    </w:p>
    <w:p w:rsidR="00C0492F" w:rsidRPr="00D424C8" w:rsidRDefault="00C0492F" w:rsidP="00C0492F">
      <w:pPr>
        <w:pStyle w:val="Heading1"/>
        <w:rPr>
          <w:sz w:val="22"/>
          <w:szCs w:val="22"/>
        </w:rPr>
      </w:pPr>
      <w:r w:rsidRPr="00D424C8">
        <w:rPr>
          <w:sz w:val="22"/>
          <w:szCs w:val="22"/>
        </w:rPr>
        <w:t>Legal Implications</w:t>
      </w:r>
    </w:p>
    <w:p w:rsidR="002F45F7" w:rsidRDefault="001170EF" w:rsidP="001170EF">
      <w:pPr>
        <w:pStyle w:val="NumbList3"/>
        <w:rPr>
          <w:sz w:val="22"/>
          <w:szCs w:val="22"/>
        </w:rPr>
      </w:pPr>
      <w:r>
        <w:rPr>
          <w:sz w:val="22"/>
          <w:szCs w:val="22"/>
        </w:rPr>
        <w:t xml:space="preserve">The National Framework for Fire and Rescue Service’s has been revised in </w:t>
      </w:r>
      <w:r w:rsidR="006B0C4D">
        <w:rPr>
          <w:sz w:val="22"/>
          <w:szCs w:val="22"/>
        </w:rPr>
        <w:t>May 2018; Fire and Rescue A</w:t>
      </w:r>
      <w:r w:rsidRPr="001170EF">
        <w:rPr>
          <w:sz w:val="22"/>
          <w:szCs w:val="22"/>
        </w:rPr>
        <w:t>uthorities must have regard to the framework in carrying out their duties.</w:t>
      </w:r>
      <w:r w:rsidR="006B0C4D">
        <w:rPr>
          <w:sz w:val="22"/>
          <w:szCs w:val="22"/>
        </w:rPr>
        <w:t xml:space="preserve"> The SAOR sets out ECFRS foreseeable risks in order to inform its IRMP.</w:t>
      </w:r>
    </w:p>
    <w:p w:rsidR="006B0C4D" w:rsidRDefault="006B0C4D" w:rsidP="001867A9">
      <w:pPr>
        <w:pStyle w:val="NumbList3"/>
        <w:numPr>
          <w:ilvl w:val="0"/>
          <w:numId w:val="0"/>
        </w:numPr>
        <w:ind w:left="360"/>
        <w:rPr>
          <w:sz w:val="22"/>
          <w:szCs w:val="22"/>
        </w:rPr>
      </w:pPr>
    </w:p>
    <w:p w:rsidR="006B0C4D" w:rsidRDefault="006B0C4D" w:rsidP="006B0C4D">
      <w:pPr>
        <w:pStyle w:val="NumbList3"/>
        <w:rPr>
          <w:sz w:val="22"/>
          <w:szCs w:val="22"/>
        </w:rPr>
      </w:pPr>
      <w:r>
        <w:rPr>
          <w:sz w:val="22"/>
          <w:szCs w:val="22"/>
        </w:rPr>
        <w:t>More specifically it address two priorities in the</w:t>
      </w:r>
      <w:r w:rsidRPr="006B0C4D">
        <w:rPr>
          <w:sz w:val="22"/>
          <w:szCs w:val="22"/>
        </w:rPr>
        <w:t xml:space="preserve"> Framework</w:t>
      </w:r>
      <w:r>
        <w:rPr>
          <w:sz w:val="22"/>
          <w:szCs w:val="22"/>
        </w:rPr>
        <w:t xml:space="preserve"> (2017;p5), namely; -</w:t>
      </w:r>
    </w:p>
    <w:p w:rsidR="006B0C4D" w:rsidRPr="006B0C4D" w:rsidRDefault="006B0C4D" w:rsidP="001867A9">
      <w:pPr>
        <w:pStyle w:val="NumbList3"/>
        <w:numPr>
          <w:ilvl w:val="0"/>
          <w:numId w:val="0"/>
        </w:numPr>
        <w:ind w:left="360"/>
        <w:rPr>
          <w:sz w:val="22"/>
          <w:szCs w:val="22"/>
        </w:rPr>
      </w:pPr>
    </w:p>
    <w:p w:rsidR="006B0C4D" w:rsidRPr="006B0C4D" w:rsidRDefault="006B0C4D" w:rsidP="001867A9">
      <w:pPr>
        <w:pStyle w:val="NumbList3"/>
        <w:numPr>
          <w:ilvl w:val="0"/>
          <w:numId w:val="13"/>
        </w:numPr>
        <w:rPr>
          <w:sz w:val="22"/>
          <w:szCs w:val="22"/>
        </w:rPr>
      </w:pPr>
      <w:r w:rsidRPr="006B0C4D">
        <w:rPr>
          <w:sz w:val="22"/>
          <w:szCs w:val="22"/>
        </w:rPr>
        <w:t>make appropriate provision for fire prevention and protection activities and response to fire and rescue related incidents;</w:t>
      </w:r>
    </w:p>
    <w:p w:rsidR="006B0C4D" w:rsidRDefault="006B0C4D" w:rsidP="001867A9">
      <w:pPr>
        <w:pStyle w:val="NumbList3"/>
        <w:numPr>
          <w:ilvl w:val="0"/>
          <w:numId w:val="13"/>
        </w:numPr>
        <w:rPr>
          <w:sz w:val="22"/>
          <w:szCs w:val="22"/>
        </w:rPr>
      </w:pPr>
      <w:r w:rsidRPr="006B0C4D">
        <w:rPr>
          <w:sz w:val="22"/>
          <w:szCs w:val="22"/>
        </w:rPr>
        <w:t>identify and assess the full range of foreseeable fire and rescue related risks their areas face;</w:t>
      </w:r>
    </w:p>
    <w:p w:rsidR="006B0C4D" w:rsidRPr="00D424C8" w:rsidRDefault="006B0C4D" w:rsidP="001867A9">
      <w:pPr>
        <w:pStyle w:val="NumbList3"/>
        <w:numPr>
          <w:ilvl w:val="0"/>
          <w:numId w:val="0"/>
        </w:numPr>
        <w:ind w:left="360" w:hanging="360"/>
        <w:rPr>
          <w:sz w:val="22"/>
          <w:szCs w:val="22"/>
        </w:rPr>
      </w:pPr>
    </w:p>
    <w:p w:rsidR="00D424C8" w:rsidRPr="00D424C8" w:rsidRDefault="00D424C8" w:rsidP="00D424C8">
      <w:pPr>
        <w:rPr>
          <w:sz w:val="22"/>
          <w:szCs w:val="22"/>
          <w:lang w:eastAsia="en-GB"/>
        </w:rPr>
      </w:pPr>
    </w:p>
    <w:p w:rsidR="00BF307F" w:rsidRPr="00C0492F" w:rsidRDefault="00BF307F" w:rsidP="00BF307F">
      <w:pPr>
        <w:pStyle w:val="NumbList3"/>
        <w:numPr>
          <w:ilvl w:val="0"/>
          <w:numId w:val="0"/>
        </w:numPr>
        <w:spacing w:after="240"/>
        <w:ind w:left="357"/>
      </w:pPr>
    </w:p>
    <w:sectPr w:rsidR="00BF307F" w:rsidRPr="00C0492F" w:rsidSect="00A8212D">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63" w:rsidRDefault="004F3663">
      <w:r>
        <w:separator/>
      </w:r>
    </w:p>
  </w:endnote>
  <w:endnote w:type="continuationSeparator" w:id="0">
    <w:p w:rsidR="004F3663" w:rsidRDefault="004F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A9" w:rsidRDefault="00970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A9" w:rsidRDefault="00970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2D" w:rsidRDefault="00A8212D" w:rsidP="00A8212D">
    <w:pPr>
      <w:pStyle w:val="Footer"/>
      <w:jc w:val="center"/>
      <w:rPr>
        <w:sz w:val="22"/>
        <w:szCs w:val="22"/>
      </w:rPr>
    </w:pPr>
  </w:p>
  <w:p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1540E7">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1540E7">
      <w:rPr>
        <w:noProof/>
        <w:sz w:val="22"/>
        <w:szCs w:val="22"/>
      </w:rPr>
      <w:t>2</w:t>
    </w:r>
    <w:r w:rsidRPr="00AA60E6">
      <w:rP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Default="00C0492F" w:rsidP="00AA60E6">
    <w:pPr>
      <w:pStyle w:val="Footer"/>
      <w:jc w:val="center"/>
      <w:rPr>
        <w:sz w:val="22"/>
        <w:szCs w:val="22"/>
      </w:rPr>
    </w:pPr>
  </w:p>
  <w:p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1540E7">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1540E7">
      <w:rPr>
        <w:noProof/>
        <w:sz w:val="22"/>
        <w:szCs w:val="22"/>
      </w:rPr>
      <w:t>2</w:t>
    </w:r>
    <w:r w:rsidRPr="00AA60E6">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3</w:t>
    </w:r>
    <w:r w:rsidRPr="00AA60E6">
      <w:rPr>
        <w:sz w:val="22"/>
        <w:szCs w:val="22"/>
      </w:rPr>
      <w:fldChar w:fldCharType="end"/>
    </w:r>
  </w:p>
  <w:p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63" w:rsidRDefault="004F3663">
      <w:r>
        <w:separator/>
      </w:r>
    </w:p>
  </w:footnote>
  <w:footnote w:type="continuationSeparator" w:id="0">
    <w:p w:rsidR="004F3663" w:rsidRDefault="004F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A9" w:rsidRDefault="001540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69454" o:spid="_x0000_s16386" type="#_x0000_t136" style="position:absolute;margin-left:0;margin-top:0;width:471pt;height:188.4pt;rotation:315;z-index:-251655168;mso-position-horizontal:center;mso-position-horizontal-relative:margin;mso-position-vertical:center;mso-position-vertical-relative:margin" o:allowincell="f" fillcolor="#f4b083 [1941]"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A9" w:rsidRDefault="001540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69455" o:spid="_x0000_s16387" type="#_x0000_t136" style="position:absolute;margin-left:0;margin-top:0;width:471pt;height:188.4pt;rotation:315;z-index:-251653120;mso-position-horizontal:center;mso-position-horizontal-relative:margin;mso-position-vertical:center;mso-position-vertical-relative:margin" o:allowincell="f" fillcolor="#f4b083 [1941]"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A9" w:rsidRDefault="001540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69453" o:spid="_x0000_s16385" type="#_x0000_t136" style="position:absolute;margin-left:0;margin-top:0;width:471pt;height:188.4pt;rotation:315;z-index:-251657216;mso-position-horizontal:center;mso-position-horizontal-relative:margin;mso-position-vertical:center;mso-position-vertical-relative:margin" o:allowincell="f" fillcolor="#f4b083 [1941]"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A9" w:rsidRDefault="001540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69457" o:spid="_x0000_s16389" type="#_x0000_t136" style="position:absolute;margin-left:0;margin-top:0;width:471pt;height:188.4pt;rotation:315;z-index:-251649024;mso-position-horizontal:center;mso-position-horizontal-relative:margin;mso-position-vertical:center;mso-position-vertical-relative:margin" o:allowincell="f" fillcolor="#f4b083 [1941]"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8212D" w:rsidRDefault="001540E7" w:rsidP="00A821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69458" o:spid="_x0000_s16390" type="#_x0000_t136" style="position:absolute;margin-left:0;margin-top:0;width:471pt;height:188.4pt;rotation:315;z-index:-251646976;mso-position-horizontal:center;mso-position-horizontal-relative:margin;mso-position-vertical:center;mso-position-vertical-relative:margin" o:allowincell="f" fillcolor="#f4b083 [1941]"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A9" w:rsidRDefault="001540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69456" o:spid="_x0000_s16388" type="#_x0000_t136" style="position:absolute;margin-left:0;margin-top:0;width:471pt;height:188.4pt;rotation:315;z-index:-251651072;mso-position-horizontal:center;mso-position-horizontal-relative:margin;mso-position-vertical:center;mso-position-vertical-relative:margin" o:allowincell="f" fillcolor="#f4b083 [1941]"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F55B5"/>
    <w:multiLevelType w:val="hybridMultilevel"/>
    <w:tmpl w:val="67848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6C3E94"/>
    <w:multiLevelType w:val="hybridMultilevel"/>
    <w:tmpl w:val="D58E4380"/>
    <w:lvl w:ilvl="0" w:tplc="08090001">
      <w:start w:val="1"/>
      <w:numFmt w:val="bullet"/>
      <w:lvlText w:val=""/>
      <w:lvlJc w:val="left"/>
      <w:pPr>
        <w:ind w:left="360" w:hanging="360"/>
      </w:pPr>
      <w:rPr>
        <w:rFonts w:ascii="Symbol" w:hAnsi="Symbol"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766DA4"/>
    <w:multiLevelType w:val="hybridMultilevel"/>
    <w:tmpl w:val="9D9C0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8"/>
  </w:num>
  <w:num w:numId="6">
    <w:abstractNumId w:val="5"/>
  </w:num>
  <w:num w:numId="7">
    <w:abstractNumId w:val="4"/>
  </w:num>
  <w:num w:numId="8">
    <w:abstractNumId w:val="1"/>
  </w:num>
  <w:num w:numId="9">
    <w:abstractNumId w:val="7"/>
  </w:num>
  <w:num w:numId="10">
    <w:abstractNumId w:val="7"/>
  </w:num>
  <w:num w:numId="11">
    <w:abstractNumId w:val="2"/>
  </w:num>
  <w:num w:numId="12">
    <w:abstractNumId w:val="10"/>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7123"/>
    <w:rsid w:val="00050A61"/>
    <w:rsid w:val="00050FB5"/>
    <w:rsid w:val="000562DA"/>
    <w:rsid w:val="00057E76"/>
    <w:rsid w:val="000609B3"/>
    <w:rsid w:val="00061F0C"/>
    <w:rsid w:val="000640F3"/>
    <w:rsid w:val="000649BD"/>
    <w:rsid w:val="000651F2"/>
    <w:rsid w:val="000655B3"/>
    <w:rsid w:val="00067B17"/>
    <w:rsid w:val="000708BF"/>
    <w:rsid w:val="00072F30"/>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170EF"/>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D73"/>
    <w:rsid w:val="0014714B"/>
    <w:rsid w:val="00151327"/>
    <w:rsid w:val="00153361"/>
    <w:rsid w:val="001540E7"/>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7A9"/>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4AA"/>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493"/>
    <w:rsid w:val="00413B48"/>
    <w:rsid w:val="00414FE6"/>
    <w:rsid w:val="00416883"/>
    <w:rsid w:val="00417EA4"/>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0EA5"/>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A0DC2"/>
    <w:rsid w:val="006A10FC"/>
    <w:rsid w:val="006A2B71"/>
    <w:rsid w:val="006A3E36"/>
    <w:rsid w:val="006A4DED"/>
    <w:rsid w:val="006A5076"/>
    <w:rsid w:val="006A54CE"/>
    <w:rsid w:val="006A7058"/>
    <w:rsid w:val="006A7F0D"/>
    <w:rsid w:val="006B0A82"/>
    <w:rsid w:val="006B0C26"/>
    <w:rsid w:val="006B0C4D"/>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49C6"/>
    <w:rsid w:val="00784AA4"/>
    <w:rsid w:val="007852E5"/>
    <w:rsid w:val="00785949"/>
    <w:rsid w:val="00785BF4"/>
    <w:rsid w:val="00785BF6"/>
    <w:rsid w:val="00787168"/>
    <w:rsid w:val="007905E9"/>
    <w:rsid w:val="007911BF"/>
    <w:rsid w:val="00791FB8"/>
    <w:rsid w:val="007923A6"/>
    <w:rsid w:val="00793F0C"/>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806"/>
    <w:rsid w:val="007F6B3A"/>
    <w:rsid w:val="00800CCA"/>
    <w:rsid w:val="0080243D"/>
    <w:rsid w:val="00802EC1"/>
    <w:rsid w:val="00803C2F"/>
    <w:rsid w:val="00804AF8"/>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37A9"/>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6A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865C9"/>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5C12"/>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307F"/>
    <w:rsid w:val="00BF5DB5"/>
    <w:rsid w:val="00BF70E9"/>
    <w:rsid w:val="00C003D6"/>
    <w:rsid w:val="00C008F2"/>
    <w:rsid w:val="00C00947"/>
    <w:rsid w:val="00C02F61"/>
    <w:rsid w:val="00C0492F"/>
    <w:rsid w:val="00C04CCF"/>
    <w:rsid w:val="00C05159"/>
    <w:rsid w:val="00C05500"/>
    <w:rsid w:val="00C0561B"/>
    <w:rsid w:val="00C063B4"/>
    <w:rsid w:val="00C07636"/>
    <w:rsid w:val="00C10661"/>
    <w:rsid w:val="00C13C66"/>
    <w:rsid w:val="00C13C80"/>
    <w:rsid w:val="00C15D9E"/>
    <w:rsid w:val="00C20A32"/>
    <w:rsid w:val="00C20BF4"/>
    <w:rsid w:val="00C2318C"/>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74B"/>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DB8"/>
    <w:rsid w:val="00C9355B"/>
    <w:rsid w:val="00C94270"/>
    <w:rsid w:val="00C942C9"/>
    <w:rsid w:val="00C946E6"/>
    <w:rsid w:val="00C956C8"/>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581A"/>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24C8"/>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5A7"/>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3A8C"/>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DC3"/>
    <w:rsid w:val="00E95F50"/>
    <w:rsid w:val="00E96B44"/>
    <w:rsid w:val="00E9707F"/>
    <w:rsid w:val="00E972CE"/>
    <w:rsid w:val="00E97C54"/>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88D"/>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1"/>
    <o:shapelayout v:ext="edit">
      <o:idmap v:ext="edit" data="1"/>
    </o:shapelayout>
  </w:shapeDefaults>
  <w:decimalSymbol w:val="."/>
  <w:listSeparator w:val=","/>
  <w14:docId w14:val="45D74DDD"/>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paragraph" w:styleId="FootnoteText">
    <w:name w:val="footnote text"/>
    <w:basedOn w:val="Normal"/>
    <w:link w:val="FootnoteTextChar"/>
    <w:rsid w:val="00D424C8"/>
    <w:rPr>
      <w:rFonts w:cs="Times New Roman"/>
      <w:sz w:val="20"/>
      <w:szCs w:val="20"/>
      <w:lang w:eastAsia="en-GB"/>
    </w:rPr>
  </w:style>
  <w:style w:type="character" w:customStyle="1" w:styleId="FootnoteTextChar">
    <w:name w:val="Footnote Text Char"/>
    <w:basedOn w:val="DefaultParagraphFont"/>
    <w:link w:val="FootnoteText"/>
    <w:rsid w:val="00D424C8"/>
    <w:rPr>
      <w:rFonts w:ascii="Arial" w:hAnsi="Arial"/>
    </w:rPr>
  </w:style>
  <w:style w:type="character" w:styleId="FootnoteReference">
    <w:name w:val="footnote reference"/>
    <w:rsid w:val="00D424C8"/>
    <w:rPr>
      <w:vertAlign w:val="superscript"/>
    </w:rPr>
  </w:style>
  <w:style w:type="table" w:customStyle="1" w:styleId="TableGrid11">
    <w:name w:val="Table Grid11"/>
    <w:basedOn w:val="TableNormal"/>
    <w:next w:val="TableGrid"/>
    <w:rsid w:val="00D424C8"/>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0845-DBC8-4E38-98DE-DD93669A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Anthony Maude 42078422</cp:lastModifiedBy>
  <cp:revision>2</cp:revision>
  <cp:lastPrinted>2017-04-27T08:33:00Z</cp:lastPrinted>
  <dcterms:created xsi:type="dcterms:W3CDTF">2018-05-23T16:11:00Z</dcterms:created>
  <dcterms:modified xsi:type="dcterms:W3CDTF">2018-05-23T16:11:00Z</dcterms:modified>
</cp:coreProperties>
</file>