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4CC107DC" wp14:editId="555B80EA">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107DC"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24575904" wp14:editId="2678385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rsidTr="00B15F8B">
        <w:trPr>
          <w:trHeight w:val="557"/>
        </w:trPr>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rsidR="00B15F8B" w:rsidRPr="00B15F8B" w:rsidRDefault="0074037D" w:rsidP="0074037D">
            <w:pPr>
              <w:spacing w:before="120" w:after="120"/>
              <w:rPr>
                <w:rFonts w:cs="Times New Roman"/>
                <w:b/>
                <w:szCs w:val="20"/>
              </w:rPr>
            </w:pPr>
            <w:r>
              <w:rPr>
                <w:rFonts w:cs="Times New Roman"/>
                <w:b/>
                <w:szCs w:val="20"/>
              </w:rPr>
              <w:t xml:space="preserve">Performance &amp; </w:t>
            </w:r>
            <w:r w:rsidR="00B33FB4">
              <w:rPr>
                <w:rFonts w:cs="Times New Roman"/>
                <w:b/>
                <w:szCs w:val="20"/>
              </w:rPr>
              <w:t>Resources</w:t>
            </w:r>
            <w:r>
              <w:rPr>
                <w:rFonts w:cs="Times New Roman"/>
                <w:b/>
                <w:szCs w:val="20"/>
              </w:rPr>
              <w:t xml:space="preserve"> Board</w:t>
            </w:r>
          </w:p>
        </w:tc>
        <w:tc>
          <w:tcPr>
            <w:tcW w:w="2056" w:type="dxa"/>
          </w:tcPr>
          <w:p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rsidR="00B15F8B" w:rsidRPr="00B15F8B" w:rsidRDefault="0056199C" w:rsidP="009E572F">
            <w:pPr>
              <w:spacing w:before="120" w:after="120"/>
              <w:rPr>
                <w:rFonts w:cs="Times New Roman"/>
                <w:sz w:val="32"/>
                <w:szCs w:val="32"/>
              </w:rPr>
            </w:pPr>
            <w:r>
              <w:rPr>
                <w:rFonts w:cs="Times New Roman"/>
                <w:sz w:val="32"/>
                <w:szCs w:val="32"/>
              </w:rPr>
              <w:t>8</w:t>
            </w:r>
            <w:bookmarkStart w:id="0" w:name="_GoBack"/>
            <w:bookmarkEnd w:id="0"/>
          </w:p>
        </w:tc>
      </w:tr>
      <w:tr w:rsidR="00B15F8B" w:rsidRPr="009E572F" w:rsidTr="00B15F8B">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rsidR="00B15F8B" w:rsidRPr="009E572F" w:rsidRDefault="0026207B" w:rsidP="003C2EFE">
            <w:pPr>
              <w:spacing w:before="120" w:after="120"/>
              <w:rPr>
                <w:rFonts w:cs="Times New Roman"/>
                <w:szCs w:val="20"/>
              </w:rPr>
            </w:pPr>
            <w:r>
              <w:rPr>
                <w:rFonts w:cs="Times New Roman"/>
                <w:szCs w:val="20"/>
              </w:rPr>
              <w:t>24</w:t>
            </w:r>
            <w:r w:rsidRPr="0026207B">
              <w:rPr>
                <w:rFonts w:cs="Times New Roman"/>
                <w:szCs w:val="20"/>
                <w:vertAlign w:val="superscript"/>
              </w:rPr>
              <w:t>th</w:t>
            </w:r>
            <w:r>
              <w:rPr>
                <w:rFonts w:cs="Times New Roman"/>
                <w:szCs w:val="20"/>
              </w:rPr>
              <w:t xml:space="preserve"> September </w:t>
            </w:r>
            <w:r w:rsidR="00B55C12">
              <w:rPr>
                <w:rFonts w:cs="Times New Roman"/>
                <w:szCs w:val="20"/>
              </w:rPr>
              <w:t>2018</w:t>
            </w:r>
          </w:p>
        </w:tc>
        <w:tc>
          <w:tcPr>
            <w:tcW w:w="2056" w:type="dxa"/>
          </w:tcPr>
          <w:p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rsidR="00B15F8B" w:rsidRPr="00B15F8B" w:rsidRDefault="00B15F8B" w:rsidP="009E572F">
            <w:pPr>
              <w:spacing w:before="120" w:after="120"/>
              <w:rPr>
                <w:rFonts w:cs="Times New Roman"/>
                <w:b/>
                <w:szCs w:val="20"/>
              </w:rPr>
            </w:pP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rsidR="009E572F" w:rsidRPr="00B15F8B" w:rsidRDefault="0026207B" w:rsidP="00B55C12">
            <w:pPr>
              <w:spacing w:before="120" w:after="120"/>
              <w:rPr>
                <w:rFonts w:cs="Times New Roman"/>
                <w:szCs w:val="20"/>
              </w:rPr>
            </w:pPr>
            <w:r>
              <w:rPr>
                <w:rFonts w:cs="Times New Roman"/>
                <w:szCs w:val="20"/>
              </w:rPr>
              <w:t>ACFO IRMP and Service Improvement</w:t>
            </w:r>
          </w:p>
        </w:tc>
      </w:tr>
      <w:tr w:rsidR="009E572F" w:rsidRPr="009E572F" w:rsidTr="00B15F8B">
        <w:tc>
          <w:tcPr>
            <w:tcW w:w="2518" w:type="dxa"/>
            <w:tcBorders>
              <w:top w:val="single" w:sz="6" w:space="0" w:color="auto"/>
              <w:left w:val="single" w:sz="6" w:space="0" w:color="auto"/>
              <w:bottom w:val="single" w:sz="6" w:space="0" w:color="auto"/>
              <w:right w:val="single" w:sz="6" w:space="0" w:color="auto"/>
            </w:tcBorders>
          </w:tcPr>
          <w:p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9E572F" w:rsidRPr="009E572F" w:rsidRDefault="0026207B" w:rsidP="009E572F">
            <w:pPr>
              <w:spacing w:before="120" w:after="120"/>
              <w:rPr>
                <w:rFonts w:cs="Times New Roman"/>
                <w:szCs w:val="20"/>
              </w:rPr>
            </w:pPr>
            <w:r>
              <w:rPr>
                <w:rFonts w:cs="Times New Roman"/>
                <w:szCs w:val="20"/>
              </w:rPr>
              <w:t>ACFO IRMP and Service Improvement</w:t>
            </w:r>
          </w:p>
        </w:tc>
      </w:tr>
      <w:tr w:rsidR="009E572F" w:rsidRPr="009E572F" w:rsidTr="00B15F8B">
        <w:tc>
          <w:tcPr>
            <w:tcW w:w="2518" w:type="dxa"/>
          </w:tcPr>
          <w:p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rsidR="009E572F" w:rsidRPr="003A46D1" w:rsidRDefault="0026207B" w:rsidP="009E572F">
            <w:pPr>
              <w:spacing w:before="120" w:after="120"/>
              <w:rPr>
                <w:rFonts w:cs="Times New Roman"/>
                <w:b/>
                <w:szCs w:val="20"/>
              </w:rPr>
            </w:pPr>
            <w:r>
              <w:rPr>
                <w:rFonts w:cs="Times New Roman"/>
                <w:b/>
                <w:szCs w:val="20"/>
              </w:rPr>
              <w:t xml:space="preserve">Response </w:t>
            </w:r>
            <w:r w:rsidR="0074037D">
              <w:rPr>
                <w:rFonts w:cs="Times New Roman"/>
                <w:b/>
                <w:szCs w:val="20"/>
              </w:rPr>
              <w:t>Strategy</w:t>
            </w: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rsidR="009E572F" w:rsidRPr="009E572F" w:rsidRDefault="0026207B" w:rsidP="003C2EFE">
            <w:pPr>
              <w:tabs>
                <w:tab w:val="num" w:pos="567"/>
              </w:tabs>
              <w:spacing w:before="120" w:after="120"/>
              <w:rPr>
                <w:rFonts w:cs="Times New Roman"/>
                <w:szCs w:val="20"/>
              </w:rPr>
            </w:pPr>
            <w:r>
              <w:rPr>
                <w:rFonts w:cs="Times New Roman"/>
                <w:szCs w:val="20"/>
              </w:rPr>
              <w:t>Information</w:t>
            </w:r>
          </w:p>
        </w:tc>
      </w:tr>
    </w:tbl>
    <w:p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rsidR="009E572F" w:rsidRDefault="009E572F" w:rsidP="009E572F">
      <w:pPr>
        <w:tabs>
          <w:tab w:val="num" w:pos="567"/>
        </w:tabs>
        <w:spacing w:after="120"/>
        <w:rPr>
          <w:rFonts w:cs="Times New Roman"/>
          <w:szCs w:val="20"/>
        </w:rPr>
      </w:pPr>
    </w:p>
    <w:p w:rsidR="00C0492F" w:rsidRPr="00AE4915" w:rsidRDefault="00C0492F" w:rsidP="00C0492F">
      <w:pPr>
        <w:pStyle w:val="Heading1"/>
        <w:rPr>
          <w:sz w:val="22"/>
          <w:szCs w:val="22"/>
        </w:rPr>
      </w:pPr>
      <w:r w:rsidRPr="00AE4915">
        <w:rPr>
          <w:sz w:val="22"/>
          <w:szCs w:val="22"/>
        </w:rPr>
        <w:t>Recommendations</w:t>
      </w:r>
    </w:p>
    <w:p w:rsidR="00B55C12" w:rsidRDefault="0026207B" w:rsidP="00F74DFF">
      <w:pPr>
        <w:pStyle w:val="NumbList3"/>
        <w:spacing w:after="240"/>
        <w:ind w:left="357" w:hanging="357"/>
        <w:jc w:val="both"/>
        <w:rPr>
          <w:sz w:val="22"/>
          <w:szCs w:val="22"/>
        </w:rPr>
      </w:pPr>
      <w:r w:rsidRPr="0026207B">
        <w:rPr>
          <w:sz w:val="22"/>
          <w:szCs w:val="22"/>
        </w:rPr>
        <w:t xml:space="preserve">Members of the board are asked to note the following contents of the report for </w:t>
      </w:r>
      <w:r>
        <w:rPr>
          <w:sz w:val="22"/>
          <w:szCs w:val="22"/>
        </w:rPr>
        <w:t>information</w:t>
      </w:r>
      <w:r w:rsidR="00C51118">
        <w:rPr>
          <w:sz w:val="22"/>
          <w:szCs w:val="22"/>
        </w:rPr>
        <w:t>.</w:t>
      </w:r>
    </w:p>
    <w:p w:rsidR="00C51118" w:rsidRPr="00C51118" w:rsidRDefault="00C51118" w:rsidP="00F74DFF">
      <w:pPr>
        <w:pStyle w:val="NumbList3"/>
        <w:numPr>
          <w:ilvl w:val="0"/>
          <w:numId w:val="0"/>
        </w:numPr>
        <w:spacing w:after="240"/>
        <w:jc w:val="both"/>
        <w:rPr>
          <w:b/>
          <w:sz w:val="22"/>
          <w:szCs w:val="22"/>
        </w:rPr>
      </w:pPr>
      <w:r w:rsidRPr="00C51118">
        <w:rPr>
          <w:b/>
          <w:sz w:val="22"/>
          <w:szCs w:val="22"/>
        </w:rPr>
        <w:t>BACKGROUND</w:t>
      </w:r>
      <w:r>
        <w:rPr>
          <w:b/>
          <w:sz w:val="22"/>
          <w:szCs w:val="22"/>
        </w:rPr>
        <w:t xml:space="preserve"> </w:t>
      </w:r>
      <w:r w:rsidR="0026207B">
        <w:rPr>
          <w:b/>
          <w:sz w:val="22"/>
          <w:szCs w:val="22"/>
        </w:rPr>
        <w:t>–</w:t>
      </w:r>
      <w:r>
        <w:rPr>
          <w:b/>
          <w:sz w:val="22"/>
          <w:szCs w:val="22"/>
        </w:rPr>
        <w:t xml:space="preserve"> </w:t>
      </w:r>
      <w:r w:rsidR="0026207B">
        <w:rPr>
          <w:b/>
          <w:sz w:val="22"/>
          <w:szCs w:val="22"/>
        </w:rPr>
        <w:t xml:space="preserve">Response </w:t>
      </w:r>
      <w:r w:rsidRPr="00C51118">
        <w:rPr>
          <w:b/>
          <w:sz w:val="22"/>
          <w:szCs w:val="22"/>
        </w:rPr>
        <w:t>Strategy</w:t>
      </w:r>
    </w:p>
    <w:p w:rsidR="00C51118" w:rsidRPr="00C51118" w:rsidRDefault="0026207B" w:rsidP="00F74DFF">
      <w:pPr>
        <w:pStyle w:val="NumbList3"/>
        <w:jc w:val="both"/>
        <w:rPr>
          <w:sz w:val="22"/>
          <w:szCs w:val="22"/>
        </w:rPr>
      </w:pPr>
      <w:r w:rsidRPr="0026207B">
        <w:rPr>
          <w:sz w:val="22"/>
          <w:szCs w:val="22"/>
        </w:rPr>
        <w:t xml:space="preserve">The Essex County Fire &amp; Rescue Service </w:t>
      </w:r>
      <w:r w:rsidR="00B33FB4">
        <w:rPr>
          <w:sz w:val="22"/>
          <w:szCs w:val="22"/>
        </w:rPr>
        <w:t xml:space="preserve">(ECFRS) </w:t>
      </w:r>
      <w:r w:rsidRPr="0026207B">
        <w:rPr>
          <w:sz w:val="22"/>
          <w:szCs w:val="22"/>
        </w:rPr>
        <w:t>Response Strategy ha</w:t>
      </w:r>
      <w:r w:rsidR="00082988">
        <w:rPr>
          <w:sz w:val="22"/>
          <w:szCs w:val="22"/>
        </w:rPr>
        <w:t>d</w:t>
      </w:r>
      <w:r w:rsidRPr="0026207B">
        <w:rPr>
          <w:sz w:val="22"/>
          <w:szCs w:val="22"/>
        </w:rPr>
        <w:t xml:space="preserve"> been ‘in draft’ for a considerable period of time. On every occasion when an opportunity occurred for publication, a change in our operating context or the potential for such </w:t>
      </w:r>
      <w:r w:rsidR="00082988">
        <w:rPr>
          <w:sz w:val="22"/>
          <w:szCs w:val="22"/>
        </w:rPr>
        <w:t xml:space="preserve">change became evident and </w:t>
      </w:r>
      <w:r w:rsidRPr="0026207B">
        <w:rPr>
          <w:sz w:val="22"/>
          <w:szCs w:val="22"/>
        </w:rPr>
        <w:t xml:space="preserve">the publication </w:t>
      </w:r>
      <w:r w:rsidR="00082988">
        <w:rPr>
          <w:sz w:val="22"/>
          <w:szCs w:val="22"/>
        </w:rPr>
        <w:t xml:space="preserve">of the Strategy </w:t>
      </w:r>
      <w:r w:rsidRPr="0026207B">
        <w:rPr>
          <w:sz w:val="22"/>
          <w:szCs w:val="22"/>
        </w:rPr>
        <w:t>was delayed. The latest change was the advent of the new Fire and Rescue Services Framework document</w:t>
      </w:r>
      <w:r w:rsidR="00C51118" w:rsidRPr="00C51118">
        <w:rPr>
          <w:sz w:val="22"/>
          <w:szCs w:val="22"/>
        </w:rPr>
        <w:t>.</w:t>
      </w:r>
    </w:p>
    <w:p w:rsidR="00C51118" w:rsidRDefault="00C51118" w:rsidP="00F74DFF">
      <w:pPr>
        <w:pStyle w:val="NumbList3"/>
        <w:numPr>
          <w:ilvl w:val="0"/>
          <w:numId w:val="0"/>
        </w:numPr>
        <w:ind w:left="360"/>
        <w:jc w:val="both"/>
        <w:rPr>
          <w:sz w:val="22"/>
          <w:szCs w:val="22"/>
        </w:rPr>
      </w:pPr>
    </w:p>
    <w:p w:rsidR="00C51118" w:rsidRDefault="0026207B" w:rsidP="005E11DA">
      <w:pPr>
        <w:pStyle w:val="NumbList3"/>
        <w:spacing w:after="240"/>
        <w:ind w:left="357" w:hanging="357"/>
        <w:jc w:val="both"/>
        <w:rPr>
          <w:sz w:val="22"/>
          <w:szCs w:val="22"/>
        </w:rPr>
      </w:pPr>
      <w:r w:rsidRPr="0026207B">
        <w:rPr>
          <w:sz w:val="22"/>
          <w:szCs w:val="22"/>
        </w:rPr>
        <w:t xml:space="preserve">The </w:t>
      </w:r>
      <w:r w:rsidR="00082988">
        <w:rPr>
          <w:sz w:val="22"/>
          <w:szCs w:val="22"/>
        </w:rPr>
        <w:t>Response S</w:t>
      </w:r>
      <w:r w:rsidRPr="0026207B">
        <w:rPr>
          <w:sz w:val="22"/>
          <w:szCs w:val="22"/>
        </w:rPr>
        <w:t>trategy include</w:t>
      </w:r>
      <w:r w:rsidR="00082988">
        <w:rPr>
          <w:sz w:val="22"/>
          <w:szCs w:val="22"/>
        </w:rPr>
        <w:t>s</w:t>
      </w:r>
      <w:r w:rsidRPr="0026207B">
        <w:rPr>
          <w:sz w:val="22"/>
          <w:szCs w:val="22"/>
        </w:rPr>
        <w:t xml:space="preserve"> reference to the Policing and Crime Bill and the new FRS Framework document but does not include reference to the Fire and Rescue Services Plan as this does not come into effect until 2019</w:t>
      </w:r>
      <w:r w:rsidR="00C51118" w:rsidRPr="0026207B">
        <w:rPr>
          <w:sz w:val="22"/>
          <w:szCs w:val="22"/>
        </w:rPr>
        <w:t>.</w:t>
      </w:r>
    </w:p>
    <w:p w:rsidR="0026207B" w:rsidRPr="0026207B" w:rsidRDefault="0026207B" w:rsidP="0026207B">
      <w:pPr>
        <w:pStyle w:val="NumbList3"/>
        <w:spacing w:after="240"/>
        <w:ind w:left="357" w:hanging="357"/>
        <w:jc w:val="both"/>
        <w:rPr>
          <w:sz w:val="22"/>
          <w:szCs w:val="22"/>
        </w:rPr>
      </w:pPr>
      <w:r w:rsidRPr="0026207B">
        <w:rPr>
          <w:sz w:val="22"/>
          <w:szCs w:val="22"/>
        </w:rPr>
        <w:t xml:space="preserve">ECFRS will be required to provide a suite of documents to HMICFRS as part of our inspection in 2019. A Response Strategy is one of the documents listed. </w:t>
      </w:r>
    </w:p>
    <w:p w:rsidR="0026207B" w:rsidRDefault="0026207B" w:rsidP="005E11DA">
      <w:pPr>
        <w:pStyle w:val="NumbList3"/>
        <w:spacing w:after="240"/>
        <w:ind w:left="357" w:hanging="357"/>
        <w:jc w:val="both"/>
        <w:rPr>
          <w:sz w:val="22"/>
          <w:szCs w:val="22"/>
        </w:rPr>
      </w:pPr>
      <w:r>
        <w:rPr>
          <w:sz w:val="22"/>
          <w:szCs w:val="22"/>
        </w:rPr>
        <w:t>At the Service Leadership Team meeting 9</w:t>
      </w:r>
      <w:r w:rsidRPr="0026207B">
        <w:rPr>
          <w:sz w:val="22"/>
          <w:szCs w:val="22"/>
          <w:vertAlign w:val="superscript"/>
        </w:rPr>
        <w:t>th</w:t>
      </w:r>
      <w:r>
        <w:rPr>
          <w:sz w:val="22"/>
          <w:szCs w:val="22"/>
        </w:rPr>
        <w:t xml:space="preserve"> August 2018, the following recommendations were supported;-</w:t>
      </w:r>
    </w:p>
    <w:p w:rsidR="0026207B" w:rsidRPr="0026207B" w:rsidRDefault="0026207B" w:rsidP="0026207B">
      <w:pPr>
        <w:pStyle w:val="NumbList3"/>
        <w:numPr>
          <w:ilvl w:val="1"/>
          <w:numId w:val="2"/>
        </w:numPr>
        <w:rPr>
          <w:sz w:val="22"/>
          <w:szCs w:val="22"/>
        </w:rPr>
      </w:pPr>
      <w:r w:rsidRPr="0026207B">
        <w:rPr>
          <w:sz w:val="22"/>
          <w:szCs w:val="22"/>
        </w:rPr>
        <w:t>Agree to adopt the attached document as the ECFRS Response Strategy.</w:t>
      </w:r>
    </w:p>
    <w:p w:rsidR="0026207B" w:rsidRPr="0026207B" w:rsidRDefault="0026207B" w:rsidP="0026207B">
      <w:pPr>
        <w:pStyle w:val="NumbList3"/>
        <w:numPr>
          <w:ilvl w:val="1"/>
          <w:numId w:val="2"/>
        </w:numPr>
        <w:rPr>
          <w:sz w:val="22"/>
          <w:szCs w:val="22"/>
        </w:rPr>
      </w:pPr>
      <w:r w:rsidRPr="0026207B">
        <w:rPr>
          <w:sz w:val="22"/>
          <w:szCs w:val="22"/>
        </w:rPr>
        <w:t>The Response Strategy to be presented to the Performance and Resources board as an item for information.</w:t>
      </w:r>
    </w:p>
    <w:p w:rsidR="0026207B" w:rsidRPr="0026207B" w:rsidRDefault="0026207B" w:rsidP="0026207B">
      <w:pPr>
        <w:pStyle w:val="NumbList3"/>
        <w:numPr>
          <w:ilvl w:val="1"/>
          <w:numId w:val="2"/>
        </w:numPr>
        <w:rPr>
          <w:sz w:val="22"/>
          <w:szCs w:val="22"/>
        </w:rPr>
      </w:pPr>
      <w:r w:rsidRPr="0026207B">
        <w:rPr>
          <w:sz w:val="22"/>
          <w:szCs w:val="22"/>
        </w:rPr>
        <w:t>As the Response Strategy does not introduce new processes or procedures nor alter any existing agreements, it is presented to our Representative bodies for information only.</w:t>
      </w:r>
    </w:p>
    <w:p w:rsidR="0026207B" w:rsidRPr="0026207B" w:rsidRDefault="0026207B" w:rsidP="0026207B">
      <w:pPr>
        <w:pStyle w:val="NumbList3"/>
        <w:numPr>
          <w:ilvl w:val="1"/>
          <w:numId w:val="2"/>
        </w:numPr>
        <w:rPr>
          <w:sz w:val="22"/>
          <w:szCs w:val="22"/>
        </w:rPr>
      </w:pPr>
      <w:r w:rsidRPr="0026207B">
        <w:rPr>
          <w:sz w:val="22"/>
          <w:szCs w:val="22"/>
        </w:rPr>
        <w:t>The Response Strategy is subject to immediate review as part of the IRMP process</w:t>
      </w:r>
      <w:r w:rsidR="00082988">
        <w:rPr>
          <w:sz w:val="22"/>
          <w:szCs w:val="22"/>
        </w:rPr>
        <w:t>.</w:t>
      </w:r>
    </w:p>
    <w:p w:rsidR="0026207B" w:rsidRPr="0026207B" w:rsidRDefault="0026207B" w:rsidP="0026207B">
      <w:pPr>
        <w:pStyle w:val="NumbList3"/>
        <w:numPr>
          <w:ilvl w:val="0"/>
          <w:numId w:val="0"/>
        </w:numPr>
        <w:spacing w:after="240"/>
        <w:ind w:left="357"/>
        <w:jc w:val="both"/>
        <w:rPr>
          <w:sz w:val="22"/>
          <w:szCs w:val="22"/>
        </w:rPr>
      </w:pPr>
    </w:p>
    <w:p w:rsidR="00C955C7" w:rsidRDefault="00C955C7" w:rsidP="00F74DFF">
      <w:pPr>
        <w:pStyle w:val="NumbList3"/>
        <w:numPr>
          <w:ilvl w:val="0"/>
          <w:numId w:val="0"/>
        </w:numPr>
        <w:jc w:val="both"/>
        <w:rPr>
          <w:sz w:val="22"/>
          <w:szCs w:val="22"/>
        </w:rPr>
      </w:pPr>
    </w:p>
    <w:p w:rsidR="00C955C7" w:rsidRDefault="00C955C7" w:rsidP="00F74DFF">
      <w:pPr>
        <w:pStyle w:val="NumbList3"/>
        <w:numPr>
          <w:ilvl w:val="0"/>
          <w:numId w:val="0"/>
        </w:numPr>
        <w:jc w:val="both"/>
        <w:rPr>
          <w:sz w:val="22"/>
          <w:szCs w:val="22"/>
        </w:rPr>
      </w:pPr>
    </w:p>
    <w:p w:rsidR="00C0492F" w:rsidRPr="00AE4915" w:rsidRDefault="00C0492F" w:rsidP="00F74DFF">
      <w:pPr>
        <w:pStyle w:val="Heading1"/>
        <w:jc w:val="both"/>
        <w:rPr>
          <w:sz w:val="22"/>
          <w:szCs w:val="22"/>
        </w:rPr>
      </w:pPr>
      <w:r w:rsidRPr="00AE4915">
        <w:rPr>
          <w:sz w:val="22"/>
          <w:szCs w:val="22"/>
        </w:rPr>
        <w:t>Benefits and Risk Implications</w:t>
      </w:r>
    </w:p>
    <w:p w:rsidR="0026207B" w:rsidRPr="00B33FB4" w:rsidRDefault="0026207B" w:rsidP="0026207B">
      <w:pPr>
        <w:pStyle w:val="NumbList3"/>
        <w:spacing w:after="240"/>
        <w:ind w:left="357" w:hanging="357"/>
        <w:jc w:val="both"/>
        <w:rPr>
          <w:noProof/>
          <w:sz w:val="22"/>
          <w:szCs w:val="22"/>
        </w:rPr>
      </w:pPr>
      <w:r w:rsidRPr="00B33FB4">
        <w:rPr>
          <w:noProof/>
          <w:sz w:val="22"/>
          <w:szCs w:val="22"/>
        </w:rPr>
        <w:t>The Response Strategy supports the Service in exploiting Strategic Opportunity and mitigating corporate risk as follows;-</w:t>
      </w:r>
    </w:p>
    <w:p w:rsidR="0026207B" w:rsidRPr="00B33FB4" w:rsidRDefault="0026207B" w:rsidP="0026207B">
      <w:pPr>
        <w:pStyle w:val="NumbList3"/>
        <w:numPr>
          <w:ilvl w:val="1"/>
          <w:numId w:val="2"/>
        </w:numPr>
        <w:spacing w:after="240"/>
        <w:jc w:val="both"/>
        <w:rPr>
          <w:noProof/>
          <w:sz w:val="22"/>
          <w:szCs w:val="22"/>
        </w:rPr>
      </w:pPr>
      <w:r w:rsidRPr="00B33FB4">
        <w:rPr>
          <w:i/>
          <w:noProof/>
          <w:sz w:val="22"/>
          <w:szCs w:val="22"/>
        </w:rPr>
        <w:t>SRR150006 – Opportunity - Reacting in an agile way to changes in our environment</w:t>
      </w:r>
      <w:r w:rsidRPr="00B33FB4">
        <w:rPr>
          <w:noProof/>
          <w:sz w:val="22"/>
          <w:szCs w:val="22"/>
        </w:rPr>
        <w:t xml:space="preserve"> – By clearly defining the current response aspirations, the benefits and threats arsing from changes in our environemnt should be easier to identify and assess.</w:t>
      </w:r>
    </w:p>
    <w:p w:rsidR="0026207B" w:rsidRPr="00B33FB4" w:rsidRDefault="0026207B" w:rsidP="0026207B">
      <w:pPr>
        <w:pStyle w:val="NumbList3"/>
        <w:numPr>
          <w:ilvl w:val="1"/>
          <w:numId w:val="2"/>
        </w:numPr>
        <w:spacing w:after="240"/>
        <w:jc w:val="both"/>
        <w:rPr>
          <w:noProof/>
          <w:sz w:val="22"/>
          <w:szCs w:val="22"/>
        </w:rPr>
      </w:pPr>
      <w:r w:rsidRPr="00B33FB4">
        <w:rPr>
          <w:i/>
          <w:noProof/>
          <w:sz w:val="22"/>
          <w:szCs w:val="22"/>
        </w:rPr>
        <w:t>SRR150003 – Risk - loss of public confidence</w:t>
      </w:r>
      <w:r w:rsidRPr="00B33FB4">
        <w:rPr>
          <w:noProof/>
          <w:sz w:val="22"/>
          <w:szCs w:val="22"/>
        </w:rPr>
        <w:t xml:space="preserve"> – The public can use the Response Strategy to guide an assessment of how and to what extent the Service has delivered against its stated intetnions.</w:t>
      </w:r>
    </w:p>
    <w:p w:rsidR="00B33FB4" w:rsidRPr="00B33FB4" w:rsidRDefault="0026207B" w:rsidP="00B33FB4">
      <w:pPr>
        <w:pStyle w:val="NumbList3"/>
        <w:numPr>
          <w:ilvl w:val="1"/>
          <w:numId w:val="2"/>
        </w:numPr>
        <w:jc w:val="both"/>
        <w:rPr>
          <w:noProof/>
          <w:sz w:val="22"/>
          <w:szCs w:val="22"/>
        </w:rPr>
      </w:pPr>
      <w:r w:rsidRPr="00B33FB4">
        <w:rPr>
          <w:i/>
          <w:noProof/>
          <w:sz w:val="22"/>
          <w:szCs w:val="22"/>
        </w:rPr>
        <w:t>SRR15004 – Risks – Ineffective Governance leading to a failure to deliver the Essex Fire &amp; Rescue Plan and/or PFCC Local Business Case</w:t>
      </w:r>
      <w:r w:rsidRPr="00B33FB4">
        <w:rPr>
          <w:noProof/>
          <w:sz w:val="22"/>
          <w:szCs w:val="22"/>
        </w:rPr>
        <w:t xml:space="preserve"> – The Response Strategy sets out the Governance arrangements for the response aspect of ECFRS service delivery arrangements</w:t>
      </w:r>
    </w:p>
    <w:p w:rsidR="00B33FB4" w:rsidRPr="00B33FB4" w:rsidRDefault="00B33FB4" w:rsidP="00B33FB4">
      <w:pPr>
        <w:pStyle w:val="NumbList3"/>
        <w:numPr>
          <w:ilvl w:val="0"/>
          <w:numId w:val="0"/>
        </w:numPr>
        <w:ind w:left="1080"/>
        <w:jc w:val="both"/>
        <w:rPr>
          <w:noProof/>
          <w:sz w:val="22"/>
          <w:szCs w:val="22"/>
        </w:rPr>
      </w:pPr>
    </w:p>
    <w:p w:rsidR="00B33FB4" w:rsidRPr="00B33FB4" w:rsidRDefault="0026207B" w:rsidP="00B33FB4">
      <w:pPr>
        <w:pStyle w:val="NumbList3"/>
        <w:rPr>
          <w:noProof/>
          <w:sz w:val="22"/>
          <w:szCs w:val="22"/>
        </w:rPr>
      </w:pPr>
      <w:r w:rsidRPr="00B33FB4">
        <w:rPr>
          <w:noProof/>
          <w:sz w:val="22"/>
          <w:szCs w:val="22"/>
        </w:rPr>
        <w:t>A response Strategy is one of a suite of documents that will be used by the HMICFRS to inform the Inspection of ECFRS in early 2019. The absence of such a key document is likey to impact negatively on the HMICFRS findings in relation to ECFRS and the subsequent inspection outcome</w:t>
      </w:r>
      <w:r w:rsidR="00B33FB4" w:rsidRPr="00B33FB4">
        <w:rPr>
          <w:noProof/>
          <w:sz w:val="22"/>
          <w:szCs w:val="22"/>
        </w:rPr>
        <w:t>.</w:t>
      </w:r>
    </w:p>
    <w:p w:rsidR="00B33FB4" w:rsidRDefault="00B33FB4" w:rsidP="00B33FB4">
      <w:pPr>
        <w:pStyle w:val="NumbList3"/>
        <w:numPr>
          <w:ilvl w:val="0"/>
          <w:numId w:val="0"/>
        </w:numPr>
        <w:ind w:left="360"/>
        <w:rPr>
          <w:noProof/>
        </w:rPr>
      </w:pPr>
    </w:p>
    <w:p w:rsidR="00C0492F" w:rsidRPr="00BE6CEE" w:rsidRDefault="00BE6CEE" w:rsidP="0026207B">
      <w:pPr>
        <w:pStyle w:val="NumbList3"/>
        <w:numPr>
          <w:ilvl w:val="0"/>
          <w:numId w:val="0"/>
        </w:numPr>
        <w:spacing w:after="240"/>
        <w:rPr>
          <w:b/>
          <w:sz w:val="22"/>
          <w:szCs w:val="22"/>
        </w:rPr>
      </w:pPr>
      <w:r w:rsidRPr="00BE6CEE">
        <w:rPr>
          <w:b/>
          <w:sz w:val="22"/>
          <w:szCs w:val="22"/>
        </w:rPr>
        <w:t>FINANCIAL IMPLICATION</w:t>
      </w:r>
      <w:r w:rsidR="00B33FB4">
        <w:rPr>
          <w:b/>
          <w:sz w:val="22"/>
          <w:szCs w:val="22"/>
        </w:rPr>
        <w:t>S</w:t>
      </w:r>
    </w:p>
    <w:p w:rsidR="00B33FB4" w:rsidRPr="00B33FB4" w:rsidRDefault="00B33FB4" w:rsidP="00B33FB4">
      <w:pPr>
        <w:pStyle w:val="NumbList3"/>
        <w:spacing w:after="240"/>
        <w:ind w:left="357" w:hanging="357"/>
        <w:jc w:val="both"/>
        <w:rPr>
          <w:noProof/>
          <w:sz w:val="22"/>
          <w:szCs w:val="22"/>
        </w:rPr>
      </w:pPr>
      <w:r w:rsidRPr="00B33FB4">
        <w:rPr>
          <w:noProof/>
          <w:sz w:val="22"/>
          <w:szCs w:val="22"/>
        </w:rPr>
        <w:t>The Response Strategy includes reference to existing agreed activities, as a result, no additional financial implications have been identified which are attributable to the publication of the document.</w:t>
      </w:r>
    </w:p>
    <w:p w:rsidR="00C0492F" w:rsidRPr="00AE4915" w:rsidRDefault="00C0492F" w:rsidP="00C0492F">
      <w:pPr>
        <w:pStyle w:val="Heading1"/>
        <w:rPr>
          <w:sz w:val="22"/>
          <w:szCs w:val="22"/>
        </w:rPr>
      </w:pPr>
      <w:r w:rsidRPr="00AE4915">
        <w:rPr>
          <w:sz w:val="22"/>
          <w:szCs w:val="22"/>
        </w:rPr>
        <w:t>Equality and Diversity Implications</w:t>
      </w:r>
    </w:p>
    <w:p w:rsidR="00B33FB4" w:rsidRPr="00B33FB4" w:rsidRDefault="00B33FB4" w:rsidP="00B33FB4">
      <w:pPr>
        <w:pStyle w:val="NumbList3"/>
        <w:spacing w:after="240"/>
        <w:ind w:left="357" w:hanging="357"/>
        <w:jc w:val="both"/>
        <w:rPr>
          <w:noProof/>
          <w:sz w:val="22"/>
          <w:szCs w:val="22"/>
        </w:rPr>
      </w:pPr>
      <w:r w:rsidRPr="00B33FB4">
        <w:rPr>
          <w:noProof/>
          <w:sz w:val="22"/>
          <w:szCs w:val="22"/>
        </w:rPr>
        <w:t>The Response Strategy includes reference to existing agreed activities, as a result, no additional equality and diversity implications have been identified which are attributable to the publication of the document.</w:t>
      </w:r>
    </w:p>
    <w:p w:rsidR="00C0492F" w:rsidRPr="00AE4915" w:rsidRDefault="00C0492F" w:rsidP="00C0492F">
      <w:pPr>
        <w:pStyle w:val="Heading1"/>
        <w:rPr>
          <w:sz w:val="22"/>
          <w:szCs w:val="22"/>
        </w:rPr>
      </w:pPr>
      <w:r w:rsidRPr="00AE4915">
        <w:rPr>
          <w:sz w:val="22"/>
          <w:szCs w:val="22"/>
        </w:rPr>
        <w:t>Workforce Engagement</w:t>
      </w:r>
    </w:p>
    <w:p w:rsidR="00B33FB4" w:rsidRPr="00B33FB4" w:rsidRDefault="00B33FB4" w:rsidP="00B33FB4">
      <w:pPr>
        <w:pStyle w:val="NumbList3"/>
        <w:spacing w:after="240"/>
        <w:ind w:left="357" w:hanging="357"/>
        <w:jc w:val="both"/>
        <w:rPr>
          <w:noProof/>
          <w:sz w:val="22"/>
          <w:szCs w:val="22"/>
        </w:rPr>
      </w:pPr>
      <w:r w:rsidRPr="00B33FB4">
        <w:rPr>
          <w:noProof/>
          <w:sz w:val="22"/>
          <w:szCs w:val="22"/>
        </w:rPr>
        <w:t>The workforce have been engaged with a range of subjects that are referenced within the document, but have not been directly involved in the formulation of the document itself.</w:t>
      </w:r>
    </w:p>
    <w:p w:rsidR="00B33FB4" w:rsidRPr="00B33FB4" w:rsidRDefault="00B33FB4" w:rsidP="00B33FB4">
      <w:pPr>
        <w:pStyle w:val="NumbList3"/>
        <w:spacing w:after="240"/>
        <w:ind w:left="357" w:hanging="357"/>
        <w:jc w:val="both"/>
        <w:rPr>
          <w:noProof/>
          <w:sz w:val="22"/>
          <w:szCs w:val="22"/>
        </w:rPr>
      </w:pPr>
      <w:r w:rsidRPr="00B33FB4">
        <w:rPr>
          <w:noProof/>
          <w:sz w:val="22"/>
          <w:szCs w:val="22"/>
        </w:rPr>
        <w:t>The representative bodies have not been involved to this point but it is recommended that they are provided with sight of this document (see recommendation c)</w:t>
      </w:r>
    </w:p>
    <w:p w:rsidR="00B33FB4" w:rsidRPr="00B33FB4" w:rsidRDefault="00B33FB4" w:rsidP="00B33FB4">
      <w:pPr>
        <w:pStyle w:val="NumbList3"/>
        <w:spacing w:after="240"/>
        <w:ind w:left="357" w:hanging="357"/>
        <w:jc w:val="both"/>
        <w:rPr>
          <w:noProof/>
          <w:sz w:val="22"/>
          <w:szCs w:val="22"/>
        </w:rPr>
      </w:pPr>
      <w:r w:rsidRPr="00B33FB4">
        <w:rPr>
          <w:noProof/>
          <w:sz w:val="22"/>
          <w:szCs w:val="22"/>
        </w:rPr>
        <w:t>The OPFCC has not been involved to this point but it is recommended that a copy of the document is presented to Performnace and Resources board as an information item (see recommendation b)</w:t>
      </w:r>
    </w:p>
    <w:p w:rsidR="00C0492F" w:rsidRPr="00AE4915" w:rsidRDefault="00C0492F" w:rsidP="00C0492F">
      <w:pPr>
        <w:pStyle w:val="Heading1"/>
        <w:rPr>
          <w:sz w:val="22"/>
          <w:szCs w:val="22"/>
        </w:rPr>
      </w:pPr>
      <w:r w:rsidRPr="00AE4915">
        <w:rPr>
          <w:sz w:val="22"/>
          <w:szCs w:val="22"/>
        </w:rPr>
        <w:t>Legal Implications</w:t>
      </w:r>
    </w:p>
    <w:p w:rsidR="002F45F7" w:rsidRPr="00B33FB4" w:rsidRDefault="00B33FB4" w:rsidP="00B33FB4">
      <w:pPr>
        <w:pStyle w:val="NumbList3"/>
        <w:spacing w:after="240"/>
        <w:ind w:left="357" w:hanging="357"/>
        <w:jc w:val="both"/>
        <w:rPr>
          <w:noProof/>
          <w:sz w:val="22"/>
          <w:szCs w:val="22"/>
        </w:rPr>
      </w:pPr>
      <w:r w:rsidRPr="00B33FB4">
        <w:rPr>
          <w:noProof/>
          <w:sz w:val="22"/>
          <w:szCs w:val="22"/>
        </w:rPr>
        <w:t>The Response Strategy includes reference to existing agreed activities, as a result, no additional legal implications have been identified which are attributable to the publication of the document.</w:t>
      </w:r>
    </w:p>
    <w:sectPr w:rsidR="002F45F7" w:rsidRPr="00B33FB4" w:rsidSect="00A8212D">
      <w:headerReference w:type="default" r:id="rId10"/>
      <w:footerReference w:type="default" r:id="rId11"/>
      <w:footerReference w:type="first" r:id="rId12"/>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663" w:rsidRDefault="004F3663">
      <w:r>
        <w:separator/>
      </w:r>
    </w:p>
  </w:endnote>
  <w:endnote w:type="continuationSeparator" w:id="0">
    <w:p w:rsidR="004F3663" w:rsidRDefault="004F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2D" w:rsidRDefault="00A8212D" w:rsidP="00A8212D">
    <w:pPr>
      <w:pStyle w:val="Footer"/>
      <w:jc w:val="center"/>
      <w:rPr>
        <w:sz w:val="22"/>
        <w:szCs w:val="22"/>
      </w:rPr>
    </w:pPr>
  </w:p>
  <w:p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56199C">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56199C">
      <w:rPr>
        <w:noProof/>
        <w:sz w:val="22"/>
        <w:szCs w:val="22"/>
      </w:rPr>
      <w:t>2</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Default="00C0492F" w:rsidP="00AA60E6">
    <w:pPr>
      <w:pStyle w:val="Footer"/>
      <w:jc w:val="center"/>
      <w:rPr>
        <w:sz w:val="22"/>
        <w:szCs w:val="22"/>
      </w:rPr>
    </w:pPr>
  </w:p>
  <w:p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56199C">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56199C">
      <w:rPr>
        <w:noProof/>
        <w:sz w:val="22"/>
        <w:szCs w:val="22"/>
      </w:rPr>
      <w:t>2</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56199C">
      <w:rPr>
        <w:noProof/>
        <w:sz w:val="22"/>
        <w:szCs w:val="22"/>
      </w:rPr>
      <w:t>2</w:t>
    </w:r>
    <w:r w:rsidRPr="00AA60E6">
      <w:rPr>
        <w:sz w:val="22"/>
        <w:szCs w:val="22"/>
      </w:rPr>
      <w:fldChar w:fldCharType="end"/>
    </w:r>
  </w:p>
  <w:p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663" w:rsidRDefault="004F3663">
      <w:r>
        <w:separator/>
      </w:r>
    </w:p>
  </w:footnote>
  <w:footnote w:type="continuationSeparator" w:id="0">
    <w:p w:rsidR="004F3663" w:rsidRDefault="004F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D46EF4"/>
    <w:multiLevelType w:val="hybridMultilevel"/>
    <w:tmpl w:val="CA5E1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4A581C"/>
    <w:multiLevelType w:val="hybridMultilevel"/>
    <w:tmpl w:val="E106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7"/>
  </w:num>
  <w:num w:numId="6">
    <w:abstractNumId w:val="4"/>
  </w:num>
  <w:num w:numId="7">
    <w:abstractNumId w:val="3"/>
  </w:num>
  <w:num w:numId="8">
    <w:abstractNumId w:val="1"/>
  </w:num>
  <w:num w:numId="9">
    <w:abstractNumId w:val="6"/>
  </w:num>
  <w:num w:numId="10">
    <w:abstractNumId w:val="6"/>
  </w:num>
  <w:num w:numId="11">
    <w:abstractNumId w:val="9"/>
  </w:num>
  <w:num w:numId="12">
    <w:abstractNumId w:val="8"/>
  </w:num>
  <w:num w:numId="13">
    <w:abstractNumId w:val="6"/>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484C"/>
    <w:rsid w:val="00006B4F"/>
    <w:rsid w:val="00006C81"/>
    <w:rsid w:val="00007F2F"/>
    <w:rsid w:val="000127F2"/>
    <w:rsid w:val="000129FE"/>
    <w:rsid w:val="00014B58"/>
    <w:rsid w:val="0001605A"/>
    <w:rsid w:val="000169EF"/>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988"/>
    <w:rsid w:val="00082A0E"/>
    <w:rsid w:val="0008484A"/>
    <w:rsid w:val="00085616"/>
    <w:rsid w:val="00085F5A"/>
    <w:rsid w:val="000860C5"/>
    <w:rsid w:val="00086F1C"/>
    <w:rsid w:val="00087211"/>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3CC7"/>
    <w:rsid w:val="00134004"/>
    <w:rsid w:val="001359B3"/>
    <w:rsid w:val="00136449"/>
    <w:rsid w:val="00136873"/>
    <w:rsid w:val="00136ED5"/>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E7D7A"/>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2076"/>
    <w:rsid w:val="0025315B"/>
    <w:rsid w:val="00254127"/>
    <w:rsid w:val="00256991"/>
    <w:rsid w:val="0026017D"/>
    <w:rsid w:val="002604C2"/>
    <w:rsid w:val="0026099E"/>
    <w:rsid w:val="00260C5B"/>
    <w:rsid w:val="00261662"/>
    <w:rsid w:val="0026207B"/>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05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31B"/>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8367C"/>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2EFE"/>
    <w:rsid w:val="003C33C4"/>
    <w:rsid w:val="003C603E"/>
    <w:rsid w:val="003C62FF"/>
    <w:rsid w:val="003C6904"/>
    <w:rsid w:val="003D22D1"/>
    <w:rsid w:val="003D3327"/>
    <w:rsid w:val="003D3504"/>
    <w:rsid w:val="003D5E8A"/>
    <w:rsid w:val="003E0237"/>
    <w:rsid w:val="003E04C2"/>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199C"/>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38C"/>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0EA5"/>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3F5"/>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037D"/>
    <w:rsid w:val="00741C13"/>
    <w:rsid w:val="007420A0"/>
    <w:rsid w:val="00743170"/>
    <w:rsid w:val="00744B34"/>
    <w:rsid w:val="00745276"/>
    <w:rsid w:val="007452B2"/>
    <w:rsid w:val="007457CA"/>
    <w:rsid w:val="00745AB8"/>
    <w:rsid w:val="00747F33"/>
    <w:rsid w:val="00750E84"/>
    <w:rsid w:val="00751B64"/>
    <w:rsid w:val="00753119"/>
    <w:rsid w:val="00753280"/>
    <w:rsid w:val="00754247"/>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49C6"/>
    <w:rsid w:val="00784AA4"/>
    <w:rsid w:val="007852E5"/>
    <w:rsid w:val="00785949"/>
    <w:rsid w:val="00785BF4"/>
    <w:rsid w:val="00785BF6"/>
    <w:rsid w:val="00787168"/>
    <w:rsid w:val="007905E9"/>
    <w:rsid w:val="007911BF"/>
    <w:rsid w:val="00791FB8"/>
    <w:rsid w:val="007923A6"/>
    <w:rsid w:val="00793F0C"/>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D3636"/>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304"/>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37A9"/>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15"/>
    <w:rsid w:val="00AE494A"/>
    <w:rsid w:val="00AE4B91"/>
    <w:rsid w:val="00AE4CDB"/>
    <w:rsid w:val="00AE5807"/>
    <w:rsid w:val="00AE59C4"/>
    <w:rsid w:val="00AE5EF8"/>
    <w:rsid w:val="00AF07E6"/>
    <w:rsid w:val="00AF1C1B"/>
    <w:rsid w:val="00AF1F1D"/>
    <w:rsid w:val="00AF1FE8"/>
    <w:rsid w:val="00AF3A92"/>
    <w:rsid w:val="00AF59ED"/>
    <w:rsid w:val="00AF6245"/>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3FB4"/>
    <w:rsid w:val="00B37062"/>
    <w:rsid w:val="00B42A84"/>
    <w:rsid w:val="00B441B0"/>
    <w:rsid w:val="00B4439A"/>
    <w:rsid w:val="00B44F10"/>
    <w:rsid w:val="00B454F3"/>
    <w:rsid w:val="00B46997"/>
    <w:rsid w:val="00B46F3A"/>
    <w:rsid w:val="00B50571"/>
    <w:rsid w:val="00B51938"/>
    <w:rsid w:val="00B5282A"/>
    <w:rsid w:val="00B530A6"/>
    <w:rsid w:val="00B55358"/>
    <w:rsid w:val="00B55C12"/>
    <w:rsid w:val="00B560CA"/>
    <w:rsid w:val="00B56A9E"/>
    <w:rsid w:val="00B60A73"/>
    <w:rsid w:val="00B61A4C"/>
    <w:rsid w:val="00B621C2"/>
    <w:rsid w:val="00B6330A"/>
    <w:rsid w:val="00B648ED"/>
    <w:rsid w:val="00B65D50"/>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6CEE"/>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10661"/>
    <w:rsid w:val="00C13C66"/>
    <w:rsid w:val="00C13C80"/>
    <w:rsid w:val="00C15D9E"/>
    <w:rsid w:val="00C20A32"/>
    <w:rsid w:val="00C20BF4"/>
    <w:rsid w:val="00C2318C"/>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43DFB"/>
    <w:rsid w:val="00C50BC6"/>
    <w:rsid w:val="00C51118"/>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5192"/>
    <w:rsid w:val="00C85952"/>
    <w:rsid w:val="00C86A4E"/>
    <w:rsid w:val="00C86C6F"/>
    <w:rsid w:val="00C87265"/>
    <w:rsid w:val="00C8741A"/>
    <w:rsid w:val="00C87DF9"/>
    <w:rsid w:val="00C90DB8"/>
    <w:rsid w:val="00C9355B"/>
    <w:rsid w:val="00C94270"/>
    <w:rsid w:val="00C942C9"/>
    <w:rsid w:val="00C946E6"/>
    <w:rsid w:val="00C955C7"/>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581A"/>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1F50"/>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B7F32"/>
    <w:rsid w:val="00EC0786"/>
    <w:rsid w:val="00EC22A3"/>
    <w:rsid w:val="00EC5B45"/>
    <w:rsid w:val="00EC5BF0"/>
    <w:rsid w:val="00EC67C8"/>
    <w:rsid w:val="00EC6ABE"/>
    <w:rsid w:val="00EC7871"/>
    <w:rsid w:val="00EC7BFD"/>
    <w:rsid w:val="00ED04C5"/>
    <w:rsid w:val="00ED124A"/>
    <w:rsid w:val="00ED2D6D"/>
    <w:rsid w:val="00ED313A"/>
    <w:rsid w:val="00ED5808"/>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DFF"/>
    <w:rsid w:val="00F74E37"/>
    <w:rsid w:val="00F7679D"/>
    <w:rsid w:val="00F7727F"/>
    <w:rsid w:val="00F80B6F"/>
    <w:rsid w:val="00F80F4C"/>
    <w:rsid w:val="00F8140B"/>
    <w:rsid w:val="00F81F3D"/>
    <w:rsid w:val="00F8234E"/>
    <w:rsid w:val="00F83450"/>
    <w:rsid w:val="00F83CB6"/>
    <w:rsid w:val="00F84A40"/>
    <w:rsid w:val="00F85995"/>
    <w:rsid w:val="00F85E39"/>
    <w:rsid w:val="00F8688D"/>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5653"/>
    <w:rsid w:val="00FB63D8"/>
    <w:rsid w:val="00FB6DE4"/>
    <w:rsid w:val="00FB71A7"/>
    <w:rsid w:val="00FB75C1"/>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9FCE958"/>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D4CE-15B4-4C9F-AEBE-BBF333C8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652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Camilla Brandal 42078438</cp:lastModifiedBy>
  <cp:revision>5</cp:revision>
  <cp:lastPrinted>2018-09-18T13:52:00Z</cp:lastPrinted>
  <dcterms:created xsi:type="dcterms:W3CDTF">2018-08-19T09:17:00Z</dcterms:created>
  <dcterms:modified xsi:type="dcterms:W3CDTF">2018-09-18T13:52:00Z</dcterms:modified>
</cp:coreProperties>
</file>