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D679F4" w:rsidP="00D679F4">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944814" w:rsidP="009E572F">
            <w:pPr>
              <w:spacing w:before="120" w:after="120"/>
              <w:rPr>
                <w:rFonts w:cs="Times New Roman"/>
                <w:sz w:val="32"/>
                <w:szCs w:val="32"/>
              </w:rPr>
            </w:pPr>
            <w:r>
              <w:rPr>
                <w:rFonts w:cs="Times New Roman"/>
                <w:sz w:val="32"/>
                <w:szCs w:val="32"/>
              </w:rPr>
              <w:t>6</w:t>
            </w: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D679F4" w:rsidP="00D679F4">
            <w:pPr>
              <w:spacing w:before="120" w:after="120"/>
              <w:rPr>
                <w:rFonts w:cs="Times New Roman"/>
                <w:szCs w:val="20"/>
              </w:rPr>
            </w:pPr>
            <w:r>
              <w:rPr>
                <w:rFonts w:cs="Times New Roman"/>
                <w:szCs w:val="20"/>
              </w:rPr>
              <w:t>18th</w:t>
            </w:r>
            <w:r w:rsidR="00521136">
              <w:rPr>
                <w:rFonts w:cs="Times New Roman"/>
                <w:szCs w:val="20"/>
              </w:rPr>
              <w:t xml:space="preserve"> </w:t>
            </w:r>
            <w:r>
              <w:rPr>
                <w:rFonts w:cs="Times New Roman"/>
                <w:szCs w:val="20"/>
              </w:rPr>
              <w:t>September</w:t>
            </w:r>
            <w:r w:rsidR="00521136">
              <w:rPr>
                <w:rFonts w:cs="Times New Roman"/>
                <w:szCs w:val="20"/>
              </w:rPr>
              <w:t xml:space="preserve">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C56AEF" w:rsidP="00C56AEF">
            <w:pPr>
              <w:spacing w:before="120" w:after="120"/>
              <w:rPr>
                <w:rFonts w:cs="Times New Roman"/>
                <w:szCs w:val="20"/>
              </w:rPr>
            </w:pPr>
            <w:r>
              <w:rPr>
                <w:rFonts w:cs="Times New Roman"/>
                <w:szCs w:val="20"/>
              </w:rPr>
              <w:t>Anthony Maude – OPFCC – Head of Performance and Scrutiny (Fire)</w:t>
            </w:r>
            <w:r w:rsidR="00856027">
              <w:rPr>
                <w:rFonts w:cs="Times New Roman"/>
                <w:szCs w:val="20"/>
              </w:rPr>
              <w:t xml:space="preserve"> </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C56AEF" w:rsidP="009E572F">
            <w:pPr>
              <w:spacing w:before="120" w:after="120"/>
              <w:rPr>
                <w:rFonts w:cs="Times New Roman"/>
                <w:szCs w:val="20"/>
              </w:rPr>
            </w:pPr>
            <w:r>
              <w:rPr>
                <w:rFonts w:cs="Times New Roman"/>
                <w:szCs w:val="20"/>
              </w:rPr>
              <w:t>Anthony Maude</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C56AEF" w:rsidP="009E572F">
            <w:pPr>
              <w:spacing w:before="120" w:after="120"/>
              <w:rPr>
                <w:rFonts w:cs="Times New Roman"/>
                <w:b/>
                <w:szCs w:val="20"/>
              </w:rPr>
            </w:pPr>
            <w:r>
              <w:rPr>
                <w:rFonts w:cs="Times New Roman"/>
                <w:b/>
                <w:szCs w:val="20"/>
              </w:rPr>
              <w:t>Audit Report – Transitional Governance</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8C28D7" w:rsidP="009E572F">
            <w:pPr>
              <w:tabs>
                <w:tab w:val="num" w:pos="567"/>
              </w:tabs>
              <w:spacing w:before="120" w:after="120"/>
              <w:rPr>
                <w:rFonts w:cs="Times New Roman"/>
                <w:szCs w:val="20"/>
              </w:rPr>
            </w:pPr>
            <w:r>
              <w:rPr>
                <w:rFonts w:cs="Times New Roman"/>
                <w:szCs w:val="20"/>
              </w:rPr>
              <w:t>Discussion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C0492F" w:rsidRPr="009C4F98" w:rsidRDefault="00C0492F" w:rsidP="00C0492F">
      <w:pPr>
        <w:pStyle w:val="Heading1"/>
      </w:pPr>
      <w:r w:rsidRPr="00C0492F">
        <w:t>Recommendations</w:t>
      </w:r>
    </w:p>
    <w:p w:rsidR="00A8212D" w:rsidRDefault="00521136" w:rsidP="009F165D">
      <w:pPr>
        <w:pStyle w:val="NumbList3"/>
        <w:numPr>
          <w:ilvl w:val="0"/>
          <w:numId w:val="11"/>
        </w:numPr>
        <w:spacing w:after="240"/>
        <w:rPr>
          <w:sz w:val="22"/>
          <w:szCs w:val="22"/>
        </w:rPr>
      </w:pPr>
      <w:r w:rsidRPr="0090605E">
        <w:rPr>
          <w:sz w:val="22"/>
          <w:szCs w:val="22"/>
        </w:rPr>
        <w:t>The S</w:t>
      </w:r>
      <w:r w:rsidR="00D679F4">
        <w:rPr>
          <w:sz w:val="22"/>
          <w:szCs w:val="22"/>
        </w:rPr>
        <w:t>trategic</w:t>
      </w:r>
      <w:r w:rsidRPr="0090605E">
        <w:rPr>
          <w:sz w:val="22"/>
          <w:szCs w:val="22"/>
        </w:rPr>
        <w:t xml:space="preserve"> </w:t>
      </w:r>
      <w:r w:rsidR="00D679F4">
        <w:rPr>
          <w:sz w:val="22"/>
          <w:szCs w:val="22"/>
        </w:rPr>
        <w:t xml:space="preserve">Board </w:t>
      </w:r>
      <w:r w:rsidRPr="0090605E">
        <w:rPr>
          <w:sz w:val="22"/>
          <w:szCs w:val="22"/>
        </w:rPr>
        <w:t xml:space="preserve">is asked to consider </w:t>
      </w:r>
      <w:r w:rsidR="002854E2">
        <w:rPr>
          <w:sz w:val="22"/>
          <w:szCs w:val="22"/>
        </w:rPr>
        <w:t xml:space="preserve">and agree </w:t>
      </w:r>
      <w:r w:rsidRPr="0090605E">
        <w:rPr>
          <w:sz w:val="22"/>
          <w:szCs w:val="22"/>
        </w:rPr>
        <w:t xml:space="preserve">the </w:t>
      </w:r>
      <w:r w:rsidR="00C56AEF">
        <w:rPr>
          <w:sz w:val="22"/>
          <w:szCs w:val="22"/>
        </w:rPr>
        <w:t>recommendations raised by Internal Audit</w:t>
      </w:r>
      <w:r w:rsidR="00903C29">
        <w:rPr>
          <w:sz w:val="22"/>
          <w:szCs w:val="22"/>
        </w:rPr>
        <w:t xml:space="preserve"> </w:t>
      </w:r>
      <w:r w:rsidR="002854E2">
        <w:rPr>
          <w:sz w:val="22"/>
          <w:szCs w:val="22"/>
        </w:rPr>
        <w:t>in their</w:t>
      </w:r>
      <w:r w:rsidR="00903C29">
        <w:rPr>
          <w:sz w:val="22"/>
          <w:szCs w:val="22"/>
        </w:rPr>
        <w:t xml:space="preserve"> </w:t>
      </w:r>
      <w:r w:rsidR="004205AE">
        <w:rPr>
          <w:sz w:val="22"/>
          <w:szCs w:val="22"/>
        </w:rPr>
        <w:t xml:space="preserve">attached </w:t>
      </w:r>
      <w:r w:rsidR="00903C29">
        <w:rPr>
          <w:sz w:val="22"/>
          <w:szCs w:val="22"/>
        </w:rPr>
        <w:t>draft report on transitional governance arrangements</w:t>
      </w:r>
      <w:r w:rsidR="002854E2">
        <w:rPr>
          <w:sz w:val="22"/>
          <w:szCs w:val="22"/>
        </w:rPr>
        <w:t>.</w:t>
      </w:r>
      <w:r w:rsidR="002C3741">
        <w:rPr>
          <w:sz w:val="22"/>
          <w:szCs w:val="22"/>
        </w:rPr>
        <w:t xml:space="preserve"> </w:t>
      </w:r>
      <w:r w:rsidR="002854E2">
        <w:rPr>
          <w:sz w:val="22"/>
          <w:szCs w:val="22"/>
        </w:rPr>
        <w:t>T</w:t>
      </w:r>
      <w:r w:rsidR="00C56AEF">
        <w:rPr>
          <w:sz w:val="22"/>
          <w:szCs w:val="22"/>
        </w:rPr>
        <w:t>he</w:t>
      </w:r>
      <w:r w:rsidR="00903C29">
        <w:rPr>
          <w:sz w:val="22"/>
          <w:szCs w:val="22"/>
        </w:rPr>
        <w:t xml:space="preserve"> recommended measures</w:t>
      </w:r>
      <w:r w:rsidR="00FD2486">
        <w:rPr>
          <w:sz w:val="22"/>
          <w:szCs w:val="22"/>
        </w:rPr>
        <w:t xml:space="preserve"> are:</w:t>
      </w:r>
      <w:r w:rsidR="00903C29">
        <w:rPr>
          <w:sz w:val="22"/>
          <w:szCs w:val="22"/>
        </w:rPr>
        <w:t xml:space="preserve"> </w:t>
      </w:r>
      <w:bookmarkStart w:id="0" w:name="_GoBack"/>
      <w:bookmarkEnd w:id="0"/>
    </w:p>
    <w:p w:rsidR="004205AE" w:rsidRPr="002C3741" w:rsidRDefault="004205AE" w:rsidP="004205AE">
      <w:pPr>
        <w:pStyle w:val="NumbList3"/>
        <w:numPr>
          <w:ilvl w:val="1"/>
          <w:numId w:val="11"/>
        </w:numPr>
        <w:spacing w:after="240"/>
        <w:rPr>
          <w:sz w:val="22"/>
          <w:szCs w:val="22"/>
        </w:rPr>
      </w:pPr>
      <w:r w:rsidRPr="002C3741">
        <w:rPr>
          <w:sz w:val="22"/>
          <w:szCs w:val="22"/>
        </w:rPr>
        <w:t xml:space="preserve">Accept the Internal Audit findings and </w:t>
      </w:r>
      <w:r w:rsidR="002C3741">
        <w:rPr>
          <w:sz w:val="22"/>
          <w:szCs w:val="22"/>
        </w:rPr>
        <w:t xml:space="preserve">the OPFCC </w:t>
      </w:r>
      <w:r w:rsidRPr="002C3741">
        <w:rPr>
          <w:sz w:val="22"/>
          <w:szCs w:val="22"/>
        </w:rPr>
        <w:t>work with the Service to:</w:t>
      </w:r>
    </w:p>
    <w:p w:rsidR="004205AE" w:rsidRPr="002C3741" w:rsidRDefault="004205AE" w:rsidP="00521136">
      <w:pPr>
        <w:pStyle w:val="NumbList3"/>
        <w:numPr>
          <w:ilvl w:val="1"/>
          <w:numId w:val="11"/>
        </w:numPr>
        <w:spacing w:after="240"/>
        <w:rPr>
          <w:sz w:val="22"/>
          <w:szCs w:val="22"/>
        </w:rPr>
      </w:pPr>
      <w:r w:rsidRPr="002C3741">
        <w:rPr>
          <w:sz w:val="22"/>
          <w:szCs w:val="22"/>
        </w:rPr>
        <w:t>Review the terms of reference for all boards to ensure their position is clear in relation to overall governance;</w:t>
      </w:r>
    </w:p>
    <w:p w:rsidR="004205AE" w:rsidRPr="002C3741" w:rsidRDefault="004205AE" w:rsidP="00521136">
      <w:pPr>
        <w:pStyle w:val="NumbList3"/>
        <w:numPr>
          <w:ilvl w:val="1"/>
          <w:numId w:val="11"/>
        </w:numPr>
        <w:spacing w:after="240"/>
        <w:rPr>
          <w:sz w:val="22"/>
          <w:szCs w:val="22"/>
        </w:rPr>
      </w:pPr>
      <w:r w:rsidRPr="002C3741">
        <w:rPr>
          <w:sz w:val="22"/>
          <w:szCs w:val="22"/>
        </w:rPr>
        <w:t>Capture the relationship between the forums in a diagram</w:t>
      </w:r>
    </w:p>
    <w:p w:rsidR="004205AE" w:rsidRPr="002C3741" w:rsidRDefault="004205AE" w:rsidP="00521136">
      <w:pPr>
        <w:pStyle w:val="NumbList3"/>
        <w:numPr>
          <w:ilvl w:val="1"/>
          <w:numId w:val="11"/>
        </w:numPr>
        <w:spacing w:after="240"/>
        <w:rPr>
          <w:sz w:val="22"/>
          <w:szCs w:val="22"/>
        </w:rPr>
      </w:pPr>
      <w:r w:rsidRPr="002C3741">
        <w:rPr>
          <w:sz w:val="22"/>
          <w:szCs w:val="22"/>
        </w:rPr>
        <w:t xml:space="preserve">increase transparency </w:t>
      </w:r>
      <w:r w:rsidR="002C3741">
        <w:rPr>
          <w:sz w:val="22"/>
          <w:szCs w:val="22"/>
        </w:rPr>
        <w:t xml:space="preserve">and co-ordination </w:t>
      </w:r>
      <w:r w:rsidRPr="002C3741">
        <w:rPr>
          <w:sz w:val="22"/>
          <w:szCs w:val="22"/>
        </w:rPr>
        <w:t>through having a</w:t>
      </w:r>
      <w:r w:rsidR="002C3741">
        <w:rPr>
          <w:sz w:val="22"/>
          <w:szCs w:val="22"/>
        </w:rPr>
        <w:t xml:space="preserve"> </w:t>
      </w:r>
      <w:r w:rsidRPr="002C3741">
        <w:rPr>
          <w:sz w:val="22"/>
          <w:szCs w:val="22"/>
        </w:rPr>
        <w:t xml:space="preserve">PFCC representative sit on the Change Board </w:t>
      </w:r>
    </w:p>
    <w:p w:rsidR="002C3741" w:rsidRPr="002C3741" w:rsidRDefault="002C3741" w:rsidP="00521136">
      <w:pPr>
        <w:pStyle w:val="NumbList3"/>
        <w:numPr>
          <w:ilvl w:val="1"/>
          <w:numId w:val="11"/>
        </w:numPr>
        <w:spacing w:after="240"/>
        <w:rPr>
          <w:sz w:val="22"/>
          <w:szCs w:val="22"/>
        </w:rPr>
      </w:pPr>
      <w:r w:rsidRPr="002C3741">
        <w:rPr>
          <w:sz w:val="22"/>
          <w:szCs w:val="22"/>
        </w:rPr>
        <w:t>ensure that the OPFCC has early sight of SLT papers;</w:t>
      </w:r>
    </w:p>
    <w:p w:rsidR="002C3741" w:rsidRPr="002C3741" w:rsidRDefault="002C3741" w:rsidP="00521136">
      <w:pPr>
        <w:pStyle w:val="NumbList3"/>
        <w:numPr>
          <w:ilvl w:val="1"/>
          <w:numId w:val="11"/>
        </w:numPr>
        <w:spacing w:after="240"/>
        <w:rPr>
          <w:sz w:val="22"/>
          <w:szCs w:val="22"/>
        </w:rPr>
      </w:pPr>
      <w:r w:rsidRPr="002C3741">
        <w:rPr>
          <w:sz w:val="22"/>
          <w:szCs w:val="22"/>
        </w:rPr>
        <w:t>establish a central repository for governance papers to enable oversight by the PFCC;</w:t>
      </w:r>
    </w:p>
    <w:p w:rsidR="002C3741" w:rsidRPr="002C3741" w:rsidRDefault="002C3741" w:rsidP="00521136">
      <w:pPr>
        <w:pStyle w:val="NumbList3"/>
        <w:numPr>
          <w:ilvl w:val="1"/>
          <w:numId w:val="11"/>
        </w:numPr>
        <w:spacing w:after="240"/>
        <w:rPr>
          <w:sz w:val="22"/>
          <w:szCs w:val="22"/>
        </w:rPr>
      </w:pPr>
      <w:r w:rsidRPr="002C3741">
        <w:rPr>
          <w:sz w:val="22"/>
          <w:szCs w:val="22"/>
        </w:rPr>
        <w:t>Revise the constitution to ensure that delegated authorities are clearly defined; and</w:t>
      </w:r>
    </w:p>
    <w:p w:rsidR="002C3741" w:rsidRPr="002C3741" w:rsidRDefault="002C3741" w:rsidP="00521136">
      <w:pPr>
        <w:pStyle w:val="NumbList3"/>
        <w:numPr>
          <w:ilvl w:val="1"/>
          <w:numId w:val="11"/>
        </w:numPr>
        <w:spacing w:after="240"/>
        <w:rPr>
          <w:sz w:val="22"/>
          <w:szCs w:val="22"/>
        </w:rPr>
      </w:pPr>
      <w:r w:rsidRPr="002C3741">
        <w:rPr>
          <w:sz w:val="22"/>
          <w:szCs w:val="22"/>
        </w:rPr>
        <w:t>Remain vigilant that the boards do not veer outside their agreed terms of reference.</w:t>
      </w:r>
    </w:p>
    <w:p w:rsidR="002C3741" w:rsidRDefault="002C3741" w:rsidP="002C3741">
      <w:pPr>
        <w:pStyle w:val="NumbList3"/>
        <w:numPr>
          <w:ilvl w:val="0"/>
          <w:numId w:val="0"/>
        </w:numPr>
        <w:spacing w:after="240"/>
        <w:ind w:left="720"/>
        <w:rPr>
          <w:b/>
          <w:sz w:val="22"/>
          <w:szCs w:val="22"/>
        </w:rPr>
      </w:pPr>
    </w:p>
    <w:p w:rsidR="00521136" w:rsidRDefault="00521136" w:rsidP="002C3741">
      <w:pPr>
        <w:pStyle w:val="NumbList3"/>
        <w:numPr>
          <w:ilvl w:val="0"/>
          <w:numId w:val="0"/>
        </w:numPr>
        <w:spacing w:after="240"/>
        <w:ind w:left="1440"/>
        <w:sectPr w:rsidR="00521136"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rsidR="00C0492F" w:rsidRPr="009F165D" w:rsidRDefault="00C0492F" w:rsidP="00C0492F">
      <w:pPr>
        <w:pStyle w:val="Heading1"/>
        <w:rPr>
          <w:sz w:val="22"/>
          <w:szCs w:val="22"/>
        </w:rPr>
      </w:pPr>
      <w:r w:rsidRPr="009F165D">
        <w:rPr>
          <w:sz w:val="22"/>
          <w:szCs w:val="22"/>
        </w:rPr>
        <w:lastRenderedPageBreak/>
        <w:t>BACKGROUND</w:t>
      </w:r>
    </w:p>
    <w:p w:rsidR="0023031E" w:rsidRPr="009F165D" w:rsidRDefault="0023031E" w:rsidP="009F165D">
      <w:pPr>
        <w:pStyle w:val="ListParagraph"/>
        <w:numPr>
          <w:ilvl w:val="0"/>
          <w:numId w:val="11"/>
        </w:numPr>
        <w:spacing w:after="120"/>
        <w:rPr>
          <w:sz w:val="22"/>
          <w:szCs w:val="22"/>
        </w:rPr>
      </w:pPr>
      <w:r w:rsidRPr="009F165D">
        <w:rPr>
          <w:sz w:val="22"/>
          <w:szCs w:val="22"/>
        </w:rPr>
        <w:t xml:space="preserve">A review of </w:t>
      </w:r>
      <w:r w:rsidR="00FD2486" w:rsidRPr="009F165D">
        <w:rPr>
          <w:sz w:val="22"/>
          <w:szCs w:val="22"/>
        </w:rPr>
        <w:t>‘</w:t>
      </w:r>
      <w:r w:rsidRPr="009F165D">
        <w:rPr>
          <w:sz w:val="22"/>
          <w:szCs w:val="22"/>
        </w:rPr>
        <w:t xml:space="preserve">Governance </w:t>
      </w:r>
      <w:r w:rsidR="00FD2486" w:rsidRPr="009F165D">
        <w:rPr>
          <w:sz w:val="22"/>
          <w:szCs w:val="22"/>
        </w:rPr>
        <w:t>–</w:t>
      </w:r>
      <w:r w:rsidRPr="009F165D">
        <w:rPr>
          <w:sz w:val="22"/>
          <w:szCs w:val="22"/>
        </w:rPr>
        <w:t xml:space="preserve"> Transition</w:t>
      </w:r>
      <w:r w:rsidR="00FD2486" w:rsidRPr="009F165D">
        <w:rPr>
          <w:sz w:val="22"/>
          <w:szCs w:val="22"/>
        </w:rPr>
        <w:t>’</w:t>
      </w:r>
      <w:r w:rsidRPr="009F165D">
        <w:rPr>
          <w:sz w:val="22"/>
          <w:szCs w:val="22"/>
        </w:rPr>
        <w:t xml:space="preserve"> was undertaken</w:t>
      </w:r>
      <w:r w:rsidR="00FD2486" w:rsidRPr="009F165D">
        <w:rPr>
          <w:sz w:val="22"/>
          <w:szCs w:val="22"/>
        </w:rPr>
        <w:t xml:space="preserve"> by RSM</w:t>
      </w:r>
      <w:r w:rsidRPr="009F165D">
        <w:rPr>
          <w:sz w:val="22"/>
          <w:szCs w:val="22"/>
        </w:rPr>
        <w:t xml:space="preserve"> as part of the Police, Fire and Crime Commissioner, Fire and Rescue Authority internal audit plan for 2017/18. </w:t>
      </w:r>
      <w:r w:rsidR="002854E2" w:rsidRPr="009F165D">
        <w:rPr>
          <w:sz w:val="22"/>
          <w:szCs w:val="22"/>
        </w:rPr>
        <w:t xml:space="preserve">While acknowledging that </w:t>
      </w:r>
      <w:r w:rsidR="002C3741" w:rsidRPr="009F165D">
        <w:rPr>
          <w:sz w:val="22"/>
          <w:szCs w:val="22"/>
        </w:rPr>
        <w:t>arrangements</w:t>
      </w:r>
      <w:r w:rsidR="002854E2" w:rsidRPr="009F165D">
        <w:rPr>
          <w:sz w:val="22"/>
          <w:szCs w:val="22"/>
        </w:rPr>
        <w:t xml:space="preserve"> were at an early stage </w:t>
      </w:r>
      <w:r w:rsidR="002C3741" w:rsidRPr="009F165D">
        <w:rPr>
          <w:sz w:val="22"/>
          <w:szCs w:val="22"/>
        </w:rPr>
        <w:t>i</w:t>
      </w:r>
      <w:r w:rsidR="00AF634F" w:rsidRPr="009F165D">
        <w:rPr>
          <w:sz w:val="22"/>
          <w:szCs w:val="22"/>
        </w:rPr>
        <w:t xml:space="preserve">n their latest draft report </w:t>
      </w:r>
      <w:r w:rsidR="002854E2" w:rsidRPr="009F165D">
        <w:rPr>
          <w:sz w:val="22"/>
          <w:szCs w:val="22"/>
        </w:rPr>
        <w:t xml:space="preserve">they have </w:t>
      </w:r>
      <w:r w:rsidRPr="009F165D">
        <w:rPr>
          <w:sz w:val="22"/>
          <w:szCs w:val="22"/>
        </w:rPr>
        <w:t>conclude</w:t>
      </w:r>
      <w:r w:rsidR="00AF634F" w:rsidRPr="009F165D">
        <w:rPr>
          <w:sz w:val="22"/>
          <w:szCs w:val="22"/>
        </w:rPr>
        <w:t>d</w:t>
      </w:r>
      <w:r w:rsidRPr="009F165D">
        <w:rPr>
          <w:sz w:val="22"/>
          <w:szCs w:val="22"/>
        </w:rPr>
        <w:t>:</w:t>
      </w:r>
    </w:p>
    <w:p w:rsidR="0023031E" w:rsidRPr="009F165D" w:rsidRDefault="0023031E" w:rsidP="0023031E">
      <w:pPr>
        <w:spacing w:after="120"/>
        <w:rPr>
          <w:i/>
          <w:sz w:val="22"/>
          <w:szCs w:val="22"/>
        </w:rPr>
      </w:pPr>
    </w:p>
    <w:p w:rsidR="0023031E" w:rsidRPr="0023031E" w:rsidRDefault="0023031E" w:rsidP="0023031E">
      <w:pPr>
        <w:spacing w:after="120"/>
        <w:rPr>
          <w:i/>
        </w:rPr>
      </w:pPr>
      <w:r w:rsidRPr="009F165D">
        <w:rPr>
          <w:i/>
          <w:sz w:val="22"/>
          <w:szCs w:val="22"/>
        </w:rPr>
        <w:t>‘We found that, while changes had been made to align governance arrangements and there had been progress towards this, there could be improved clarity of responsibility and accountability between the various boards and committees, including whether delegated authorities and escalation routes are clearly defined.</w:t>
      </w:r>
      <w:r>
        <w:rPr>
          <w:i/>
        </w:rPr>
        <w:t>’</w:t>
      </w:r>
      <w:r w:rsidRPr="0023031E">
        <w:rPr>
          <w:i/>
        </w:rPr>
        <w:t xml:space="preserve"> </w:t>
      </w:r>
    </w:p>
    <w:p w:rsidR="0023031E" w:rsidRPr="009F165D" w:rsidRDefault="0023031E" w:rsidP="0023031E">
      <w:pPr>
        <w:spacing w:after="120"/>
        <w:rPr>
          <w:sz w:val="22"/>
          <w:szCs w:val="22"/>
        </w:rPr>
      </w:pPr>
    </w:p>
    <w:p w:rsidR="00BE6986" w:rsidRPr="009F165D" w:rsidRDefault="0023031E" w:rsidP="009F165D">
      <w:pPr>
        <w:pStyle w:val="ListParagraph"/>
        <w:numPr>
          <w:ilvl w:val="0"/>
          <w:numId w:val="11"/>
        </w:numPr>
        <w:spacing w:after="120"/>
        <w:rPr>
          <w:sz w:val="22"/>
          <w:szCs w:val="22"/>
        </w:rPr>
      </w:pPr>
      <w:r w:rsidRPr="009F165D">
        <w:rPr>
          <w:sz w:val="22"/>
          <w:szCs w:val="22"/>
        </w:rPr>
        <w:t>A series of manage</w:t>
      </w:r>
      <w:r w:rsidR="00BE6986" w:rsidRPr="009F165D">
        <w:rPr>
          <w:sz w:val="22"/>
          <w:szCs w:val="22"/>
        </w:rPr>
        <w:t xml:space="preserve">ment </w:t>
      </w:r>
      <w:r w:rsidRPr="009F165D">
        <w:rPr>
          <w:sz w:val="22"/>
          <w:szCs w:val="22"/>
        </w:rPr>
        <w:t>action</w:t>
      </w:r>
      <w:r w:rsidR="00BE6986" w:rsidRPr="009F165D">
        <w:rPr>
          <w:sz w:val="22"/>
          <w:szCs w:val="22"/>
        </w:rPr>
        <w:t>s</w:t>
      </w:r>
      <w:r w:rsidRPr="009F165D">
        <w:rPr>
          <w:sz w:val="22"/>
          <w:szCs w:val="22"/>
        </w:rPr>
        <w:t xml:space="preserve"> were set out</w:t>
      </w:r>
      <w:r w:rsidR="002854E2" w:rsidRPr="009F165D">
        <w:rPr>
          <w:sz w:val="22"/>
          <w:szCs w:val="22"/>
        </w:rPr>
        <w:t xml:space="preserve"> to achieve this increased clarity</w:t>
      </w:r>
      <w:r w:rsidR="00BE6986" w:rsidRPr="009F165D">
        <w:rPr>
          <w:sz w:val="22"/>
          <w:szCs w:val="22"/>
        </w:rPr>
        <w:t>.</w:t>
      </w:r>
      <w:r w:rsidR="002C3741" w:rsidRPr="009F165D">
        <w:rPr>
          <w:sz w:val="22"/>
          <w:szCs w:val="22"/>
        </w:rPr>
        <w:t xml:space="preserve"> In essence these were:</w:t>
      </w:r>
    </w:p>
    <w:p w:rsidR="002C3741" w:rsidRDefault="002C3741" w:rsidP="0023031E">
      <w:pPr>
        <w:spacing w:after="120"/>
      </w:pPr>
    </w:p>
    <w:p w:rsidR="002C3741" w:rsidRDefault="002C3741" w:rsidP="002C3741">
      <w:pPr>
        <w:pStyle w:val="NumbList3"/>
        <w:numPr>
          <w:ilvl w:val="0"/>
          <w:numId w:val="18"/>
        </w:numPr>
        <w:spacing w:after="240"/>
        <w:rPr>
          <w:sz w:val="22"/>
          <w:szCs w:val="22"/>
        </w:rPr>
      </w:pPr>
      <w:r w:rsidRPr="0090605E">
        <w:rPr>
          <w:sz w:val="22"/>
          <w:szCs w:val="22"/>
        </w:rPr>
        <w:t xml:space="preserve">To </w:t>
      </w:r>
      <w:r>
        <w:rPr>
          <w:sz w:val="22"/>
          <w:szCs w:val="22"/>
        </w:rPr>
        <w:t>establish clear lines of authority and accountability between the two main advisory boards and operational forums within the service.</w:t>
      </w:r>
    </w:p>
    <w:p w:rsidR="002C3741" w:rsidRDefault="002C3741" w:rsidP="002C3741">
      <w:pPr>
        <w:pStyle w:val="NumbList3"/>
        <w:numPr>
          <w:ilvl w:val="0"/>
          <w:numId w:val="18"/>
        </w:numPr>
        <w:spacing w:after="240"/>
        <w:rPr>
          <w:sz w:val="22"/>
          <w:szCs w:val="22"/>
        </w:rPr>
      </w:pPr>
      <w:r>
        <w:rPr>
          <w:sz w:val="22"/>
          <w:szCs w:val="22"/>
        </w:rPr>
        <w:t>To capture the relationship between the forums in an organisation governance structure diagram.</w:t>
      </w:r>
    </w:p>
    <w:p w:rsidR="002C3741" w:rsidRDefault="002C3741" w:rsidP="002C3741">
      <w:pPr>
        <w:pStyle w:val="NumbList3"/>
        <w:numPr>
          <w:ilvl w:val="0"/>
          <w:numId w:val="18"/>
        </w:numPr>
        <w:spacing w:after="240"/>
        <w:rPr>
          <w:sz w:val="22"/>
          <w:szCs w:val="22"/>
        </w:rPr>
      </w:pPr>
      <w:r>
        <w:rPr>
          <w:sz w:val="22"/>
          <w:szCs w:val="22"/>
        </w:rPr>
        <w:t>Establish a central repository for governance papers to enable oversight by the PFCC</w:t>
      </w:r>
    </w:p>
    <w:p w:rsidR="002C3741" w:rsidRDefault="002C3741" w:rsidP="002C3741">
      <w:pPr>
        <w:pStyle w:val="NumbList3"/>
        <w:numPr>
          <w:ilvl w:val="0"/>
          <w:numId w:val="18"/>
        </w:numPr>
        <w:spacing w:after="240"/>
        <w:rPr>
          <w:sz w:val="22"/>
          <w:szCs w:val="22"/>
        </w:rPr>
      </w:pPr>
      <w:r>
        <w:rPr>
          <w:sz w:val="22"/>
          <w:szCs w:val="22"/>
        </w:rPr>
        <w:t>To revise the Terms of Reference of the Strategic Board and the Performance and Resources Board to include clear and accurate statements on each board’s purpose and relationship to the other forums and the PFCC as part of the clarification of the governance structure.</w:t>
      </w:r>
    </w:p>
    <w:p w:rsidR="002C3741" w:rsidRPr="00FD2486" w:rsidRDefault="002C3741" w:rsidP="002C3741">
      <w:pPr>
        <w:pStyle w:val="NumbList3"/>
        <w:numPr>
          <w:ilvl w:val="0"/>
          <w:numId w:val="18"/>
        </w:numPr>
        <w:spacing w:after="240"/>
        <w:rPr>
          <w:sz w:val="22"/>
          <w:szCs w:val="22"/>
        </w:rPr>
      </w:pPr>
      <w:r>
        <w:rPr>
          <w:sz w:val="22"/>
          <w:szCs w:val="22"/>
        </w:rPr>
        <w:t>Ensure that the groups meet and discharge their roles and responsibilities in line with their remit.</w:t>
      </w:r>
    </w:p>
    <w:p w:rsidR="002C3741" w:rsidRDefault="002C3741" w:rsidP="002C3741">
      <w:pPr>
        <w:pStyle w:val="NumbList3"/>
        <w:numPr>
          <w:ilvl w:val="0"/>
          <w:numId w:val="18"/>
        </w:numPr>
        <w:spacing w:after="240"/>
        <w:rPr>
          <w:sz w:val="22"/>
          <w:szCs w:val="22"/>
        </w:rPr>
      </w:pPr>
      <w:r>
        <w:rPr>
          <w:sz w:val="22"/>
          <w:szCs w:val="22"/>
        </w:rPr>
        <w:t xml:space="preserve">Revise the Terms of Reference of the SLT and the Change Board to make the distinction between their roles clearer, and update the Terms </w:t>
      </w:r>
      <w:proofErr w:type="spellStart"/>
      <w:proofErr w:type="gramStart"/>
      <w:r>
        <w:rPr>
          <w:sz w:val="22"/>
          <w:szCs w:val="22"/>
        </w:rPr>
        <w:t>fo</w:t>
      </w:r>
      <w:proofErr w:type="spellEnd"/>
      <w:proofErr w:type="gramEnd"/>
      <w:r>
        <w:rPr>
          <w:sz w:val="22"/>
          <w:szCs w:val="22"/>
        </w:rPr>
        <w:t xml:space="preserve"> Reference of the Emergency Services Collaboration Strategic Governance Board to include key information on quorum, reporting and escalation.</w:t>
      </w:r>
    </w:p>
    <w:p w:rsidR="002C3741" w:rsidRDefault="002C3741" w:rsidP="002C3741">
      <w:pPr>
        <w:pStyle w:val="NumbList3"/>
        <w:numPr>
          <w:ilvl w:val="0"/>
          <w:numId w:val="18"/>
        </w:numPr>
        <w:spacing w:after="240"/>
        <w:rPr>
          <w:sz w:val="22"/>
          <w:szCs w:val="22"/>
        </w:rPr>
      </w:pPr>
      <w:r>
        <w:rPr>
          <w:sz w:val="22"/>
          <w:szCs w:val="22"/>
        </w:rPr>
        <w:t>Ensure that delegated authorities are clearly defined in either the constitution or a separate scheme of delegation.</w:t>
      </w:r>
    </w:p>
    <w:p w:rsidR="002C3741" w:rsidRDefault="002C3741" w:rsidP="0023031E">
      <w:pPr>
        <w:spacing w:after="120"/>
      </w:pPr>
    </w:p>
    <w:p w:rsidR="00BE6986" w:rsidRPr="009F165D" w:rsidRDefault="00AF634F" w:rsidP="0023031E">
      <w:pPr>
        <w:spacing w:after="120"/>
        <w:rPr>
          <w:b/>
          <w:sz w:val="22"/>
          <w:szCs w:val="22"/>
        </w:rPr>
      </w:pPr>
      <w:r w:rsidRPr="009F165D">
        <w:rPr>
          <w:b/>
          <w:sz w:val="22"/>
          <w:szCs w:val="22"/>
        </w:rPr>
        <w:t>CONSIDERATION</w:t>
      </w:r>
    </w:p>
    <w:p w:rsidR="00BE6986" w:rsidRPr="009F165D" w:rsidRDefault="00BE6986" w:rsidP="0023031E">
      <w:pPr>
        <w:spacing w:after="120"/>
        <w:rPr>
          <w:sz w:val="22"/>
          <w:szCs w:val="22"/>
        </w:rPr>
      </w:pPr>
    </w:p>
    <w:p w:rsidR="00C67344" w:rsidRPr="009F165D" w:rsidRDefault="00AF634F" w:rsidP="009F165D">
      <w:pPr>
        <w:pStyle w:val="ListParagraph"/>
        <w:numPr>
          <w:ilvl w:val="0"/>
          <w:numId w:val="11"/>
        </w:numPr>
        <w:spacing w:after="120"/>
        <w:rPr>
          <w:sz w:val="22"/>
          <w:szCs w:val="22"/>
        </w:rPr>
      </w:pPr>
      <w:r w:rsidRPr="009F165D">
        <w:rPr>
          <w:sz w:val="22"/>
          <w:szCs w:val="22"/>
        </w:rPr>
        <w:t>While t</w:t>
      </w:r>
      <w:r w:rsidR="00BE6986" w:rsidRPr="009F165D">
        <w:rPr>
          <w:sz w:val="22"/>
          <w:szCs w:val="22"/>
        </w:rPr>
        <w:t xml:space="preserve">he report is a very early reflection of the governance transition process, it </w:t>
      </w:r>
      <w:r w:rsidR="00615FAA" w:rsidRPr="009F165D">
        <w:rPr>
          <w:sz w:val="22"/>
          <w:szCs w:val="22"/>
        </w:rPr>
        <w:t>has</w:t>
      </w:r>
      <w:r w:rsidR="00BE6986" w:rsidRPr="009F165D">
        <w:rPr>
          <w:sz w:val="22"/>
          <w:szCs w:val="22"/>
        </w:rPr>
        <w:t xml:space="preserve"> highlight</w:t>
      </w:r>
      <w:r w:rsidR="00615FAA" w:rsidRPr="009F165D">
        <w:rPr>
          <w:sz w:val="22"/>
          <w:szCs w:val="22"/>
        </w:rPr>
        <w:t>ed</w:t>
      </w:r>
      <w:r w:rsidR="00BE6986" w:rsidRPr="009F165D">
        <w:rPr>
          <w:sz w:val="22"/>
          <w:szCs w:val="22"/>
        </w:rPr>
        <w:t xml:space="preserve"> areas where there needs to be greater linkage between existing service led boards, and the PFCC governance boards. Capturing the relationships in diagrammatic form will be helpful not only to the PFCC and the service, but also to the general public. </w:t>
      </w:r>
      <w:r w:rsidR="0023031E" w:rsidRPr="009F165D">
        <w:rPr>
          <w:sz w:val="22"/>
          <w:szCs w:val="22"/>
        </w:rPr>
        <w:t xml:space="preserve"> </w:t>
      </w:r>
      <w:r w:rsidR="00BE6986" w:rsidRPr="009F165D">
        <w:rPr>
          <w:sz w:val="22"/>
          <w:szCs w:val="22"/>
        </w:rPr>
        <w:t>This would be further strengthened by the recommended central repository of papers. It is important that the terms of reference of the service boards are reviewed to ensure that their position is clear in relation to overall governance.</w:t>
      </w:r>
    </w:p>
    <w:p w:rsidR="0023031E" w:rsidRPr="009F165D" w:rsidRDefault="00BE6986" w:rsidP="009F165D">
      <w:pPr>
        <w:pStyle w:val="ListParagraph"/>
        <w:numPr>
          <w:ilvl w:val="0"/>
          <w:numId w:val="11"/>
        </w:numPr>
        <w:spacing w:after="120"/>
        <w:rPr>
          <w:sz w:val="22"/>
          <w:szCs w:val="22"/>
        </w:rPr>
      </w:pPr>
      <w:r w:rsidRPr="009F165D">
        <w:rPr>
          <w:sz w:val="22"/>
          <w:szCs w:val="22"/>
        </w:rPr>
        <w:t>To ensure coherence between the b</w:t>
      </w:r>
      <w:r w:rsidR="00F66601" w:rsidRPr="009F165D">
        <w:rPr>
          <w:sz w:val="22"/>
          <w:szCs w:val="22"/>
        </w:rPr>
        <w:t>oards there would be benefit in a representative of the PFCC sitting on the Change Board. Prior sight of Senior Leadership Team papers, will also enable the PFCC to highlight any particular issues of concern or relevance at an early stage.</w:t>
      </w:r>
      <w:r w:rsidR="004C4EFF" w:rsidRPr="009F165D">
        <w:rPr>
          <w:sz w:val="22"/>
          <w:szCs w:val="22"/>
        </w:rPr>
        <w:t xml:space="preserve"> A similar review should be undertaken of the Emergency Services Collaboration Governance Board to include key information on quorum, reporting and escalation requirements.</w:t>
      </w:r>
    </w:p>
    <w:p w:rsidR="00F66601" w:rsidRPr="009F165D" w:rsidRDefault="00F66601" w:rsidP="009F165D">
      <w:pPr>
        <w:pStyle w:val="ListParagraph"/>
        <w:numPr>
          <w:ilvl w:val="0"/>
          <w:numId w:val="11"/>
        </w:numPr>
        <w:spacing w:after="120"/>
        <w:rPr>
          <w:sz w:val="22"/>
          <w:szCs w:val="22"/>
        </w:rPr>
      </w:pPr>
      <w:r w:rsidRPr="009F165D">
        <w:rPr>
          <w:sz w:val="22"/>
          <w:szCs w:val="22"/>
        </w:rPr>
        <w:t>The report notes that some strategic issues had been referred to the Performance and Resources Board. These seem to have been initial teething problems, and there has since been a conscious effort to refer issues to the correct boards. It is important that this continues.</w:t>
      </w:r>
      <w:r w:rsidR="004C4EFF" w:rsidRPr="009F165D">
        <w:rPr>
          <w:sz w:val="22"/>
          <w:szCs w:val="22"/>
        </w:rPr>
        <w:t xml:space="preserve"> There </w:t>
      </w:r>
      <w:r w:rsidR="00F650BB" w:rsidRPr="009F165D">
        <w:rPr>
          <w:sz w:val="22"/>
          <w:szCs w:val="22"/>
        </w:rPr>
        <w:t xml:space="preserve">has also been a conscious effort to improve the layout and </w:t>
      </w:r>
      <w:r w:rsidR="004C4EFF" w:rsidRPr="009F165D">
        <w:rPr>
          <w:sz w:val="22"/>
          <w:szCs w:val="22"/>
        </w:rPr>
        <w:t>content of minutes, forward plans and action logs.</w:t>
      </w:r>
    </w:p>
    <w:p w:rsidR="00F650BB" w:rsidRPr="009F165D" w:rsidRDefault="00F650BB" w:rsidP="009F165D">
      <w:pPr>
        <w:pStyle w:val="ListParagraph"/>
        <w:numPr>
          <w:ilvl w:val="0"/>
          <w:numId w:val="11"/>
        </w:numPr>
        <w:spacing w:after="120"/>
        <w:rPr>
          <w:sz w:val="22"/>
          <w:szCs w:val="22"/>
        </w:rPr>
      </w:pPr>
      <w:r w:rsidRPr="009F165D">
        <w:rPr>
          <w:sz w:val="22"/>
          <w:szCs w:val="22"/>
        </w:rPr>
        <w:t xml:space="preserve">The Constitution is currently being reviewed, and as part of that the terms of reference of the two governance boards is being looked at to ascertain relevance. Some Police Service terminology was for example, inappropriately translated over into the Fire and Rescue Strategic Board. </w:t>
      </w:r>
      <w:r w:rsidR="00DC2B15" w:rsidRPr="009F165D">
        <w:rPr>
          <w:sz w:val="22"/>
          <w:szCs w:val="22"/>
        </w:rPr>
        <w:t xml:space="preserve">The review of the constitution </w:t>
      </w:r>
      <w:r w:rsidR="0018429B" w:rsidRPr="009F165D">
        <w:rPr>
          <w:sz w:val="22"/>
          <w:szCs w:val="22"/>
        </w:rPr>
        <w:t xml:space="preserve">also </w:t>
      </w:r>
      <w:r w:rsidR="00DC2B15" w:rsidRPr="009F165D">
        <w:rPr>
          <w:sz w:val="22"/>
          <w:szCs w:val="22"/>
        </w:rPr>
        <w:t xml:space="preserve">offers the </w:t>
      </w:r>
      <w:r w:rsidR="0018429B" w:rsidRPr="009F165D">
        <w:rPr>
          <w:sz w:val="22"/>
          <w:szCs w:val="22"/>
        </w:rPr>
        <w:t>opportunity to clarify the decision making functions of the SLT and the Commissioner.</w:t>
      </w:r>
    </w:p>
    <w:p w:rsidR="00F66601" w:rsidRDefault="00F66601" w:rsidP="0023031E">
      <w:pPr>
        <w:spacing w:after="120"/>
      </w:pPr>
    </w:p>
    <w:p w:rsidR="00EE7E6D" w:rsidRDefault="00EE7E6D" w:rsidP="00474E4F">
      <w:pPr>
        <w:pStyle w:val="Heading1"/>
      </w:pPr>
      <w:r>
        <w:t>NEXT STEPS</w:t>
      </w:r>
    </w:p>
    <w:p w:rsidR="009F4CD0" w:rsidRDefault="00243A90" w:rsidP="009F165D">
      <w:pPr>
        <w:pStyle w:val="ListParagraph"/>
        <w:numPr>
          <w:ilvl w:val="0"/>
          <w:numId w:val="11"/>
        </w:numPr>
        <w:rPr>
          <w:sz w:val="22"/>
          <w:szCs w:val="22"/>
        </w:rPr>
      </w:pPr>
      <w:r w:rsidRPr="00D1059C">
        <w:rPr>
          <w:sz w:val="22"/>
          <w:szCs w:val="22"/>
        </w:rPr>
        <w:t xml:space="preserve">A review </w:t>
      </w:r>
      <w:r w:rsidR="009F4CD0">
        <w:rPr>
          <w:sz w:val="22"/>
          <w:szCs w:val="22"/>
        </w:rPr>
        <w:t xml:space="preserve">by the PFCC with the Service of the terms of reference of the service and governance boards is now necessary, which can then be fed into the revised constitution. The mechanisms for creating an accessible central repository of board papers will also be identified. </w:t>
      </w:r>
    </w:p>
    <w:p w:rsidR="009F4CD0" w:rsidRDefault="009F4CD0" w:rsidP="009F4CD0">
      <w:pPr>
        <w:pStyle w:val="ListParagraph"/>
        <w:ind w:left="0"/>
        <w:rPr>
          <w:sz w:val="22"/>
          <w:szCs w:val="22"/>
        </w:rPr>
      </w:pPr>
    </w:p>
    <w:p w:rsidR="009F4CD0" w:rsidRDefault="009F4CD0" w:rsidP="009F165D">
      <w:pPr>
        <w:pStyle w:val="ListParagraph"/>
        <w:numPr>
          <w:ilvl w:val="0"/>
          <w:numId w:val="11"/>
        </w:numPr>
        <w:rPr>
          <w:sz w:val="22"/>
          <w:szCs w:val="22"/>
        </w:rPr>
      </w:pPr>
      <w:r>
        <w:rPr>
          <w:sz w:val="22"/>
          <w:szCs w:val="22"/>
        </w:rPr>
        <w:t xml:space="preserve">Proposals will be brought to the December Board, or earlier if an </w:t>
      </w:r>
      <w:r w:rsidR="001C5116">
        <w:rPr>
          <w:sz w:val="22"/>
          <w:szCs w:val="22"/>
        </w:rPr>
        <w:t>extraordinary</w:t>
      </w:r>
      <w:r>
        <w:rPr>
          <w:sz w:val="22"/>
          <w:szCs w:val="22"/>
        </w:rPr>
        <w:t xml:space="preserve"> meeting of the </w:t>
      </w:r>
      <w:r w:rsidR="001C5116">
        <w:rPr>
          <w:sz w:val="22"/>
          <w:szCs w:val="22"/>
        </w:rPr>
        <w:t>Strategic</w:t>
      </w:r>
      <w:r>
        <w:rPr>
          <w:sz w:val="22"/>
          <w:szCs w:val="22"/>
        </w:rPr>
        <w:t xml:space="preserve"> Board is called to consider other issues.</w:t>
      </w:r>
    </w:p>
    <w:p w:rsidR="009F4CD0" w:rsidRDefault="009F4CD0" w:rsidP="009F4CD0">
      <w:pPr>
        <w:pStyle w:val="ListParagraph"/>
        <w:ind w:left="0"/>
        <w:rPr>
          <w:sz w:val="22"/>
          <w:szCs w:val="22"/>
        </w:rPr>
      </w:pPr>
    </w:p>
    <w:p w:rsidR="00C802FC" w:rsidRDefault="00C802FC" w:rsidP="00C802FC">
      <w:pPr>
        <w:pStyle w:val="ListParagraph"/>
        <w:ind w:left="1440"/>
      </w:pPr>
    </w:p>
    <w:p w:rsidR="00243A90" w:rsidRPr="00243A90" w:rsidRDefault="00474E4F" w:rsidP="00474E4F">
      <w:pPr>
        <w:ind w:left="1080"/>
      </w:pPr>
      <w:r>
        <w:t xml:space="preserve">  </w:t>
      </w:r>
      <w:r w:rsidR="00243A90">
        <w:t xml:space="preserve"> </w:t>
      </w:r>
    </w:p>
    <w:p w:rsidR="00C0492F" w:rsidRPr="002E1E94" w:rsidRDefault="00C0492F" w:rsidP="00C0492F">
      <w:pPr>
        <w:pStyle w:val="Heading1"/>
      </w:pPr>
      <w:r w:rsidRPr="002E1E94">
        <w:t>Benefits and Risk Implications</w:t>
      </w:r>
    </w:p>
    <w:p w:rsidR="00C0492F" w:rsidRPr="009F165D" w:rsidRDefault="00801CA1" w:rsidP="009F165D">
      <w:pPr>
        <w:pStyle w:val="NumbList3"/>
        <w:numPr>
          <w:ilvl w:val="0"/>
          <w:numId w:val="11"/>
        </w:numPr>
        <w:spacing w:after="240"/>
        <w:rPr>
          <w:noProof/>
          <w:sz w:val="22"/>
          <w:szCs w:val="22"/>
        </w:rPr>
      </w:pPr>
      <w:r w:rsidRPr="009F165D">
        <w:rPr>
          <w:noProof/>
          <w:sz w:val="22"/>
          <w:szCs w:val="22"/>
        </w:rPr>
        <w:t>The</w:t>
      </w:r>
      <w:r w:rsidR="009F4CD0" w:rsidRPr="009F165D">
        <w:rPr>
          <w:noProof/>
          <w:sz w:val="22"/>
          <w:szCs w:val="22"/>
        </w:rPr>
        <w:t>re is a risk of the governance structure operating at a sub-optimal level</w:t>
      </w:r>
      <w:r w:rsidR="001C5116" w:rsidRPr="009F165D">
        <w:rPr>
          <w:noProof/>
          <w:sz w:val="22"/>
          <w:szCs w:val="22"/>
        </w:rPr>
        <w:t xml:space="preserve"> </w:t>
      </w:r>
      <w:r w:rsidRPr="009F165D">
        <w:rPr>
          <w:noProof/>
          <w:sz w:val="22"/>
          <w:szCs w:val="22"/>
        </w:rPr>
        <w:t xml:space="preserve"> </w:t>
      </w:r>
      <w:r w:rsidR="001C5116" w:rsidRPr="009F165D">
        <w:rPr>
          <w:noProof/>
          <w:sz w:val="22"/>
          <w:szCs w:val="22"/>
        </w:rPr>
        <w:t xml:space="preserve">unless the Internal Audit </w:t>
      </w:r>
      <w:r w:rsidR="00F614DF" w:rsidRPr="009F165D">
        <w:rPr>
          <w:noProof/>
          <w:sz w:val="22"/>
          <w:szCs w:val="22"/>
        </w:rPr>
        <w:t xml:space="preserve">proposed </w:t>
      </w:r>
      <w:r w:rsidR="001C5116" w:rsidRPr="009F165D">
        <w:rPr>
          <w:noProof/>
          <w:sz w:val="22"/>
          <w:szCs w:val="22"/>
        </w:rPr>
        <w:t>changes are made.</w:t>
      </w:r>
    </w:p>
    <w:p w:rsidR="00C0492F" w:rsidRPr="002E1E94" w:rsidRDefault="00C0492F" w:rsidP="00C0492F">
      <w:pPr>
        <w:pStyle w:val="Heading1"/>
      </w:pPr>
      <w:r w:rsidRPr="002E1E94">
        <w:t>Financial Implications</w:t>
      </w:r>
    </w:p>
    <w:p w:rsidR="00C0492F" w:rsidRPr="009F165D" w:rsidRDefault="001C5116" w:rsidP="009F165D">
      <w:pPr>
        <w:pStyle w:val="NumbList3"/>
        <w:numPr>
          <w:ilvl w:val="0"/>
          <w:numId w:val="11"/>
        </w:numPr>
        <w:spacing w:after="240"/>
        <w:rPr>
          <w:noProof/>
          <w:sz w:val="22"/>
          <w:szCs w:val="22"/>
        </w:rPr>
      </w:pPr>
      <w:r w:rsidRPr="009F165D">
        <w:rPr>
          <w:noProof/>
          <w:sz w:val="22"/>
          <w:szCs w:val="22"/>
        </w:rPr>
        <w:t>None</w:t>
      </w:r>
    </w:p>
    <w:p w:rsidR="00C0492F" w:rsidRPr="002E1E94" w:rsidRDefault="00C0492F" w:rsidP="00C0492F">
      <w:pPr>
        <w:pStyle w:val="Heading1"/>
      </w:pPr>
      <w:r w:rsidRPr="002E1E94">
        <w:t>Equality and Diversity Implications</w:t>
      </w:r>
    </w:p>
    <w:p w:rsidR="00C0492F" w:rsidRPr="009F165D" w:rsidRDefault="004F185C" w:rsidP="009F165D">
      <w:pPr>
        <w:pStyle w:val="NumbList3"/>
        <w:numPr>
          <w:ilvl w:val="0"/>
          <w:numId w:val="11"/>
        </w:numPr>
        <w:spacing w:after="240"/>
        <w:rPr>
          <w:noProof/>
          <w:sz w:val="22"/>
          <w:szCs w:val="22"/>
        </w:rPr>
      </w:pPr>
      <w:r w:rsidRPr="009F165D">
        <w:rPr>
          <w:noProof/>
          <w:sz w:val="22"/>
          <w:szCs w:val="22"/>
        </w:rPr>
        <w:t>None.</w:t>
      </w:r>
    </w:p>
    <w:p w:rsidR="00C0492F" w:rsidRPr="002E1E94" w:rsidRDefault="00C0492F" w:rsidP="00C0492F">
      <w:pPr>
        <w:pStyle w:val="Heading1"/>
      </w:pPr>
      <w:r w:rsidRPr="002E1E94">
        <w:t>Workforce Engagement</w:t>
      </w:r>
    </w:p>
    <w:p w:rsidR="00EE7E6D" w:rsidRDefault="001C5116" w:rsidP="009F165D">
      <w:pPr>
        <w:pStyle w:val="NumbList3"/>
        <w:numPr>
          <w:ilvl w:val="0"/>
          <w:numId w:val="11"/>
        </w:numPr>
        <w:rPr>
          <w:noProof/>
          <w:sz w:val="22"/>
          <w:szCs w:val="22"/>
        </w:rPr>
      </w:pPr>
      <w:r>
        <w:rPr>
          <w:noProof/>
          <w:sz w:val="22"/>
          <w:szCs w:val="22"/>
        </w:rPr>
        <w:t>None</w:t>
      </w:r>
    </w:p>
    <w:p w:rsidR="001C5116" w:rsidRPr="004F185C" w:rsidRDefault="001C5116" w:rsidP="00953790">
      <w:pPr>
        <w:pStyle w:val="NumbList3"/>
        <w:numPr>
          <w:ilvl w:val="0"/>
          <w:numId w:val="0"/>
        </w:numPr>
        <w:ind w:left="357" w:hanging="357"/>
        <w:rPr>
          <w:noProof/>
          <w:sz w:val="22"/>
          <w:szCs w:val="22"/>
        </w:rPr>
      </w:pPr>
    </w:p>
    <w:p w:rsidR="00C0492F" w:rsidRPr="002E1E94" w:rsidRDefault="00C0492F" w:rsidP="00C0492F">
      <w:pPr>
        <w:pStyle w:val="Heading1"/>
      </w:pPr>
      <w:r>
        <w:t>Legal Implications</w:t>
      </w:r>
    </w:p>
    <w:p w:rsidR="001C5116" w:rsidRPr="009F165D" w:rsidRDefault="001C5116" w:rsidP="009F165D">
      <w:pPr>
        <w:pStyle w:val="ListParagraph"/>
        <w:numPr>
          <w:ilvl w:val="0"/>
          <w:numId w:val="11"/>
        </w:numPr>
        <w:autoSpaceDE w:val="0"/>
        <w:autoSpaceDN w:val="0"/>
        <w:adjustRightInd w:val="0"/>
        <w:rPr>
          <w:sz w:val="22"/>
          <w:szCs w:val="22"/>
          <w:lang w:eastAsia="en-GB"/>
        </w:rPr>
      </w:pPr>
      <w:r w:rsidRPr="009F165D">
        <w:rPr>
          <w:sz w:val="22"/>
          <w:szCs w:val="22"/>
          <w:lang w:eastAsia="en-GB"/>
        </w:rPr>
        <w:t>None</w:t>
      </w:r>
    </w:p>
    <w:p w:rsidR="002F45F7" w:rsidRDefault="00953790" w:rsidP="001C5116">
      <w:pPr>
        <w:autoSpaceDE w:val="0"/>
        <w:autoSpaceDN w:val="0"/>
        <w:adjustRightInd w:val="0"/>
        <w:rPr>
          <w:noProof/>
        </w:rPr>
      </w:pPr>
      <w:r>
        <w:rPr>
          <w:lang w:eastAsia="en-GB"/>
        </w:rPr>
        <w:t>.</w:t>
      </w:r>
    </w:p>
    <w:p w:rsidR="002E3A71" w:rsidRPr="002E3A71" w:rsidRDefault="002E3A71" w:rsidP="002E3A71">
      <w:pPr>
        <w:pStyle w:val="NumbList3"/>
        <w:numPr>
          <w:ilvl w:val="0"/>
          <w:numId w:val="0"/>
        </w:numPr>
        <w:spacing w:after="240"/>
        <w:ind w:left="360" w:hanging="360"/>
        <w:rPr>
          <w:b/>
          <w:noProof/>
        </w:rPr>
      </w:pPr>
      <w:r w:rsidRPr="002E3A71">
        <w:rPr>
          <w:b/>
          <w:noProof/>
        </w:rPr>
        <w:t>HEALTH &amp; SAFETY IMPLICATIONS</w:t>
      </w:r>
    </w:p>
    <w:p w:rsidR="002E3A71" w:rsidRPr="009F165D" w:rsidRDefault="00953790" w:rsidP="009F165D">
      <w:pPr>
        <w:pStyle w:val="NumbList3"/>
        <w:numPr>
          <w:ilvl w:val="0"/>
          <w:numId w:val="11"/>
        </w:numPr>
        <w:spacing w:after="240"/>
        <w:rPr>
          <w:noProof/>
          <w:sz w:val="22"/>
          <w:szCs w:val="22"/>
        </w:rPr>
      </w:pPr>
      <w:r w:rsidRPr="009F165D">
        <w:rPr>
          <w:noProof/>
          <w:sz w:val="22"/>
          <w:szCs w:val="22"/>
        </w:rPr>
        <w:t>None</w:t>
      </w:r>
      <w:r w:rsidR="00856027" w:rsidRPr="009F165D">
        <w:rPr>
          <w:noProof/>
          <w:sz w:val="22"/>
          <w:szCs w:val="22"/>
        </w:rPr>
        <w:t>.</w:t>
      </w:r>
    </w:p>
    <w:sectPr w:rsidR="002E3A71" w:rsidRPr="009F165D"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50" w:rsidRDefault="00512F50">
      <w:r>
        <w:separator/>
      </w:r>
    </w:p>
  </w:endnote>
  <w:endnote w:type="continuationSeparator" w:id="0">
    <w:p w:rsidR="00512F50" w:rsidRDefault="0051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44814">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44814">
      <w:rPr>
        <w:noProof/>
        <w:sz w:val="22"/>
        <w:szCs w:val="22"/>
      </w:rPr>
      <w:t>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44814">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44814">
      <w:rPr>
        <w:noProof/>
        <w:sz w:val="22"/>
        <w:szCs w:val="22"/>
      </w:rPr>
      <w:t>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44814">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44814">
      <w:rPr>
        <w:noProof/>
        <w:sz w:val="22"/>
        <w:szCs w:val="22"/>
      </w:rPr>
      <w:t>3</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50" w:rsidRDefault="00512F50">
      <w:r>
        <w:separator/>
      </w:r>
    </w:p>
  </w:footnote>
  <w:footnote w:type="continuationSeparator" w:id="0">
    <w:p w:rsidR="00512F50" w:rsidRDefault="0051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11041"/>
    <w:multiLevelType w:val="hybridMultilevel"/>
    <w:tmpl w:val="794CC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2493A"/>
    <w:multiLevelType w:val="hybridMultilevel"/>
    <w:tmpl w:val="4AE6D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70A05"/>
    <w:multiLevelType w:val="hybridMultilevel"/>
    <w:tmpl w:val="383C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C739B"/>
    <w:multiLevelType w:val="hybridMultilevel"/>
    <w:tmpl w:val="97BC964E"/>
    <w:lvl w:ilvl="0" w:tplc="D41A62D0">
      <w:start w:val="1"/>
      <w:numFmt w:val="decimal"/>
      <w:lvlText w:val="%1."/>
      <w:lvlJc w:val="left"/>
      <w:pPr>
        <w:ind w:left="786"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37F8B"/>
    <w:multiLevelType w:val="hybridMultilevel"/>
    <w:tmpl w:val="B51ED6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7E6350"/>
    <w:multiLevelType w:val="hybridMultilevel"/>
    <w:tmpl w:val="92BE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66DD2"/>
    <w:multiLevelType w:val="hybridMultilevel"/>
    <w:tmpl w:val="BFE43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AC3401"/>
    <w:multiLevelType w:val="hybridMultilevel"/>
    <w:tmpl w:val="B06E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10"/>
  </w:num>
  <w:num w:numId="6">
    <w:abstractNumId w:val="7"/>
  </w:num>
  <w:num w:numId="7">
    <w:abstractNumId w:val="5"/>
  </w:num>
  <w:num w:numId="8">
    <w:abstractNumId w:val="1"/>
  </w:num>
  <w:num w:numId="9">
    <w:abstractNumId w:val="9"/>
  </w:num>
  <w:num w:numId="10">
    <w:abstractNumId w:val="9"/>
  </w:num>
  <w:num w:numId="11">
    <w:abstractNumId w:val="3"/>
  </w:num>
  <w:num w:numId="12">
    <w:abstractNumId w:val="15"/>
  </w:num>
  <w:num w:numId="13">
    <w:abstractNumId w:val="11"/>
  </w:num>
  <w:num w:numId="14">
    <w:abstractNumId w:val="13"/>
  </w:num>
  <w:num w:numId="15">
    <w:abstractNumId w:val="6"/>
  </w:num>
  <w:num w:numId="16">
    <w:abstractNumId w:val="14"/>
  </w:num>
  <w:num w:numId="17">
    <w:abstractNumId w:val="2"/>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367"/>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3FBF"/>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5EE"/>
    <w:rsid w:val="000A58C0"/>
    <w:rsid w:val="000A5D6C"/>
    <w:rsid w:val="000A68F1"/>
    <w:rsid w:val="000A77CF"/>
    <w:rsid w:val="000A7A2A"/>
    <w:rsid w:val="000A7C91"/>
    <w:rsid w:val="000B0FF6"/>
    <w:rsid w:val="000B3115"/>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8A4"/>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906"/>
    <w:rsid w:val="00145D73"/>
    <w:rsid w:val="0014714B"/>
    <w:rsid w:val="00151327"/>
    <w:rsid w:val="00153361"/>
    <w:rsid w:val="0015497F"/>
    <w:rsid w:val="00154F7E"/>
    <w:rsid w:val="00160C32"/>
    <w:rsid w:val="001619B4"/>
    <w:rsid w:val="001623CE"/>
    <w:rsid w:val="00164527"/>
    <w:rsid w:val="00165C5D"/>
    <w:rsid w:val="001666C0"/>
    <w:rsid w:val="0016715E"/>
    <w:rsid w:val="00167E80"/>
    <w:rsid w:val="00171207"/>
    <w:rsid w:val="00171B3F"/>
    <w:rsid w:val="00172383"/>
    <w:rsid w:val="00175029"/>
    <w:rsid w:val="0017517B"/>
    <w:rsid w:val="00176705"/>
    <w:rsid w:val="00181604"/>
    <w:rsid w:val="00181851"/>
    <w:rsid w:val="0018191C"/>
    <w:rsid w:val="0018427B"/>
    <w:rsid w:val="0018429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56D9"/>
    <w:rsid w:val="001A7C3E"/>
    <w:rsid w:val="001B2635"/>
    <w:rsid w:val="001B2E8F"/>
    <w:rsid w:val="001B4A01"/>
    <w:rsid w:val="001B4C05"/>
    <w:rsid w:val="001B7629"/>
    <w:rsid w:val="001C2A15"/>
    <w:rsid w:val="001C38A3"/>
    <w:rsid w:val="001C474C"/>
    <w:rsid w:val="001C5116"/>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20ED"/>
    <w:rsid w:val="002034F0"/>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5D25"/>
    <w:rsid w:val="002265B5"/>
    <w:rsid w:val="00226E73"/>
    <w:rsid w:val="002273BB"/>
    <w:rsid w:val="00227A04"/>
    <w:rsid w:val="0023031E"/>
    <w:rsid w:val="00230EFC"/>
    <w:rsid w:val="00231574"/>
    <w:rsid w:val="002320AB"/>
    <w:rsid w:val="00233082"/>
    <w:rsid w:val="002332EC"/>
    <w:rsid w:val="002354A2"/>
    <w:rsid w:val="00235DF6"/>
    <w:rsid w:val="00241168"/>
    <w:rsid w:val="002414C2"/>
    <w:rsid w:val="00241F9B"/>
    <w:rsid w:val="00242BDE"/>
    <w:rsid w:val="00243A90"/>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574BD"/>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2B5"/>
    <w:rsid w:val="00285409"/>
    <w:rsid w:val="002854E2"/>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0408"/>
    <w:rsid w:val="002B14D7"/>
    <w:rsid w:val="002B14DD"/>
    <w:rsid w:val="002B2C36"/>
    <w:rsid w:val="002B3411"/>
    <w:rsid w:val="002B61FB"/>
    <w:rsid w:val="002B631D"/>
    <w:rsid w:val="002B67B3"/>
    <w:rsid w:val="002B7F25"/>
    <w:rsid w:val="002C0FAA"/>
    <w:rsid w:val="002C1247"/>
    <w:rsid w:val="002C30F2"/>
    <w:rsid w:val="002C3628"/>
    <w:rsid w:val="002C3741"/>
    <w:rsid w:val="002C3DAB"/>
    <w:rsid w:val="002C4FDD"/>
    <w:rsid w:val="002C5DFB"/>
    <w:rsid w:val="002C6728"/>
    <w:rsid w:val="002C7BB1"/>
    <w:rsid w:val="002C7EAD"/>
    <w:rsid w:val="002D1648"/>
    <w:rsid w:val="002D24A7"/>
    <w:rsid w:val="002D2AAD"/>
    <w:rsid w:val="002D4ACF"/>
    <w:rsid w:val="002D560C"/>
    <w:rsid w:val="002D678D"/>
    <w:rsid w:val="002D6A56"/>
    <w:rsid w:val="002D700B"/>
    <w:rsid w:val="002E08E8"/>
    <w:rsid w:val="002E10B1"/>
    <w:rsid w:val="002E2693"/>
    <w:rsid w:val="002E36F8"/>
    <w:rsid w:val="002E3A71"/>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89B"/>
    <w:rsid w:val="00325B97"/>
    <w:rsid w:val="00326EE8"/>
    <w:rsid w:val="00327063"/>
    <w:rsid w:val="0032754E"/>
    <w:rsid w:val="00327572"/>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6FFA"/>
    <w:rsid w:val="00367B21"/>
    <w:rsid w:val="003703D3"/>
    <w:rsid w:val="00371DD3"/>
    <w:rsid w:val="003724D0"/>
    <w:rsid w:val="003727BC"/>
    <w:rsid w:val="0037618E"/>
    <w:rsid w:val="00380585"/>
    <w:rsid w:val="00380A82"/>
    <w:rsid w:val="00380FE4"/>
    <w:rsid w:val="00381124"/>
    <w:rsid w:val="00382B0F"/>
    <w:rsid w:val="0039069F"/>
    <w:rsid w:val="00391893"/>
    <w:rsid w:val="0039269C"/>
    <w:rsid w:val="00392E6F"/>
    <w:rsid w:val="003935F3"/>
    <w:rsid w:val="003947DD"/>
    <w:rsid w:val="00396119"/>
    <w:rsid w:val="00397073"/>
    <w:rsid w:val="003974D8"/>
    <w:rsid w:val="003A00B9"/>
    <w:rsid w:val="003A0FDD"/>
    <w:rsid w:val="003A1BF7"/>
    <w:rsid w:val="003A2929"/>
    <w:rsid w:val="003A3C46"/>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3827"/>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5AE"/>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0D82"/>
    <w:rsid w:val="0044109C"/>
    <w:rsid w:val="0044279D"/>
    <w:rsid w:val="004438D2"/>
    <w:rsid w:val="00445032"/>
    <w:rsid w:val="00446BE6"/>
    <w:rsid w:val="00447ECF"/>
    <w:rsid w:val="004521A1"/>
    <w:rsid w:val="0045506D"/>
    <w:rsid w:val="004570A9"/>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3F00"/>
    <w:rsid w:val="00474E4F"/>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4EFF"/>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1523"/>
    <w:rsid w:val="004E2135"/>
    <w:rsid w:val="004E26BD"/>
    <w:rsid w:val="004E3DAC"/>
    <w:rsid w:val="004E5CAD"/>
    <w:rsid w:val="004E60A8"/>
    <w:rsid w:val="004F012F"/>
    <w:rsid w:val="004F02E8"/>
    <w:rsid w:val="004F0997"/>
    <w:rsid w:val="004F155F"/>
    <w:rsid w:val="004F185C"/>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2F50"/>
    <w:rsid w:val="005131D1"/>
    <w:rsid w:val="0051689E"/>
    <w:rsid w:val="00517DE4"/>
    <w:rsid w:val="00520A8B"/>
    <w:rsid w:val="00521136"/>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07B8"/>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070E"/>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5FAA"/>
    <w:rsid w:val="006167A7"/>
    <w:rsid w:val="0062348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200"/>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B25"/>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1F2B"/>
    <w:rsid w:val="006C2B32"/>
    <w:rsid w:val="006C312B"/>
    <w:rsid w:val="006C32F8"/>
    <w:rsid w:val="006C3A34"/>
    <w:rsid w:val="006C4A58"/>
    <w:rsid w:val="006C797E"/>
    <w:rsid w:val="006C7C78"/>
    <w:rsid w:val="006C7D76"/>
    <w:rsid w:val="006D1066"/>
    <w:rsid w:val="006D1EC8"/>
    <w:rsid w:val="006D351B"/>
    <w:rsid w:val="006D430F"/>
    <w:rsid w:val="006D4989"/>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2F09"/>
    <w:rsid w:val="007A41CD"/>
    <w:rsid w:val="007A49E0"/>
    <w:rsid w:val="007A5ECC"/>
    <w:rsid w:val="007A602E"/>
    <w:rsid w:val="007A6B1D"/>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3D0D"/>
    <w:rsid w:val="007E67A3"/>
    <w:rsid w:val="007E6E14"/>
    <w:rsid w:val="007F08C1"/>
    <w:rsid w:val="007F107F"/>
    <w:rsid w:val="007F21E6"/>
    <w:rsid w:val="007F22B1"/>
    <w:rsid w:val="007F2C6B"/>
    <w:rsid w:val="007F320A"/>
    <w:rsid w:val="007F391B"/>
    <w:rsid w:val="007F6538"/>
    <w:rsid w:val="007F6B3A"/>
    <w:rsid w:val="00800CCA"/>
    <w:rsid w:val="00801CA1"/>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2FDD"/>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6027"/>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4FE8"/>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8D7"/>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154"/>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3C29"/>
    <w:rsid w:val="00904A25"/>
    <w:rsid w:val="00905391"/>
    <w:rsid w:val="00905560"/>
    <w:rsid w:val="0090605E"/>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4814"/>
    <w:rsid w:val="009467F1"/>
    <w:rsid w:val="00946F65"/>
    <w:rsid w:val="00947245"/>
    <w:rsid w:val="0094797F"/>
    <w:rsid w:val="00947F59"/>
    <w:rsid w:val="00950021"/>
    <w:rsid w:val="00950F46"/>
    <w:rsid w:val="00951D63"/>
    <w:rsid w:val="00952CE8"/>
    <w:rsid w:val="00953214"/>
    <w:rsid w:val="00953790"/>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68CC"/>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165D"/>
    <w:rsid w:val="009F3E43"/>
    <w:rsid w:val="009F4360"/>
    <w:rsid w:val="009F4387"/>
    <w:rsid w:val="009F4CD0"/>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32CA"/>
    <w:rsid w:val="00A97CC7"/>
    <w:rsid w:val="00AA0A63"/>
    <w:rsid w:val="00AA221E"/>
    <w:rsid w:val="00AA316C"/>
    <w:rsid w:val="00AA3884"/>
    <w:rsid w:val="00AA4193"/>
    <w:rsid w:val="00AA4FD7"/>
    <w:rsid w:val="00AA55F8"/>
    <w:rsid w:val="00AA60E6"/>
    <w:rsid w:val="00AA7578"/>
    <w:rsid w:val="00AA7803"/>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D620F"/>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34F"/>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2AD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986"/>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A20"/>
    <w:rsid w:val="00C41D73"/>
    <w:rsid w:val="00C421BD"/>
    <w:rsid w:val="00C428BB"/>
    <w:rsid w:val="00C42CE9"/>
    <w:rsid w:val="00C43C8B"/>
    <w:rsid w:val="00C43DFB"/>
    <w:rsid w:val="00C46CCC"/>
    <w:rsid w:val="00C50BC6"/>
    <w:rsid w:val="00C52977"/>
    <w:rsid w:val="00C52C63"/>
    <w:rsid w:val="00C54051"/>
    <w:rsid w:val="00C54620"/>
    <w:rsid w:val="00C55D33"/>
    <w:rsid w:val="00C562A9"/>
    <w:rsid w:val="00C56AEF"/>
    <w:rsid w:val="00C56B48"/>
    <w:rsid w:val="00C60A6F"/>
    <w:rsid w:val="00C611CC"/>
    <w:rsid w:val="00C6150B"/>
    <w:rsid w:val="00C641CF"/>
    <w:rsid w:val="00C644D9"/>
    <w:rsid w:val="00C64C60"/>
    <w:rsid w:val="00C6506C"/>
    <w:rsid w:val="00C658B8"/>
    <w:rsid w:val="00C65E58"/>
    <w:rsid w:val="00C66931"/>
    <w:rsid w:val="00C67344"/>
    <w:rsid w:val="00C71416"/>
    <w:rsid w:val="00C714DC"/>
    <w:rsid w:val="00C7267F"/>
    <w:rsid w:val="00C74107"/>
    <w:rsid w:val="00C745DA"/>
    <w:rsid w:val="00C75910"/>
    <w:rsid w:val="00C76237"/>
    <w:rsid w:val="00C76E2F"/>
    <w:rsid w:val="00C77B97"/>
    <w:rsid w:val="00C77C83"/>
    <w:rsid w:val="00C801D6"/>
    <w:rsid w:val="00C802FC"/>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26B"/>
    <w:rsid w:val="00CF6A44"/>
    <w:rsid w:val="00CF7708"/>
    <w:rsid w:val="00CF7A87"/>
    <w:rsid w:val="00CF7DC0"/>
    <w:rsid w:val="00D0268B"/>
    <w:rsid w:val="00D04525"/>
    <w:rsid w:val="00D04893"/>
    <w:rsid w:val="00D05A13"/>
    <w:rsid w:val="00D05E6C"/>
    <w:rsid w:val="00D066D4"/>
    <w:rsid w:val="00D07A52"/>
    <w:rsid w:val="00D10417"/>
    <w:rsid w:val="00D1059C"/>
    <w:rsid w:val="00D10F39"/>
    <w:rsid w:val="00D13372"/>
    <w:rsid w:val="00D152A1"/>
    <w:rsid w:val="00D1630E"/>
    <w:rsid w:val="00D20598"/>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4640E"/>
    <w:rsid w:val="00D518EC"/>
    <w:rsid w:val="00D528B8"/>
    <w:rsid w:val="00D54008"/>
    <w:rsid w:val="00D542EC"/>
    <w:rsid w:val="00D56329"/>
    <w:rsid w:val="00D56879"/>
    <w:rsid w:val="00D604B4"/>
    <w:rsid w:val="00D6090B"/>
    <w:rsid w:val="00D616AA"/>
    <w:rsid w:val="00D63F47"/>
    <w:rsid w:val="00D653F4"/>
    <w:rsid w:val="00D65CD4"/>
    <w:rsid w:val="00D66669"/>
    <w:rsid w:val="00D679F4"/>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B15"/>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2EB0"/>
    <w:rsid w:val="00DF45C4"/>
    <w:rsid w:val="00DF55FE"/>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E7E6D"/>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2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4DF"/>
    <w:rsid w:val="00F61792"/>
    <w:rsid w:val="00F624C4"/>
    <w:rsid w:val="00F63445"/>
    <w:rsid w:val="00F641B7"/>
    <w:rsid w:val="00F650BB"/>
    <w:rsid w:val="00F66601"/>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486"/>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A51C5"/>
  <w15:docId w15:val="{1EC2577A-C592-466C-97CB-699A4767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link w:val="Heading2Char"/>
    <w:unhideWhenUsed/>
    <w:qFormat/>
    <w:rsid w:val="00366FFA"/>
    <w:pPr>
      <w:keepNext/>
      <w:keepLines/>
      <w:spacing w:before="4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366FFA"/>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6FFA"/>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66FFA"/>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366FFA"/>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366FFA"/>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66FF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Heading2Char">
    <w:name w:val="Heading 2 Char"/>
    <w:basedOn w:val="DefaultParagraphFont"/>
    <w:link w:val="Heading2"/>
    <w:rsid w:val="00366FFA"/>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366FFA"/>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rsid w:val="00366FFA"/>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rsid w:val="00366FFA"/>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366FFA"/>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rsid w:val="00366FF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366FFA"/>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2084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D6DD-A3F2-4397-A924-37E148E5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Camilla Brandal 42078438</cp:lastModifiedBy>
  <cp:revision>4</cp:revision>
  <cp:lastPrinted>2018-08-22T16:08:00Z</cp:lastPrinted>
  <dcterms:created xsi:type="dcterms:W3CDTF">2018-08-30T14:15:00Z</dcterms:created>
  <dcterms:modified xsi:type="dcterms:W3CDTF">2018-09-04T12:19:00Z</dcterms:modified>
</cp:coreProperties>
</file>