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0.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5922592"/>
        <w:docPartObj>
          <w:docPartGallery w:val="Cover Pages"/>
          <w:docPartUnique/>
        </w:docPartObj>
      </w:sdtPr>
      <w:sdtEndPr/>
      <w:sdtContent>
        <w:p w14:paraId="75F95964" w14:textId="77777777" w:rsidR="007D3058" w:rsidRDefault="007D3058"/>
        <w:p w14:paraId="79E73A26" w14:textId="77777777" w:rsidR="007D3058" w:rsidRDefault="006A76B1">
          <w:r>
            <w:rPr>
              <w:noProof/>
              <w:lang w:eastAsia="en-GB"/>
            </w:rPr>
            <w:drawing>
              <wp:inline distT="0" distB="0" distL="0" distR="0" wp14:anchorId="5A9E0FCC" wp14:editId="7CD0F8F2">
                <wp:extent cx="1755775" cy="1645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r w:rsidR="007D3058">
            <w:rPr>
              <w:noProof/>
              <w:lang w:eastAsia="en-GB"/>
            </w:rPr>
            <mc:AlternateContent>
              <mc:Choice Requires="wpg">
                <w:drawing>
                  <wp:anchor distT="0" distB="0" distL="114300" distR="114300" simplePos="0" relativeHeight="251659264" behindDoc="1" locked="0" layoutInCell="1" allowOverlap="1" wp14:anchorId="77EB5512" wp14:editId="1A2B88C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C53C2E" w14:textId="77777777" w:rsidR="007D3058" w:rsidRDefault="001F4613">
                                  <w:pPr>
                                    <w:rPr>
                                      <w:color w:val="FFFFFF" w:themeColor="background1"/>
                                      <w:sz w:val="72"/>
                                      <w:szCs w:val="72"/>
                                    </w:rPr>
                                  </w:pPr>
                                  <w:sdt>
                                    <w:sdtPr>
                                      <w:rPr>
                                        <w:color w:val="FFFFFF" w:themeColor="background1"/>
                                        <w:sz w:val="72"/>
                                        <w:szCs w:val="72"/>
                                      </w:rPr>
                                      <w:alias w:val="Title"/>
                                      <w:tag w:val=""/>
                                      <w:id w:val="-717666410"/>
                                      <w:dataBinding w:prefixMappings="xmlns:ns0='http://purl.org/dc/elements/1.1/' xmlns:ns1='http://schemas.openxmlformats.org/package/2006/metadata/core-properties' " w:xpath="/ns1:coreProperties[1]/ns0:title[1]" w:storeItemID="{6C3C8BC8-F283-45AE-878A-BAB7291924A1}"/>
                                      <w:text/>
                                    </w:sdtPr>
                                    <w:sdtEndPr/>
                                    <w:sdtContent>
                                      <w:r w:rsidR="007D3058">
                                        <w:rPr>
                                          <w:color w:val="FFFFFF" w:themeColor="background1"/>
                                          <w:sz w:val="72"/>
                                          <w:szCs w:val="72"/>
                                        </w:rPr>
                                        <w:t>Essex County Fire and Rescue</w:t>
                                      </w:r>
                                      <w:r w:rsidR="000B50F5">
                                        <w:rPr>
                                          <w:color w:val="FFFFFF" w:themeColor="background1"/>
                                          <w:sz w:val="72"/>
                                          <w:szCs w:val="72"/>
                                        </w:rPr>
                                        <w:t xml:space="preserve"> Service</w:t>
                                      </w:r>
                                      <w:r w:rsidR="007D3058">
                                        <w:rPr>
                                          <w:color w:val="FFFFFF" w:themeColor="background1"/>
                                          <w:sz w:val="72"/>
                                          <w:szCs w:val="72"/>
                                        </w:rPr>
                                        <w:t xml:space="preserve"> –         Monthly Performance Summary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7EB5512"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6C53C2E" w14:textId="77777777" w:rsidR="007D3058" w:rsidRDefault="001F4613">
                            <w:pPr>
                              <w:rPr>
                                <w:color w:val="FFFFFF" w:themeColor="background1"/>
                                <w:sz w:val="72"/>
                                <w:szCs w:val="72"/>
                              </w:rPr>
                            </w:pPr>
                            <w:sdt>
                              <w:sdtPr>
                                <w:rPr>
                                  <w:color w:val="FFFFFF" w:themeColor="background1"/>
                                  <w:sz w:val="72"/>
                                  <w:szCs w:val="72"/>
                                </w:rPr>
                                <w:alias w:val="Title"/>
                                <w:tag w:val=""/>
                                <w:id w:val="-717666410"/>
                                <w:dataBinding w:prefixMappings="xmlns:ns0='http://purl.org/dc/elements/1.1/' xmlns:ns1='http://schemas.openxmlformats.org/package/2006/metadata/core-properties' " w:xpath="/ns1:coreProperties[1]/ns0:title[1]" w:storeItemID="{6C3C8BC8-F283-45AE-878A-BAB7291924A1}"/>
                                <w:text/>
                              </w:sdtPr>
                              <w:sdtEndPr/>
                              <w:sdtContent>
                                <w:r w:rsidR="007D3058">
                                  <w:rPr>
                                    <w:color w:val="FFFFFF" w:themeColor="background1"/>
                                    <w:sz w:val="72"/>
                                    <w:szCs w:val="72"/>
                                  </w:rPr>
                                  <w:t>Essex County Fire and Rescue</w:t>
                                </w:r>
                                <w:r w:rsidR="000B50F5">
                                  <w:rPr>
                                    <w:color w:val="FFFFFF" w:themeColor="background1"/>
                                    <w:sz w:val="72"/>
                                    <w:szCs w:val="72"/>
                                  </w:rPr>
                                  <w:t xml:space="preserve"> Service</w:t>
                                </w:r>
                                <w:r w:rsidR="007D3058">
                                  <w:rPr>
                                    <w:color w:val="FFFFFF" w:themeColor="background1"/>
                                    <w:sz w:val="72"/>
                                    <w:szCs w:val="72"/>
                                  </w:rPr>
                                  <w:t xml:space="preserve"> –         Monthly Performance Summary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7D3058">
            <w:rPr>
              <w:noProof/>
              <w:lang w:eastAsia="en-GB"/>
            </w:rPr>
            <mc:AlternateContent>
              <mc:Choice Requires="wps">
                <w:drawing>
                  <wp:anchor distT="0" distB="0" distL="114300" distR="114300" simplePos="0" relativeHeight="251661312" behindDoc="0" locked="0" layoutInCell="1" allowOverlap="1" wp14:anchorId="132C04A8" wp14:editId="1ABB4EE4">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56"/>
                                    <w:szCs w:val="56"/>
                                  </w:rPr>
                                  <w:alias w:val="Subtitle"/>
                                  <w:tag w:val=""/>
                                  <w:id w:val="-600176648"/>
                                  <w:dataBinding w:prefixMappings="xmlns:ns0='http://purl.org/dc/elements/1.1/' xmlns:ns1='http://schemas.openxmlformats.org/package/2006/metadata/core-properties' " w:xpath="/ns1:coreProperties[1]/ns0:subject[1]" w:storeItemID="{6C3C8BC8-F283-45AE-878A-BAB7291924A1}"/>
                                  <w:text/>
                                </w:sdtPr>
                                <w:sdtEndPr/>
                                <w:sdtContent>
                                  <w:p w14:paraId="087526A8" w14:textId="77777777" w:rsidR="007D3058" w:rsidRPr="00036DC7" w:rsidRDefault="005B1D15">
                                    <w:pPr>
                                      <w:pStyle w:val="NoSpacing"/>
                                      <w:spacing w:before="40" w:after="40"/>
                                      <w:rPr>
                                        <w:caps/>
                                        <w:color w:val="5B9BD5" w:themeColor="accent1"/>
                                        <w:sz w:val="56"/>
                                        <w:szCs w:val="56"/>
                                      </w:rPr>
                                    </w:pPr>
                                    <w:r>
                                      <w:rPr>
                                        <w:caps/>
                                        <w:color w:val="5B9BD5" w:themeColor="accent1"/>
                                        <w:sz w:val="56"/>
                                        <w:szCs w:val="56"/>
                                      </w:rPr>
                                      <w:t>July</w:t>
                                    </w:r>
                                    <w:r w:rsidR="00D2389B" w:rsidRPr="00036DC7">
                                      <w:rPr>
                                        <w:caps/>
                                        <w:color w:val="5B9BD5" w:themeColor="accent1"/>
                                        <w:sz w:val="56"/>
                                        <w:szCs w:val="56"/>
                                      </w:rPr>
                                      <w:t xml:space="preserve"> 2018</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158AE6F" w14:textId="77777777" w:rsidR="007D3058" w:rsidRDefault="007D3058">
                                    <w:pPr>
                                      <w:pStyle w:val="NoSpacing"/>
                                      <w:spacing w:before="40" w:after="40"/>
                                      <w:rPr>
                                        <w:caps/>
                                        <w:color w:val="4472C4" w:themeColor="accent5"/>
                                        <w:sz w:val="24"/>
                                        <w:szCs w:val="24"/>
                                      </w:rPr>
                                    </w:pPr>
                                    <w:r>
                                      <w:rPr>
                                        <w:caps/>
                                        <w:color w:val="4472C4" w:themeColor="accent5"/>
                                        <w:sz w:val="24"/>
                                        <w:szCs w:val="24"/>
                                      </w:rPr>
                                      <w:t>Charlie Elia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32C04A8"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56"/>
                              <w:szCs w:val="56"/>
                            </w:rPr>
                            <w:alias w:val="Subtitle"/>
                            <w:tag w:val=""/>
                            <w:id w:val="-600176648"/>
                            <w:dataBinding w:prefixMappings="xmlns:ns0='http://purl.org/dc/elements/1.1/' xmlns:ns1='http://schemas.openxmlformats.org/package/2006/metadata/core-properties' " w:xpath="/ns1:coreProperties[1]/ns0:subject[1]" w:storeItemID="{6C3C8BC8-F283-45AE-878A-BAB7291924A1}"/>
                            <w:text/>
                          </w:sdtPr>
                          <w:sdtEndPr/>
                          <w:sdtContent>
                            <w:p w14:paraId="087526A8" w14:textId="77777777" w:rsidR="007D3058" w:rsidRPr="00036DC7" w:rsidRDefault="005B1D15">
                              <w:pPr>
                                <w:pStyle w:val="NoSpacing"/>
                                <w:spacing w:before="40" w:after="40"/>
                                <w:rPr>
                                  <w:caps/>
                                  <w:color w:val="5B9BD5" w:themeColor="accent1"/>
                                  <w:sz w:val="56"/>
                                  <w:szCs w:val="56"/>
                                </w:rPr>
                              </w:pPr>
                              <w:r>
                                <w:rPr>
                                  <w:caps/>
                                  <w:color w:val="5B9BD5" w:themeColor="accent1"/>
                                  <w:sz w:val="56"/>
                                  <w:szCs w:val="56"/>
                                </w:rPr>
                                <w:t>July</w:t>
                              </w:r>
                              <w:r w:rsidR="00D2389B" w:rsidRPr="00036DC7">
                                <w:rPr>
                                  <w:caps/>
                                  <w:color w:val="5B9BD5" w:themeColor="accent1"/>
                                  <w:sz w:val="56"/>
                                  <w:szCs w:val="56"/>
                                </w:rPr>
                                <w:t xml:space="preserve"> 2018</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158AE6F" w14:textId="77777777" w:rsidR="007D3058" w:rsidRDefault="007D3058">
                              <w:pPr>
                                <w:pStyle w:val="NoSpacing"/>
                                <w:spacing w:before="40" w:after="40"/>
                                <w:rPr>
                                  <w:caps/>
                                  <w:color w:val="4472C4" w:themeColor="accent5"/>
                                  <w:sz w:val="24"/>
                                  <w:szCs w:val="24"/>
                                </w:rPr>
                              </w:pPr>
                              <w:r>
                                <w:rPr>
                                  <w:caps/>
                                  <w:color w:val="4472C4" w:themeColor="accent5"/>
                                  <w:sz w:val="24"/>
                                  <w:szCs w:val="24"/>
                                </w:rPr>
                                <w:t>Charlie Elia</w:t>
                              </w:r>
                            </w:p>
                          </w:sdtContent>
                        </w:sdt>
                      </w:txbxContent>
                    </v:textbox>
                    <w10:wrap type="square" anchorx="page" anchory="page"/>
                  </v:shape>
                </w:pict>
              </mc:Fallback>
            </mc:AlternateContent>
          </w:r>
          <w:r w:rsidR="007D3058">
            <w:rPr>
              <w:noProof/>
              <w:lang w:eastAsia="en-GB"/>
            </w:rPr>
            <mc:AlternateContent>
              <mc:Choice Requires="wps">
                <w:drawing>
                  <wp:anchor distT="0" distB="0" distL="114300" distR="114300" simplePos="0" relativeHeight="251660288" behindDoc="0" locked="0" layoutInCell="1" allowOverlap="1" wp14:anchorId="1ECE3A9A" wp14:editId="68AADB24">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63686920"/>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3C03210E" w14:textId="77777777" w:rsidR="007D3058" w:rsidRDefault="006A76B1">
                                    <w:pPr>
                                      <w:pStyle w:val="NoSpacing"/>
                                      <w:jc w:val="right"/>
                                      <w:rPr>
                                        <w:color w:val="FFFFFF" w:themeColor="background1"/>
                                        <w:sz w:val="24"/>
                                        <w:szCs w:val="24"/>
                                      </w:rPr>
                                    </w:pPr>
                                    <w:r>
                                      <w:rPr>
                                        <w:color w:val="FFFFFF" w:themeColor="background1"/>
                                        <w:sz w:val="24"/>
                                        <w:szCs w:val="24"/>
                                      </w:rPr>
                                      <w:t>201</w:t>
                                    </w:r>
                                    <w:r w:rsidR="00D2389B">
                                      <w:rPr>
                                        <w:color w:val="FFFFFF" w:themeColor="background1"/>
                                        <w:sz w:val="24"/>
                                        <w:szCs w:val="24"/>
                                      </w:rPr>
                                      <w:t>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ECE3A9A"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763686920"/>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3C03210E" w14:textId="77777777" w:rsidR="007D3058" w:rsidRDefault="006A76B1">
                              <w:pPr>
                                <w:pStyle w:val="NoSpacing"/>
                                <w:jc w:val="right"/>
                                <w:rPr>
                                  <w:color w:val="FFFFFF" w:themeColor="background1"/>
                                  <w:sz w:val="24"/>
                                  <w:szCs w:val="24"/>
                                </w:rPr>
                              </w:pPr>
                              <w:r>
                                <w:rPr>
                                  <w:color w:val="FFFFFF" w:themeColor="background1"/>
                                  <w:sz w:val="24"/>
                                  <w:szCs w:val="24"/>
                                </w:rPr>
                                <w:t>201</w:t>
                              </w:r>
                              <w:r w:rsidR="00D2389B">
                                <w:rPr>
                                  <w:color w:val="FFFFFF" w:themeColor="background1"/>
                                  <w:sz w:val="24"/>
                                  <w:szCs w:val="24"/>
                                </w:rPr>
                                <w:t>8</w:t>
                              </w:r>
                            </w:p>
                          </w:sdtContent>
                        </w:sdt>
                      </w:txbxContent>
                    </v:textbox>
                    <w10:wrap anchorx="margin" anchory="page"/>
                  </v:rect>
                </w:pict>
              </mc:Fallback>
            </mc:AlternateContent>
          </w:r>
          <w:r w:rsidR="007D3058">
            <w:br w:type="page"/>
          </w:r>
        </w:p>
      </w:sdtContent>
    </w:sdt>
    <w:p w14:paraId="36AEC881" w14:textId="77777777" w:rsidR="007D3058" w:rsidRDefault="007D3058"/>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652AF1" w14:paraId="6BC39DC1" w14:textId="77777777" w:rsidTr="007D3058">
        <w:trPr>
          <w:trHeight w:val="1480"/>
        </w:trPr>
        <w:tc>
          <w:tcPr>
            <w:tcW w:w="16727" w:type="dxa"/>
            <w:shd w:val="clear" w:color="auto" w:fill="44546A" w:themeFill="text2"/>
          </w:tcPr>
          <w:p w14:paraId="6A4ECAB6" w14:textId="77777777" w:rsidR="00652AF1" w:rsidRDefault="007D3058" w:rsidP="007D3058">
            <w:pPr>
              <w:jc w:val="right"/>
            </w:pPr>
            <w:r>
              <w:rPr>
                <w:noProof/>
                <w:lang w:eastAsia="en-GB"/>
              </w:rPr>
              <w:drawing>
                <wp:inline distT="0" distB="0" distL="0" distR="0" wp14:anchorId="7DA5F2EE" wp14:editId="62658227">
                  <wp:extent cx="1755775" cy="1645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4A87D5B2" w14:textId="77777777" w:rsidR="000555FF" w:rsidRDefault="000555FF"/>
    <w:tbl>
      <w:tblPr>
        <w:tblStyle w:val="TableGrid"/>
        <w:tblW w:w="14387" w:type="dxa"/>
        <w:tblLook w:val="04A0" w:firstRow="1" w:lastRow="0" w:firstColumn="1" w:lastColumn="0" w:noHBand="0" w:noVBand="1"/>
      </w:tblPr>
      <w:tblGrid>
        <w:gridCol w:w="1838"/>
        <w:gridCol w:w="12549"/>
      </w:tblGrid>
      <w:tr w:rsidR="00D153B7" w14:paraId="7EB98280" w14:textId="77777777" w:rsidTr="005500B5">
        <w:trPr>
          <w:trHeight w:val="647"/>
        </w:trPr>
        <w:tc>
          <w:tcPr>
            <w:tcW w:w="1838" w:type="dxa"/>
          </w:tcPr>
          <w:p w14:paraId="581DECBF" w14:textId="77777777" w:rsidR="00652AF1" w:rsidRPr="007F56A4" w:rsidRDefault="003C49A0" w:rsidP="00652AF1">
            <w:pPr>
              <w:rPr>
                <w:b/>
                <w:sz w:val="24"/>
                <w:szCs w:val="24"/>
              </w:rPr>
            </w:pPr>
            <w:r w:rsidRPr="007F56A4">
              <w:rPr>
                <w:b/>
                <w:sz w:val="24"/>
                <w:szCs w:val="24"/>
              </w:rPr>
              <w:t>Incident Numbers</w:t>
            </w:r>
          </w:p>
        </w:tc>
        <w:tc>
          <w:tcPr>
            <w:tcW w:w="12549" w:type="dxa"/>
          </w:tcPr>
          <w:p w14:paraId="0F10487C" w14:textId="77777777" w:rsidR="00652AF1" w:rsidRDefault="00652AF1" w:rsidP="00652AF1">
            <w:pPr>
              <w:rPr>
                <w:noProof/>
                <w:lang w:eastAsia="en-GB"/>
              </w:rPr>
            </w:pPr>
          </w:p>
        </w:tc>
      </w:tr>
      <w:tr w:rsidR="00D153B7" w14:paraId="66EEE0DD" w14:textId="77777777" w:rsidTr="005500B5">
        <w:trPr>
          <w:trHeight w:val="4965"/>
        </w:trPr>
        <w:tc>
          <w:tcPr>
            <w:tcW w:w="1838" w:type="dxa"/>
          </w:tcPr>
          <w:p w14:paraId="2DD07751" w14:textId="77777777" w:rsidR="00652AF1" w:rsidRDefault="00652AF1" w:rsidP="00652AF1"/>
          <w:p w14:paraId="317E19FF" w14:textId="77777777" w:rsidR="00EC4DDD" w:rsidRDefault="00EC4DDD" w:rsidP="00652AF1"/>
          <w:p w14:paraId="4DB80E9F" w14:textId="77777777" w:rsidR="00D04525" w:rsidRDefault="002B23DB" w:rsidP="00652AF1">
            <w:r>
              <w:t xml:space="preserve">Incident numbers </w:t>
            </w:r>
            <w:r w:rsidR="006F173E">
              <w:t>increased</w:t>
            </w:r>
            <w:r>
              <w:t xml:space="preserve"> by </w:t>
            </w:r>
            <w:r w:rsidR="007B604F">
              <w:t>33</w:t>
            </w:r>
            <w:r>
              <w:t xml:space="preserve">% in </w:t>
            </w:r>
            <w:r w:rsidR="007B604F">
              <w:t>July</w:t>
            </w:r>
            <w:r>
              <w:t xml:space="preserve"> to </w:t>
            </w:r>
            <w:r w:rsidR="007B604F">
              <w:t>1829</w:t>
            </w:r>
            <w:r>
              <w:t xml:space="preserve"> (from </w:t>
            </w:r>
            <w:r w:rsidR="009427F5">
              <w:t>1379 last</w:t>
            </w:r>
            <w:r w:rsidR="001804D1">
              <w:t xml:space="preserve"> month</w:t>
            </w:r>
            <w:r w:rsidR="00FE3408">
              <w:t>)</w:t>
            </w:r>
            <w:r w:rsidR="001804D1">
              <w:t xml:space="preserve">. </w:t>
            </w:r>
            <w:r>
              <w:t xml:space="preserve"> </w:t>
            </w:r>
            <w:r w:rsidR="001804D1">
              <w:t>On</w:t>
            </w:r>
            <w:r>
              <w:t xml:space="preserve"> a </w:t>
            </w:r>
            <w:r w:rsidR="000D553C">
              <w:t>day-by-day</w:t>
            </w:r>
            <w:r>
              <w:t xml:space="preserve"> calculation, </w:t>
            </w:r>
            <w:r w:rsidR="007B604F">
              <w:t>July</w:t>
            </w:r>
            <w:r w:rsidR="001804D1" w:rsidRPr="001804D1">
              <w:t xml:space="preserve"> had on average </w:t>
            </w:r>
            <w:r w:rsidR="007B604F">
              <w:t>13</w:t>
            </w:r>
            <w:r w:rsidR="001804D1" w:rsidRPr="001804D1">
              <w:t xml:space="preserve"> incidents </w:t>
            </w:r>
            <w:r w:rsidR="00D34A8B">
              <w:t>more</w:t>
            </w:r>
            <w:r w:rsidRPr="001804D1">
              <w:t xml:space="preserve"> per day than </w:t>
            </w:r>
            <w:r w:rsidR="007B604F">
              <w:t>June</w:t>
            </w:r>
            <w:r w:rsidRPr="001804D1">
              <w:t>.</w:t>
            </w:r>
          </w:p>
          <w:p w14:paraId="2915D270" w14:textId="77777777" w:rsidR="00986125" w:rsidRDefault="00986125" w:rsidP="00652AF1"/>
          <w:p w14:paraId="4536E303" w14:textId="77777777" w:rsidR="00E418CA" w:rsidRDefault="00E418CA" w:rsidP="00652AF1"/>
          <w:p w14:paraId="65AFB923" w14:textId="77777777" w:rsidR="00E418CA" w:rsidRDefault="00E418CA" w:rsidP="00652AF1"/>
          <w:p w14:paraId="215E65C2" w14:textId="77777777" w:rsidR="00E418CA" w:rsidRDefault="00E418CA" w:rsidP="00652AF1"/>
        </w:tc>
        <w:tc>
          <w:tcPr>
            <w:tcW w:w="12549" w:type="dxa"/>
          </w:tcPr>
          <w:p w14:paraId="3D72887C" w14:textId="77777777" w:rsidR="009F522A" w:rsidRDefault="009F522A" w:rsidP="00FC6CA4">
            <w:r>
              <w:br/>
            </w:r>
          </w:p>
          <w:p w14:paraId="6DEAE20C" w14:textId="77777777" w:rsidR="009F522A" w:rsidRDefault="005500B5" w:rsidP="00FC6CA4">
            <w:r>
              <w:rPr>
                <w:noProof/>
                <w:lang w:eastAsia="en-GB"/>
              </w:rPr>
              <w:drawing>
                <wp:inline distT="0" distB="0" distL="0" distR="0" wp14:anchorId="6B3F0F5F" wp14:editId="6D3D9D5B">
                  <wp:extent cx="7581900" cy="3152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5357DE3" w14:textId="77777777" w:rsidR="00F84778" w:rsidRDefault="00F84778" w:rsidP="00652AF1"/>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F84778" w14:paraId="3946D70B" w14:textId="77777777" w:rsidTr="002C52E0">
        <w:trPr>
          <w:trHeight w:val="1480"/>
        </w:trPr>
        <w:tc>
          <w:tcPr>
            <w:tcW w:w="16727" w:type="dxa"/>
            <w:shd w:val="clear" w:color="auto" w:fill="44546A" w:themeFill="text2"/>
          </w:tcPr>
          <w:p w14:paraId="202B541E" w14:textId="77777777" w:rsidR="00F84778" w:rsidRDefault="00F84778" w:rsidP="002C52E0">
            <w:pPr>
              <w:jc w:val="right"/>
            </w:pPr>
            <w:r>
              <w:rPr>
                <w:noProof/>
                <w:lang w:eastAsia="en-GB"/>
              </w:rPr>
              <w:drawing>
                <wp:inline distT="0" distB="0" distL="0" distR="0" wp14:anchorId="6FCA90FC" wp14:editId="49290729">
                  <wp:extent cx="1755775" cy="16459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6DB49A29" w14:textId="77777777" w:rsidR="00F84778" w:rsidRDefault="00F84778"/>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D109B1" w14:paraId="222263F5" w14:textId="77777777" w:rsidTr="002C52E0">
        <w:trPr>
          <w:trHeight w:val="1480"/>
        </w:trPr>
        <w:tc>
          <w:tcPr>
            <w:tcW w:w="16727" w:type="dxa"/>
            <w:shd w:val="clear" w:color="auto" w:fill="44546A" w:themeFill="text2"/>
          </w:tcPr>
          <w:p w14:paraId="448AF694" w14:textId="77777777" w:rsidR="00D109B1" w:rsidRDefault="00D109B1" w:rsidP="002C52E0">
            <w:pPr>
              <w:jc w:val="right"/>
            </w:pPr>
            <w:r>
              <w:rPr>
                <w:noProof/>
                <w:lang w:eastAsia="en-GB"/>
              </w:rPr>
              <w:lastRenderedPageBreak/>
              <w:drawing>
                <wp:inline distT="0" distB="0" distL="0" distR="0" wp14:anchorId="46049439" wp14:editId="38B730DD">
                  <wp:extent cx="1755775" cy="1645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pPr w:leftFromText="180" w:rightFromText="180" w:vertAnchor="page" w:horzAnchor="margin" w:tblpY="3091"/>
        <w:tblW w:w="14557" w:type="dxa"/>
        <w:tblLayout w:type="fixed"/>
        <w:tblLook w:val="04A0" w:firstRow="1" w:lastRow="0" w:firstColumn="1" w:lastColumn="0" w:noHBand="0" w:noVBand="1"/>
      </w:tblPr>
      <w:tblGrid>
        <w:gridCol w:w="1980"/>
        <w:gridCol w:w="12577"/>
      </w:tblGrid>
      <w:tr w:rsidR="00F84778" w14:paraId="1A6C6B2B" w14:textId="77777777" w:rsidTr="005500B5">
        <w:trPr>
          <w:trHeight w:val="391"/>
        </w:trPr>
        <w:tc>
          <w:tcPr>
            <w:tcW w:w="1980" w:type="dxa"/>
          </w:tcPr>
          <w:p w14:paraId="1C617FD4" w14:textId="77777777" w:rsidR="00F84778" w:rsidRPr="0086353A" w:rsidRDefault="00B50A30" w:rsidP="00D109B1">
            <w:pPr>
              <w:rPr>
                <w:sz w:val="24"/>
                <w:szCs w:val="24"/>
              </w:rPr>
            </w:pPr>
            <w:r>
              <w:rPr>
                <w:b/>
                <w:sz w:val="24"/>
                <w:szCs w:val="24"/>
              </w:rPr>
              <w:t>Incident attendance</w:t>
            </w:r>
            <w:r w:rsidR="00F84778" w:rsidRPr="0086353A">
              <w:rPr>
                <w:b/>
                <w:sz w:val="24"/>
                <w:szCs w:val="24"/>
              </w:rPr>
              <w:t xml:space="preserve"> </w:t>
            </w:r>
            <w:r w:rsidR="008661D2" w:rsidRPr="0086353A">
              <w:rPr>
                <w:b/>
                <w:sz w:val="24"/>
                <w:szCs w:val="24"/>
              </w:rPr>
              <w:t>by</w:t>
            </w:r>
            <w:r w:rsidR="00F84778" w:rsidRPr="0086353A">
              <w:rPr>
                <w:b/>
                <w:sz w:val="24"/>
                <w:szCs w:val="24"/>
              </w:rPr>
              <w:t xml:space="preserve"> Station</w:t>
            </w:r>
          </w:p>
        </w:tc>
        <w:tc>
          <w:tcPr>
            <w:tcW w:w="12577" w:type="dxa"/>
          </w:tcPr>
          <w:p w14:paraId="6371A8FA" w14:textId="77777777" w:rsidR="00F84778" w:rsidRDefault="00F84778" w:rsidP="00D109B1"/>
        </w:tc>
      </w:tr>
      <w:tr w:rsidR="00F84778" w14:paraId="3389D0F1" w14:textId="77777777" w:rsidTr="005500B5">
        <w:trPr>
          <w:trHeight w:val="5978"/>
        </w:trPr>
        <w:tc>
          <w:tcPr>
            <w:tcW w:w="1980" w:type="dxa"/>
          </w:tcPr>
          <w:p w14:paraId="4C581D1F" w14:textId="77777777" w:rsidR="00882834" w:rsidRDefault="00882834" w:rsidP="00D109B1"/>
          <w:p w14:paraId="6B62198F" w14:textId="77777777" w:rsidR="00663D99" w:rsidRDefault="00663D99" w:rsidP="00D109B1">
            <w:r>
              <w:t>This report counts the number of times each station was mobilised</w:t>
            </w:r>
            <w:r w:rsidR="00C6509D">
              <w:t xml:space="preserve"> </w:t>
            </w:r>
            <w:r w:rsidR="000B50F5">
              <w:t>during</w:t>
            </w:r>
            <w:r w:rsidR="00C6509D">
              <w:t xml:space="preserve"> the month of </w:t>
            </w:r>
            <w:r w:rsidR="00A33BDC">
              <w:t>July</w:t>
            </w:r>
            <w:r w:rsidR="00857179">
              <w:t>.</w:t>
            </w:r>
            <w:r w:rsidR="0074285A">
              <w:t>*</w:t>
            </w:r>
            <w:r>
              <w:t xml:space="preserve">  </w:t>
            </w:r>
          </w:p>
          <w:p w14:paraId="2D7B60FC" w14:textId="77777777" w:rsidR="009966CA" w:rsidRDefault="00A22265" w:rsidP="002B23DB">
            <w:r w:rsidRPr="001804D1">
              <w:rPr>
                <w:color w:val="FF0000"/>
              </w:rPr>
              <w:br/>
            </w:r>
            <w:r w:rsidR="00D16514">
              <w:t xml:space="preserve"> </w:t>
            </w:r>
          </w:p>
        </w:tc>
        <w:tc>
          <w:tcPr>
            <w:tcW w:w="12577" w:type="dxa"/>
          </w:tcPr>
          <w:p w14:paraId="71447BE2" w14:textId="77777777" w:rsidR="0086353A" w:rsidRDefault="0086353A" w:rsidP="00D109B1"/>
          <w:p w14:paraId="6B519339" w14:textId="77777777" w:rsidR="00663D99" w:rsidRDefault="005500B5" w:rsidP="000D553C">
            <w:r>
              <w:rPr>
                <w:noProof/>
                <w:lang w:eastAsia="en-GB"/>
              </w:rPr>
              <w:drawing>
                <wp:inline distT="0" distB="0" distL="0" distR="0" wp14:anchorId="66DA662D" wp14:editId="503DF6F3">
                  <wp:extent cx="7877175" cy="32194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D2DD4">
              <w:t>*</w:t>
            </w:r>
            <w:r w:rsidR="00CD2DD4" w:rsidRPr="00CD2DD4">
              <w:rPr>
                <w:sz w:val="16"/>
                <w:szCs w:val="16"/>
              </w:rPr>
              <w:t>Where</w:t>
            </w:r>
            <w:r w:rsidR="0074285A">
              <w:rPr>
                <w:sz w:val="16"/>
                <w:szCs w:val="16"/>
              </w:rPr>
              <w:t>ver</w:t>
            </w:r>
            <w:r w:rsidR="00CD2DD4" w:rsidRPr="00CD2DD4">
              <w:rPr>
                <w:sz w:val="16"/>
                <w:szCs w:val="16"/>
              </w:rPr>
              <w:t xml:space="preserve"> an inc</w:t>
            </w:r>
            <w:r w:rsidR="00CD2DD4">
              <w:rPr>
                <w:sz w:val="16"/>
                <w:szCs w:val="16"/>
              </w:rPr>
              <w:t xml:space="preserve">ident required mobilisation from more than one station, </w:t>
            </w:r>
            <w:r w:rsidR="00036DC7">
              <w:rPr>
                <w:sz w:val="16"/>
                <w:szCs w:val="16"/>
              </w:rPr>
              <w:t xml:space="preserve">an additional count is </w:t>
            </w:r>
            <w:r w:rsidR="000D553C">
              <w:rPr>
                <w:sz w:val="16"/>
                <w:szCs w:val="16"/>
              </w:rPr>
              <w:t>recorded</w:t>
            </w:r>
            <w:r w:rsidR="00FE3408">
              <w:rPr>
                <w:sz w:val="16"/>
                <w:szCs w:val="16"/>
              </w:rPr>
              <w:t>.</w:t>
            </w:r>
          </w:p>
        </w:tc>
      </w:tr>
    </w:tbl>
    <w:p w14:paraId="4921824B" w14:textId="77777777" w:rsidR="00652AF1" w:rsidRDefault="00652AF1" w:rsidP="00663D99"/>
    <w:p w14:paraId="259061CC" w14:textId="77777777" w:rsidR="00652AF1" w:rsidRDefault="00652AF1"/>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1D00CA" w14:paraId="5CC1B2C4" w14:textId="77777777" w:rsidTr="002C52E0">
        <w:trPr>
          <w:trHeight w:val="1480"/>
        </w:trPr>
        <w:tc>
          <w:tcPr>
            <w:tcW w:w="16727" w:type="dxa"/>
            <w:shd w:val="clear" w:color="auto" w:fill="44546A" w:themeFill="text2"/>
          </w:tcPr>
          <w:p w14:paraId="2F048DD3" w14:textId="77777777" w:rsidR="001D00CA" w:rsidRDefault="001D00CA" w:rsidP="002C52E0">
            <w:pPr>
              <w:jc w:val="right"/>
            </w:pPr>
            <w:r>
              <w:rPr>
                <w:noProof/>
                <w:lang w:eastAsia="en-GB"/>
              </w:rPr>
              <w:lastRenderedPageBreak/>
              <w:drawing>
                <wp:inline distT="0" distB="0" distL="0" distR="0" wp14:anchorId="72E92CD7" wp14:editId="766A1EF3">
                  <wp:extent cx="1755775" cy="1645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pPr w:leftFromText="180" w:rightFromText="180" w:vertAnchor="page" w:horzAnchor="margin" w:tblpY="3301"/>
        <w:tblW w:w="0" w:type="auto"/>
        <w:tblLook w:val="04A0" w:firstRow="1" w:lastRow="0" w:firstColumn="1" w:lastColumn="0" w:noHBand="0" w:noVBand="1"/>
      </w:tblPr>
      <w:tblGrid>
        <w:gridCol w:w="3248"/>
        <w:gridCol w:w="10926"/>
      </w:tblGrid>
      <w:tr w:rsidR="001D00CA" w14:paraId="638B7682" w14:textId="77777777" w:rsidTr="005500B5">
        <w:trPr>
          <w:trHeight w:val="278"/>
        </w:trPr>
        <w:tc>
          <w:tcPr>
            <w:tcW w:w="3332" w:type="dxa"/>
          </w:tcPr>
          <w:p w14:paraId="0DF3DE40" w14:textId="77777777" w:rsidR="001D00CA" w:rsidRPr="007F56A4" w:rsidRDefault="001D00CA" w:rsidP="00B50A30">
            <w:pPr>
              <w:rPr>
                <w:b/>
                <w:sz w:val="24"/>
                <w:szCs w:val="24"/>
              </w:rPr>
            </w:pPr>
            <w:r w:rsidRPr="007F56A4">
              <w:rPr>
                <w:b/>
                <w:sz w:val="24"/>
                <w:szCs w:val="24"/>
              </w:rPr>
              <w:t>Response Time</w:t>
            </w:r>
          </w:p>
        </w:tc>
        <w:tc>
          <w:tcPr>
            <w:tcW w:w="10616" w:type="dxa"/>
          </w:tcPr>
          <w:p w14:paraId="5FA1F6F1" w14:textId="77777777" w:rsidR="001D00CA" w:rsidRDefault="001D00CA" w:rsidP="00B50A30"/>
        </w:tc>
      </w:tr>
      <w:tr w:rsidR="001D00CA" w14:paraId="43E7B53B" w14:textId="77777777" w:rsidTr="005500B5">
        <w:trPr>
          <w:trHeight w:val="6783"/>
        </w:trPr>
        <w:tc>
          <w:tcPr>
            <w:tcW w:w="3332" w:type="dxa"/>
          </w:tcPr>
          <w:p w14:paraId="784E35D6" w14:textId="77777777" w:rsidR="001D00CA" w:rsidRDefault="001D00CA" w:rsidP="00B50A30"/>
          <w:p w14:paraId="6B74400F" w14:textId="77777777" w:rsidR="008A0BD9" w:rsidRDefault="00332D07" w:rsidP="00B50A30">
            <w:r>
              <w:t>The average response time</w:t>
            </w:r>
            <w:r w:rsidR="002B23DB">
              <w:t xml:space="preserve"> in </w:t>
            </w:r>
            <w:r w:rsidR="00A33BDC">
              <w:t>July</w:t>
            </w:r>
            <w:r>
              <w:t xml:space="preserve"> was </w:t>
            </w:r>
            <w:r w:rsidR="00A33BDC">
              <w:t>10</w:t>
            </w:r>
            <w:r>
              <w:t xml:space="preserve"> minutes and </w:t>
            </w:r>
            <w:r w:rsidR="00A33BDC">
              <w:t>35</w:t>
            </w:r>
            <w:r>
              <w:t xml:space="preserve"> seconds.  </w:t>
            </w:r>
          </w:p>
          <w:p w14:paraId="65CA8040" w14:textId="77777777" w:rsidR="008A0BD9" w:rsidRDefault="008A0BD9" w:rsidP="00B50A30"/>
          <w:p w14:paraId="24A6FA62" w14:textId="77777777" w:rsidR="00A33BDC" w:rsidRDefault="00332D07" w:rsidP="00B50A30">
            <w:r>
              <w:t xml:space="preserve">This is </w:t>
            </w:r>
            <w:r w:rsidR="00A33BDC">
              <w:t>42</w:t>
            </w:r>
            <w:r w:rsidR="001804D1">
              <w:t xml:space="preserve"> seconds </w:t>
            </w:r>
            <w:r w:rsidR="00A33BDC">
              <w:t>slower</w:t>
            </w:r>
            <w:r w:rsidR="00AD143D">
              <w:t xml:space="preserve"> </w:t>
            </w:r>
            <w:r w:rsidR="001804D1">
              <w:t xml:space="preserve">than </w:t>
            </w:r>
            <w:r w:rsidR="00FC2143">
              <w:t>the previous month</w:t>
            </w:r>
            <w:r w:rsidR="00995C17">
              <w:t xml:space="preserve"> and is the </w:t>
            </w:r>
            <w:r w:rsidR="00590E15">
              <w:t xml:space="preserve">longest </w:t>
            </w:r>
            <w:r w:rsidR="00995C17">
              <w:t xml:space="preserve">average response time since last August. </w:t>
            </w:r>
          </w:p>
          <w:p w14:paraId="34E040FE" w14:textId="77777777" w:rsidR="008464D5" w:rsidRPr="005500B5" w:rsidRDefault="000E50EB" w:rsidP="00283A25">
            <w:pPr>
              <w:rPr>
                <w:color w:val="FF0000"/>
              </w:rPr>
            </w:pPr>
            <w:r w:rsidRPr="00AD143D">
              <w:rPr>
                <w:color w:val="FF0000"/>
              </w:rPr>
              <w:br/>
            </w:r>
            <w:r w:rsidRPr="006A003B">
              <w:t xml:space="preserve">There </w:t>
            </w:r>
            <w:r w:rsidR="00283A25">
              <w:t>were 3</w:t>
            </w:r>
            <w:r w:rsidRPr="006A003B">
              <w:t xml:space="preserve"> incident</w:t>
            </w:r>
            <w:r w:rsidR="00283A25">
              <w:t>s</w:t>
            </w:r>
            <w:r w:rsidRPr="006A003B">
              <w:t xml:space="preserve"> that took longer than an hour to respond to</w:t>
            </w:r>
            <w:r w:rsidR="00283A25">
              <w:t>,</w:t>
            </w:r>
            <w:r w:rsidR="00EA0EA9">
              <w:t xml:space="preserve"> </w:t>
            </w:r>
            <w:r w:rsidR="00993B8A" w:rsidRPr="006A003B">
              <w:t>and</w:t>
            </w:r>
            <w:r w:rsidR="006A003B" w:rsidRPr="006A003B">
              <w:t xml:space="preserve"> </w:t>
            </w:r>
            <w:r w:rsidR="00283A25">
              <w:t>these have</w:t>
            </w:r>
            <w:r w:rsidRPr="006A003B">
              <w:t xml:space="preserve"> been excluded from </w:t>
            </w:r>
            <w:r w:rsidR="00283A25">
              <w:t>July’s</w:t>
            </w:r>
            <w:r w:rsidRPr="006A003B">
              <w:t xml:space="preserve"> calculation. </w:t>
            </w:r>
            <w:r w:rsidR="00993B8A" w:rsidRPr="006A003B">
              <w:t xml:space="preserve">If </w:t>
            </w:r>
            <w:r w:rsidR="00283A25">
              <w:t>they</w:t>
            </w:r>
            <w:r w:rsidR="00993B8A" w:rsidRPr="006A003B">
              <w:t xml:space="preserve"> had</w:t>
            </w:r>
            <w:r w:rsidRPr="006A003B">
              <w:t xml:space="preserve"> been </w:t>
            </w:r>
            <w:r w:rsidR="00EA0EA9" w:rsidRPr="006A003B">
              <w:t>included,</w:t>
            </w:r>
            <w:r w:rsidRPr="006A003B">
              <w:t xml:space="preserve"> the average response time would have been </w:t>
            </w:r>
            <w:r w:rsidR="00283A25">
              <w:t>10</w:t>
            </w:r>
            <w:r w:rsidR="006A003B" w:rsidRPr="006A003B">
              <w:t xml:space="preserve"> minutes and </w:t>
            </w:r>
            <w:r w:rsidR="00283A25">
              <w:t>42</w:t>
            </w:r>
            <w:r w:rsidR="006A003B" w:rsidRPr="006A003B">
              <w:t xml:space="preserve"> seconds.</w:t>
            </w:r>
          </w:p>
        </w:tc>
        <w:tc>
          <w:tcPr>
            <w:tcW w:w="10616" w:type="dxa"/>
          </w:tcPr>
          <w:p w14:paraId="1A2A1D61" w14:textId="77777777" w:rsidR="001D00CA" w:rsidRDefault="001D00CA" w:rsidP="00B50A30"/>
          <w:p w14:paraId="5CB5C231" w14:textId="77777777" w:rsidR="001D00CA" w:rsidRPr="005500B5" w:rsidRDefault="005500B5" w:rsidP="00B50A30">
            <w:pPr>
              <w:rPr>
                <w:sz w:val="16"/>
                <w:szCs w:val="16"/>
              </w:rPr>
            </w:pPr>
            <w:r>
              <w:rPr>
                <w:noProof/>
                <w:lang w:eastAsia="en-GB"/>
              </w:rPr>
              <w:drawing>
                <wp:inline distT="0" distB="0" distL="0" distR="0" wp14:anchorId="60325161" wp14:editId="0568CEE2">
                  <wp:extent cx="6800850" cy="35433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5236D">
              <w:br/>
              <w:t>*</w:t>
            </w:r>
            <w:r w:rsidR="00E5236D" w:rsidRPr="00E5236D">
              <w:rPr>
                <w:sz w:val="16"/>
                <w:szCs w:val="16"/>
              </w:rPr>
              <w:t xml:space="preserve"> Any incident that is </w:t>
            </w:r>
            <w:r w:rsidR="00496C76">
              <w:rPr>
                <w:sz w:val="16"/>
                <w:szCs w:val="16"/>
              </w:rPr>
              <w:t>managed locally</w:t>
            </w:r>
            <w:r w:rsidR="00E5236D" w:rsidRPr="00E5236D">
              <w:rPr>
                <w:sz w:val="16"/>
                <w:szCs w:val="16"/>
              </w:rPr>
              <w:t xml:space="preserve"> at a Fire Station</w:t>
            </w:r>
            <w:r w:rsidR="00E0496D">
              <w:rPr>
                <w:sz w:val="16"/>
                <w:szCs w:val="16"/>
              </w:rPr>
              <w:t>,</w:t>
            </w:r>
            <w:r w:rsidR="00E5236D" w:rsidRPr="00E5236D">
              <w:rPr>
                <w:sz w:val="16"/>
                <w:szCs w:val="16"/>
              </w:rPr>
              <w:t xml:space="preserve"> (e.g. ring removal) and does not involve travel is not </w:t>
            </w:r>
            <w:r w:rsidR="00E5659C">
              <w:rPr>
                <w:sz w:val="16"/>
                <w:szCs w:val="16"/>
              </w:rPr>
              <w:t>recorded</w:t>
            </w:r>
            <w:r w:rsidR="00E5236D" w:rsidRPr="00E5236D">
              <w:rPr>
                <w:sz w:val="16"/>
                <w:szCs w:val="16"/>
              </w:rPr>
              <w:t>.</w:t>
            </w:r>
          </w:p>
        </w:tc>
      </w:tr>
    </w:tbl>
    <w:p w14:paraId="2B2073B3" w14:textId="77777777" w:rsidR="006D0056" w:rsidRDefault="006D0056" w:rsidP="006D0056"/>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6D0056" w14:paraId="761FCFC1" w14:textId="77777777" w:rsidTr="002C52E0">
        <w:trPr>
          <w:trHeight w:val="1480"/>
        </w:trPr>
        <w:tc>
          <w:tcPr>
            <w:tcW w:w="16727" w:type="dxa"/>
            <w:shd w:val="clear" w:color="auto" w:fill="44546A" w:themeFill="text2"/>
          </w:tcPr>
          <w:p w14:paraId="170356A6" w14:textId="77777777" w:rsidR="006D0056" w:rsidRDefault="006D0056" w:rsidP="002C52E0">
            <w:pPr>
              <w:jc w:val="right"/>
            </w:pPr>
            <w:r>
              <w:rPr>
                <w:noProof/>
                <w:lang w:eastAsia="en-GB"/>
              </w:rPr>
              <w:drawing>
                <wp:inline distT="0" distB="0" distL="0" distR="0" wp14:anchorId="20D56302" wp14:editId="35441254">
                  <wp:extent cx="1755775" cy="164592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3D721AD2" w14:textId="06BAF364" w:rsidR="00B50A30" w:rsidRDefault="00B50A30"/>
    <w:p w14:paraId="4D1800EB" w14:textId="285074B0" w:rsidR="000F66F7" w:rsidRDefault="000F66F7"/>
    <w:p w14:paraId="31995B61" w14:textId="40276021" w:rsidR="000F66F7" w:rsidRDefault="000F66F7"/>
    <w:p w14:paraId="419F993F" w14:textId="77777777" w:rsidR="001F4613" w:rsidRDefault="001F4613"/>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B50A30" w14:paraId="6F7EFEE6" w14:textId="77777777" w:rsidTr="002C52E0">
        <w:trPr>
          <w:trHeight w:val="1480"/>
        </w:trPr>
        <w:tc>
          <w:tcPr>
            <w:tcW w:w="16727" w:type="dxa"/>
            <w:shd w:val="clear" w:color="auto" w:fill="44546A" w:themeFill="text2"/>
          </w:tcPr>
          <w:p w14:paraId="5D7BBFEE" w14:textId="77777777" w:rsidR="00B50A30" w:rsidRDefault="00B50A30" w:rsidP="002C52E0">
            <w:pPr>
              <w:jc w:val="right"/>
            </w:pPr>
            <w:r>
              <w:rPr>
                <w:noProof/>
                <w:lang w:eastAsia="en-GB"/>
              </w:rPr>
              <w:drawing>
                <wp:inline distT="0" distB="0" distL="0" distR="0" wp14:anchorId="0F7FE8C0" wp14:editId="3910C51F">
                  <wp:extent cx="1755775"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W w:w="0" w:type="auto"/>
        <w:tblLook w:val="04A0" w:firstRow="1" w:lastRow="0" w:firstColumn="1" w:lastColumn="0" w:noHBand="0" w:noVBand="1"/>
      </w:tblPr>
      <w:tblGrid>
        <w:gridCol w:w="3388"/>
        <w:gridCol w:w="10596"/>
      </w:tblGrid>
      <w:tr w:rsidR="001D00CA" w14:paraId="77BC77EB" w14:textId="77777777" w:rsidTr="00252BEA">
        <w:tc>
          <w:tcPr>
            <w:tcW w:w="3388" w:type="dxa"/>
          </w:tcPr>
          <w:p w14:paraId="7605BDE7" w14:textId="77777777" w:rsidR="001D00CA" w:rsidRPr="007F56A4" w:rsidRDefault="00935BE4" w:rsidP="00097EC0">
            <w:pPr>
              <w:rPr>
                <w:b/>
                <w:sz w:val="24"/>
                <w:szCs w:val="24"/>
              </w:rPr>
            </w:pPr>
            <w:r w:rsidRPr="007F56A4">
              <w:rPr>
                <w:b/>
                <w:sz w:val="24"/>
                <w:szCs w:val="24"/>
              </w:rPr>
              <w:t>Response Times</w:t>
            </w:r>
            <w:r w:rsidR="00097EC0">
              <w:rPr>
                <w:b/>
                <w:sz w:val="24"/>
                <w:szCs w:val="24"/>
              </w:rPr>
              <w:t xml:space="preserve"> and Travel Distances </w:t>
            </w:r>
            <w:r w:rsidRPr="007F56A4">
              <w:rPr>
                <w:b/>
                <w:sz w:val="24"/>
                <w:szCs w:val="24"/>
              </w:rPr>
              <w:t xml:space="preserve">by Station </w:t>
            </w:r>
            <w:r w:rsidRPr="007F56A4">
              <w:rPr>
                <w:b/>
                <w:sz w:val="24"/>
                <w:szCs w:val="24"/>
              </w:rPr>
              <w:br/>
            </w:r>
            <w:r w:rsidR="001D00CA" w:rsidRPr="007F56A4">
              <w:rPr>
                <w:b/>
                <w:sz w:val="24"/>
                <w:szCs w:val="24"/>
              </w:rPr>
              <w:t>Whole Time</w:t>
            </w:r>
          </w:p>
        </w:tc>
        <w:tc>
          <w:tcPr>
            <w:tcW w:w="10560" w:type="dxa"/>
          </w:tcPr>
          <w:p w14:paraId="55534CF7" w14:textId="77777777" w:rsidR="001D00CA" w:rsidRDefault="001D00CA" w:rsidP="002C52E0"/>
        </w:tc>
      </w:tr>
      <w:tr w:rsidR="001D00CA" w14:paraId="6B29EB5D" w14:textId="77777777" w:rsidTr="00087083">
        <w:trPr>
          <w:trHeight w:val="5453"/>
        </w:trPr>
        <w:tc>
          <w:tcPr>
            <w:tcW w:w="3388" w:type="dxa"/>
          </w:tcPr>
          <w:p w14:paraId="14516A8F" w14:textId="77777777" w:rsidR="001D00CA" w:rsidRDefault="001D00CA" w:rsidP="002C52E0"/>
          <w:p w14:paraId="1271B0EA" w14:textId="77777777" w:rsidR="001D00CA" w:rsidRDefault="001D00CA" w:rsidP="002C52E0">
            <w:r>
              <w:t xml:space="preserve">This chart </w:t>
            </w:r>
            <w:r w:rsidR="009B06F2">
              <w:t>shows</w:t>
            </w:r>
            <w:r w:rsidR="00445428">
              <w:t xml:space="preserve"> average response times, from the time </w:t>
            </w:r>
            <w:r w:rsidR="00283A25">
              <w:t>the station was alerted</w:t>
            </w:r>
            <w:r>
              <w:t xml:space="preserve"> to </w:t>
            </w:r>
            <w:r w:rsidR="00B50A30">
              <w:t>the time a response unit arrived</w:t>
            </w:r>
            <w:r w:rsidR="00445428">
              <w:t xml:space="preserve"> </w:t>
            </w:r>
            <w:r>
              <w:t>at</w:t>
            </w:r>
            <w:r w:rsidR="00FA3D91">
              <w:t xml:space="preserve"> the</w:t>
            </w:r>
            <w:r>
              <w:t xml:space="preserve"> incident.  </w:t>
            </w:r>
          </w:p>
          <w:p w14:paraId="2E9CC6FE" w14:textId="77777777" w:rsidR="001E3C12" w:rsidRDefault="001E3C12" w:rsidP="002C52E0"/>
          <w:p w14:paraId="4F8ACAC6" w14:textId="77777777" w:rsidR="001D00CA" w:rsidRPr="000E50EB" w:rsidRDefault="00667A4D" w:rsidP="002C52E0">
            <w:r>
              <w:t>Leigh and Southend station</w:t>
            </w:r>
            <w:r w:rsidR="00283A25">
              <w:t>s were the fastest to respond to incidents.</w:t>
            </w:r>
            <w:r>
              <w:t xml:space="preserve"> </w:t>
            </w:r>
          </w:p>
          <w:p w14:paraId="1A91F93B" w14:textId="77777777" w:rsidR="00097EC0" w:rsidRPr="000E50EB" w:rsidRDefault="00097EC0" w:rsidP="002C52E0"/>
          <w:p w14:paraId="6D13041A" w14:textId="77777777" w:rsidR="001D00CA" w:rsidRDefault="00667A4D" w:rsidP="003E503B">
            <w:r>
              <w:t>Loughton</w:t>
            </w:r>
            <w:r w:rsidR="003E503B">
              <w:t xml:space="preserve"> and</w:t>
            </w:r>
            <w:r w:rsidR="001D00CA">
              <w:t xml:space="preserve"> </w:t>
            </w:r>
            <w:r w:rsidR="003E503B">
              <w:t xml:space="preserve">Brentwood </w:t>
            </w:r>
            <w:r w:rsidR="001D00CA">
              <w:t xml:space="preserve">stations </w:t>
            </w:r>
            <w:r w:rsidR="003E115E">
              <w:t xml:space="preserve">took the longest </w:t>
            </w:r>
            <w:r w:rsidR="001D00CA">
              <w:t>on average to attend</w:t>
            </w:r>
            <w:r w:rsidR="00007EA9">
              <w:t xml:space="preserve"> </w:t>
            </w:r>
            <w:r w:rsidR="003B6F8F">
              <w:t>incident</w:t>
            </w:r>
            <w:r w:rsidR="006B5ABC">
              <w:t>s</w:t>
            </w:r>
            <w:r w:rsidR="001D00CA">
              <w:t>.</w:t>
            </w:r>
          </w:p>
        </w:tc>
        <w:tc>
          <w:tcPr>
            <w:tcW w:w="10560" w:type="dxa"/>
          </w:tcPr>
          <w:p w14:paraId="0D915814" w14:textId="77777777" w:rsidR="00087083" w:rsidRDefault="00087083" w:rsidP="00FA3D91"/>
          <w:p w14:paraId="1BECA9D8" w14:textId="77777777" w:rsidR="00087083" w:rsidRDefault="00087083" w:rsidP="00FA3D91">
            <w:r>
              <w:rPr>
                <w:noProof/>
                <w:lang w:eastAsia="en-GB"/>
              </w:rPr>
              <w:drawing>
                <wp:inline distT="0" distB="0" distL="0" distR="0" wp14:anchorId="53671904" wp14:editId="353797BA">
                  <wp:extent cx="6581775" cy="300990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3C8E3F" w14:textId="77777777" w:rsidR="001D00CA" w:rsidRDefault="00CD2DD4" w:rsidP="00FA3D91">
            <w:r w:rsidRPr="00CD2DD4">
              <w:rPr>
                <w:sz w:val="16"/>
                <w:szCs w:val="16"/>
              </w:rPr>
              <w:t xml:space="preserve">Incident Numbers are only </w:t>
            </w:r>
            <w:r w:rsidR="00FA3D91">
              <w:rPr>
                <w:sz w:val="16"/>
                <w:szCs w:val="16"/>
              </w:rPr>
              <w:t>recorded</w:t>
            </w:r>
            <w:r w:rsidR="00FA3D91" w:rsidRPr="00CD2DD4">
              <w:rPr>
                <w:sz w:val="16"/>
                <w:szCs w:val="16"/>
              </w:rPr>
              <w:t xml:space="preserve"> </w:t>
            </w:r>
            <w:r w:rsidRPr="00CD2DD4">
              <w:rPr>
                <w:sz w:val="16"/>
                <w:szCs w:val="16"/>
              </w:rPr>
              <w:t>where the appliance was the first to arrive</w:t>
            </w:r>
            <w:r w:rsidR="00E5659C">
              <w:rPr>
                <w:sz w:val="16"/>
                <w:szCs w:val="16"/>
              </w:rPr>
              <w:br/>
            </w:r>
          </w:p>
        </w:tc>
      </w:tr>
    </w:tbl>
    <w:p w14:paraId="42373EE1" w14:textId="77777777" w:rsidR="006D0056" w:rsidRDefault="006D0056" w:rsidP="006D0056"/>
    <w:p w14:paraId="5C740D63" w14:textId="1247744F" w:rsidR="00D97F52" w:rsidRDefault="00D97F52" w:rsidP="006D0056"/>
    <w:p w14:paraId="5A45BB5C" w14:textId="15A086B8" w:rsidR="000F66F7" w:rsidRDefault="000F66F7" w:rsidP="006D0056"/>
    <w:p w14:paraId="4A5CFF8F" w14:textId="4E0392C9" w:rsidR="000F66F7" w:rsidRDefault="000F66F7" w:rsidP="006D0056"/>
    <w:p w14:paraId="7A22F764" w14:textId="3601A89B" w:rsidR="000F66F7" w:rsidRDefault="000F66F7" w:rsidP="006D0056"/>
    <w:p w14:paraId="086712F3" w14:textId="77777777" w:rsidR="00D97F52" w:rsidRDefault="00D97F52" w:rsidP="00D97F52"/>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D97F52" w14:paraId="67A89036" w14:textId="77777777" w:rsidTr="002C52E0">
        <w:trPr>
          <w:trHeight w:val="1480"/>
        </w:trPr>
        <w:tc>
          <w:tcPr>
            <w:tcW w:w="16727" w:type="dxa"/>
            <w:shd w:val="clear" w:color="auto" w:fill="44546A" w:themeFill="text2"/>
          </w:tcPr>
          <w:p w14:paraId="754EB5FD" w14:textId="77777777" w:rsidR="00D97F52" w:rsidRDefault="00D97F52" w:rsidP="002C52E0">
            <w:pPr>
              <w:jc w:val="right"/>
            </w:pPr>
            <w:r>
              <w:rPr>
                <w:noProof/>
                <w:lang w:eastAsia="en-GB"/>
              </w:rPr>
              <w:drawing>
                <wp:inline distT="0" distB="0" distL="0" distR="0" wp14:anchorId="30C49C47" wp14:editId="01AC243E">
                  <wp:extent cx="1755775" cy="1645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W w:w="0" w:type="auto"/>
        <w:tblLook w:val="04A0" w:firstRow="1" w:lastRow="0" w:firstColumn="1" w:lastColumn="0" w:noHBand="0" w:noVBand="1"/>
      </w:tblPr>
      <w:tblGrid>
        <w:gridCol w:w="2972"/>
        <w:gridCol w:w="10976"/>
      </w:tblGrid>
      <w:tr w:rsidR="00D97F52" w14:paraId="6709C25F" w14:textId="77777777" w:rsidTr="007B6F8A">
        <w:tc>
          <w:tcPr>
            <w:tcW w:w="2972" w:type="dxa"/>
          </w:tcPr>
          <w:p w14:paraId="48B157A3" w14:textId="77777777" w:rsidR="00D97F52" w:rsidRPr="007F56A4" w:rsidRDefault="00FD1154" w:rsidP="00FD1154">
            <w:pPr>
              <w:rPr>
                <w:b/>
                <w:sz w:val="24"/>
                <w:szCs w:val="24"/>
              </w:rPr>
            </w:pPr>
            <w:r>
              <w:rPr>
                <w:b/>
                <w:sz w:val="24"/>
                <w:szCs w:val="24"/>
              </w:rPr>
              <w:t>Percentage of Incidents attended with</w:t>
            </w:r>
            <w:r w:rsidR="004A4FC8">
              <w:rPr>
                <w:b/>
                <w:sz w:val="24"/>
                <w:szCs w:val="24"/>
              </w:rPr>
              <w:t>in</w:t>
            </w:r>
            <w:r>
              <w:rPr>
                <w:b/>
                <w:sz w:val="24"/>
                <w:szCs w:val="24"/>
              </w:rPr>
              <w:t xml:space="preserve"> 10 Minutes</w:t>
            </w:r>
          </w:p>
        </w:tc>
        <w:tc>
          <w:tcPr>
            <w:tcW w:w="10976" w:type="dxa"/>
          </w:tcPr>
          <w:p w14:paraId="567BD0E5" w14:textId="77777777" w:rsidR="00D97F52" w:rsidRDefault="00D97F52" w:rsidP="002C52E0"/>
        </w:tc>
      </w:tr>
      <w:tr w:rsidR="00D97F52" w14:paraId="5D1506E5" w14:textId="77777777" w:rsidTr="00087083">
        <w:tc>
          <w:tcPr>
            <w:tcW w:w="2972" w:type="dxa"/>
          </w:tcPr>
          <w:p w14:paraId="7C72A6E7" w14:textId="77777777" w:rsidR="00D97F52" w:rsidRDefault="00D97F52" w:rsidP="002C52E0"/>
          <w:p w14:paraId="5579D770" w14:textId="66F5B7D4" w:rsidR="00E160A0" w:rsidRPr="00097EC0" w:rsidRDefault="00D97F52" w:rsidP="00E160A0">
            <w:r w:rsidRPr="00097EC0">
              <w:t xml:space="preserve">This chart </w:t>
            </w:r>
            <w:r w:rsidR="00E160A0" w:rsidRPr="00097EC0">
              <w:t xml:space="preserve">shows </w:t>
            </w:r>
            <w:r w:rsidR="000B50F5" w:rsidRPr="00097EC0">
              <w:t>t</w:t>
            </w:r>
            <w:r w:rsidR="00E160A0" w:rsidRPr="00097EC0">
              <w:t>he number of incidents</w:t>
            </w:r>
            <w:r w:rsidR="004310A8">
              <w:t xml:space="preserve"> that the Station were first to attend </w:t>
            </w:r>
            <w:r w:rsidR="00E160A0" w:rsidRPr="00097EC0">
              <w:t xml:space="preserve"> </w:t>
            </w:r>
            <w:r w:rsidR="004310A8">
              <w:t xml:space="preserve">, </w:t>
            </w:r>
            <w:r w:rsidR="00E160A0" w:rsidRPr="00097EC0">
              <w:t xml:space="preserve">and the percentage </w:t>
            </w:r>
            <w:r w:rsidR="00CD71B7">
              <w:t xml:space="preserve">of those incidents </w:t>
            </w:r>
            <w:r w:rsidR="00E160A0" w:rsidRPr="00097EC0">
              <w:t xml:space="preserve">attended within 10 minutes. </w:t>
            </w:r>
            <w:r w:rsidR="00E160A0" w:rsidRPr="00097EC0">
              <w:br/>
            </w:r>
          </w:p>
          <w:p w14:paraId="3E4AD6B4" w14:textId="77777777" w:rsidR="00D97F52" w:rsidRPr="00097EC0" w:rsidRDefault="00FC2143" w:rsidP="00FC2143">
            <w:r w:rsidRPr="00097EC0">
              <w:t xml:space="preserve">Leigh Station for the </w:t>
            </w:r>
            <w:r w:rsidR="00AF0014">
              <w:t>third</w:t>
            </w:r>
            <w:r w:rsidRPr="00097EC0">
              <w:t xml:space="preserve"> consecutive month attended the highest percentage of calls within 10 minutes. (4</w:t>
            </w:r>
            <w:r w:rsidR="00AF0014">
              <w:t>3</w:t>
            </w:r>
            <w:r w:rsidRPr="00097EC0">
              <w:t xml:space="preserve"> of </w:t>
            </w:r>
            <w:r w:rsidR="00AF0014">
              <w:t>52</w:t>
            </w:r>
            <w:r w:rsidRPr="00097EC0">
              <w:t xml:space="preserve"> incidents)</w:t>
            </w:r>
            <w:r w:rsidR="00587AE2" w:rsidRPr="00097EC0">
              <w:t xml:space="preserve">  </w:t>
            </w:r>
          </w:p>
          <w:p w14:paraId="581B8A43" w14:textId="77777777" w:rsidR="00FC2143" w:rsidRDefault="00FC2143" w:rsidP="00FC2143"/>
        </w:tc>
        <w:tc>
          <w:tcPr>
            <w:tcW w:w="10976" w:type="dxa"/>
          </w:tcPr>
          <w:p w14:paraId="33940222" w14:textId="77777777" w:rsidR="00231B1F" w:rsidRDefault="00231B1F" w:rsidP="00C65607"/>
          <w:p w14:paraId="5022AB5E" w14:textId="77777777" w:rsidR="00D97F52" w:rsidRDefault="00087083" w:rsidP="00FA3D91">
            <w:r>
              <w:rPr>
                <w:noProof/>
                <w:lang w:eastAsia="en-GB"/>
              </w:rPr>
              <w:drawing>
                <wp:inline distT="0" distB="0" distL="0" distR="0" wp14:anchorId="43F706D6" wp14:editId="76CE0EF1">
                  <wp:extent cx="6819900" cy="2971800"/>
                  <wp:effectExtent l="0" t="0" r="0" b="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97F52">
              <w:br/>
            </w:r>
            <w:r w:rsidR="00D97F52" w:rsidRPr="00CD2DD4">
              <w:rPr>
                <w:sz w:val="16"/>
                <w:szCs w:val="16"/>
              </w:rPr>
              <w:t>Incident</w:t>
            </w:r>
            <w:r w:rsidR="004A4FC8">
              <w:rPr>
                <w:sz w:val="16"/>
                <w:szCs w:val="16"/>
              </w:rPr>
              <w:t>s</w:t>
            </w:r>
            <w:r w:rsidR="00D97F52" w:rsidRPr="00CD2DD4">
              <w:rPr>
                <w:sz w:val="16"/>
                <w:szCs w:val="16"/>
              </w:rPr>
              <w:t xml:space="preserve"> only </w:t>
            </w:r>
            <w:r w:rsidR="00FA3D91">
              <w:rPr>
                <w:sz w:val="16"/>
                <w:szCs w:val="16"/>
              </w:rPr>
              <w:t>recorded</w:t>
            </w:r>
            <w:r w:rsidR="00FA3D91" w:rsidRPr="00CD2DD4">
              <w:rPr>
                <w:sz w:val="16"/>
                <w:szCs w:val="16"/>
              </w:rPr>
              <w:t xml:space="preserve"> </w:t>
            </w:r>
            <w:r w:rsidR="00D97F52" w:rsidRPr="00CD2DD4">
              <w:rPr>
                <w:sz w:val="16"/>
                <w:szCs w:val="16"/>
              </w:rPr>
              <w:t>where the appliance was the first to arrive</w:t>
            </w:r>
          </w:p>
        </w:tc>
      </w:tr>
    </w:tbl>
    <w:p w14:paraId="0AB65F8E" w14:textId="77777777" w:rsidR="00231B1F" w:rsidRDefault="00231B1F" w:rsidP="006D0056"/>
    <w:p w14:paraId="6B60FCAA" w14:textId="77777777" w:rsidR="000F66F7" w:rsidRDefault="000F66F7" w:rsidP="006D0056"/>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C65607" w14:paraId="6DA158A4" w14:textId="77777777" w:rsidTr="002C52E0">
        <w:trPr>
          <w:trHeight w:val="1480"/>
        </w:trPr>
        <w:tc>
          <w:tcPr>
            <w:tcW w:w="16727" w:type="dxa"/>
            <w:shd w:val="clear" w:color="auto" w:fill="44546A" w:themeFill="text2"/>
          </w:tcPr>
          <w:p w14:paraId="117C6E54" w14:textId="77777777" w:rsidR="00C65607" w:rsidRDefault="00C65607" w:rsidP="002C52E0">
            <w:pPr>
              <w:jc w:val="right"/>
            </w:pPr>
            <w:r>
              <w:rPr>
                <w:noProof/>
                <w:lang w:eastAsia="en-GB"/>
              </w:rPr>
              <w:drawing>
                <wp:inline distT="0" distB="0" distL="0" distR="0" wp14:anchorId="5A20242B" wp14:editId="1E185FC3">
                  <wp:extent cx="1755775" cy="1645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pPr w:leftFromText="180" w:rightFromText="180" w:vertAnchor="page" w:horzAnchor="margin" w:tblpY="2761"/>
        <w:tblW w:w="15270" w:type="dxa"/>
        <w:tblLayout w:type="fixed"/>
        <w:tblLook w:val="04A0" w:firstRow="1" w:lastRow="0" w:firstColumn="1" w:lastColumn="0" w:noHBand="0" w:noVBand="1"/>
      </w:tblPr>
      <w:tblGrid>
        <w:gridCol w:w="3114"/>
        <w:gridCol w:w="12156"/>
      </w:tblGrid>
      <w:tr w:rsidR="002A3586" w14:paraId="4373F15B" w14:textId="77777777" w:rsidTr="00087083">
        <w:trPr>
          <w:trHeight w:val="566"/>
        </w:trPr>
        <w:tc>
          <w:tcPr>
            <w:tcW w:w="3114" w:type="dxa"/>
          </w:tcPr>
          <w:p w14:paraId="61D27A65" w14:textId="77777777" w:rsidR="002A3586" w:rsidRPr="007F56A4" w:rsidRDefault="002A3586" w:rsidP="002A3586">
            <w:pPr>
              <w:rPr>
                <w:b/>
                <w:sz w:val="24"/>
                <w:szCs w:val="24"/>
              </w:rPr>
            </w:pPr>
            <w:r w:rsidRPr="007F56A4">
              <w:rPr>
                <w:b/>
                <w:sz w:val="24"/>
                <w:szCs w:val="24"/>
              </w:rPr>
              <w:lastRenderedPageBreak/>
              <w:t>Response Times</w:t>
            </w:r>
            <w:r w:rsidR="00097EC0">
              <w:rPr>
                <w:b/>
                <w:sz w:val="24"/>
                <w:szCs w:val="24"/>
              </w:rPr>
              <w:t xml:space="preserve"> and Travel Distances</w:t>
            </w:r>
            <w:r w:rsidRPr="007F56A4">
              <w:rPr>
                <w:b/>
                <w:sz w:val="24"/>
                <w:szCs w:val="24"/>
              </w:rPr>
              <w:t xml:space="preserve"> by Station </w:t>
            </w:r>
            <w:r w:rsidR="000B209F">
              <w:rPr>
                <w:b/>
                <w:sz w:val="24"/>
                <w:szCs w:val="24"/>
              </w:rPr>
              <w:br/>
            </w:r>
            <w:r w:rsidRPr="007F56A4">
              <w:rPr>
                <w:b/>
                <w:sz w:val="24"/>
                <w:szCs w:val="24"/>
              </w:rPr>
              <w:t>On-Call</w:t>
            </w:r>
          </w:p>
        </w:tc>
        <w:tc>
          <w:tcPr>
            <w:tcW w:w="12156" w:type="dxa"/>
          </w:tcPr>
          <w:p w14:paraId="62AE6768" w14:textId="77777777" w:rsidR="002A3586" w:rsidRDefault="002A3586" w:rsidP="002A3586"/>
          <w:p w14:paraId="57C1DE24" w14:textId="77777777" w:rsidR="00231B1F" w:rsidRDefault="00231B1F" w:rsidP="002A3586"/>
        </w:tc>
      </w:tr>
      <w:tr w:rsidR="002A3586" w14:paraId="0785FA16" w14:textId="77777777" w:rsidTr="00087083">
        <w:trPr>
          <w:trHeight w:val="6688"/>
        </w:trPr>
        <w:tc>
          <w:tcPr>
            <w:tcW w:w="3114" w:type="dxa"/>
          </w:tcPr>
          <w:p w14:paraId="51FF0793" w14:textId="7B9A2697" w:rsidR="002A3586" w:rsidRDefault="00A36B77" w:rsidP="002A3586">
            <w:r>
              <w:br/>
            </w:r>
            <w:r w:rsidR="002A3586">
              <w:t>Of the 38 On-Call stations</w:t>
            </w:r>
            <w:r w:rsidR="00267A61">
              <w:t>, Shoeburyness</w:t>
            </w:r>
            <w:r w:rsidR="003E503B">
              <w:t xml:space="preserve"> and</w:t>
            </w:r>
            <w:r w:rsidR="00AF0014">
              <w:t xml:space="preserve"> Sible </w:t>
            </w:r>
            <w:r w:rsidR="00A641F6">
              <w:t>Hedingham</w:t>
            </w:r>
            <w:r w:rsidR="00C23355">
              <w:t xml:space="preserve">, </w:t>
            </w:r>
            <w:r w:rsidR="002A3586">
              <w:t>were on average f</w:t>
            </w:r>
            <w:r w:rsidR="00981D21">
              <w:t>astest to arrive at incident</w:t>
            </w:r>
            <w:r w:rsidR="002B23DB">
              <w:t xml:space="preserve"> in </w:t>
            </w:r>
            <w:r w:rsidR="00267A61">
              <w:t>July</w:t>
            </w:r>
            <w:r w:rsidR="00981D21">
              <w:t xml:space="preserve">. </w:t>
            </w:r>
          </w:p>
          <w:p w14:paraId="3FD2723C" w14:textId="77777777" w:rsidR="002A3586" w:rsidRDefault="002A3586" w:rsidP="002A3586"/>
          <w:p w14:paraId="07754DDA" w14:textId="77777777" w:rsidR="002A3586" w:rsidRDefault="002A3586" w:rsidP="002A3586"/>
          <w:p w14:paraId="3A3866CF" w14:textId="77777777" w:rsidR="002A3586" w:rsidRDefault="003E503B" w:rsidP="003E503B">
            <w:r>
              <w:t xml:space="preserve">Newport, Halstead and </w:t>
            </w:r>
            <w:r w:rsidR="00267A61">
              <w:t xml:space="preserve">Brightlingsea </w:t>
            </w:r>
            <w:r w:rsidR="002A3586">
              <w:t>took the longest on average to attend incident</w:t>
            </w:r>
            <w:r w:rsidR="00267A61">
              <w:t>s</w:t>
            </w:r>
            <w:r w:rsidR="002A3586">
              <w:t>.</w:t>
            </w:r>
            <w:r w:rsidR="00CB27FC">
              <w:br/>
            </w:r>
          </w:p>
        </w:tc>
        <w:tc>
          <w:tcPr>
            <w:tcW w:w="12156" w:type="dxa"/>
          </w:tcPr>
          <w:p w14:paraId="20CCD909" w14:textId="77777777" w:rsidR="002A3586" w:rsidRDefault="002A3586" w:rsidP="002A3586"/>
          <w:p w14:paraId="6DAEECD5" w14:textId="77777777" w:rsidR="004228F6" w:rsidRDefault="00087083" w:rsidP="004228F6">
            <w:pPr>
              <w:rPr>
                <w:sz w:val="16"/>
                <w:szCs w:val="16"/>
              </w:rPr>
            </w:pPr>
            <w:r>
              <w:rPr>
                <w:noProof/>
                <w:lang w:eastAsia="en-GB"/>
              </w:rPr>
              <w:drawing>
                <wp:inline distT="0" distB="0" distL="0" distR="0" wp14:anchorId="281E8306" wp14:editId="35954616">
                  <wp:extent cx="7623175" cy="3104515"/>
                  <wp:effectExtent l="0" t="0" r="15875" b="63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C09AEB" w14:textId="77777777" w:rsidR="004228F6" w:rsidRDefault="004228F6" w:rsidP="004228F6">
            <w:pPr>
              <w:rPr>
                <w:sz w:val="16"/>
                <w:szCs w:val="16"/>
              </w:rPr>
            </w:pPr>
          </w:p>
          <w:p w14:paraId="7A0406CE" w14:textId="7310DA3C" w:rsidR="002A3586" w:rsidRDefault="00CD2DD4" w:rsidP="00A641F6">
            <w:r w:rsidRPr="00CD2DD4">
              <w:rPr>
                <w:sz w:val="16"/>
                <w:szCs w:val="16"/>
              </w:rPr>
              <w:t xml:space="preserve">Incident Numbers are only </w:t>
            </w:r>
            <w:r w:rsidR="00FA3D91">
              <w:rPr>
                <w:sz w:val="16"/>
                <w:szCs w:val="16"/>
              </w:rPr>
              <w:t>recorded</w:t>
            </w:r>
            <w:r w:rsidR="00FA3D91" w:rsidRPr="00CD2DD4">
              <w:rPr>
                <w:sz w:val="16"/>
                <w:szCs w:val="16"/>
              </w:rPr>
              <w:t xml:space="preserve"> </w:t>
            </w:r>
            <w:r w:rsidR="00496C76">
              <w:rPr>
                <w:sz w:val="16"/>
                <w:szCs w:val="16"/>
              </w:rPr>
              <w:t>when</w:t>
            </w:r>
            <w:r w:rsidRPr="00CD2DD4">
              <w:rPr>
                <w:sz w:val="16"/>
                <w:szCs w:val="16"/>
              </w:rPr>
              <w:t xml:space="preserve"> the appliance was the first to arrive</w:t>
            </w:r>
            <w:r w:rsidR="00D74C94">
              <w:rPr>
                <w:sz w:val="16"/>
                <w:szCs w:val="16"/>
              </w:rPr>
              <w:t xml:space="preserve">. </w:t>
            </w:r>
            <w:r w:rsidR="003E79E7">
              <w:rPr>
                <w:sz w:val="16"/>
                <w:szCs w:val="16"/>
              </w:rPr>
              <w:br/>
            </w:r>
            <w:r w:rsidR="00520A9E" w:rsidRPr="00AF0014">
              <w:rPr>
                <w:sz w:val="16"/>
                <w:szCs w:val="16"/>
              </w:rPr>
              <w:t>Leaden Roding</w:t>
            </w:r>
            <w:r w:rsidR="00AF0014" w:rsidRPr="00AF0014">
              <w:rPr>
                <w:sz w:val="16"/>
                <w:szCs w:val="16"/>
              </w:rPr>
              <w:t xml:space="preserve"> and</w:t>
            </w:r>
            <w:r w:rsidR="00026035">
              <w:rPr>
                <w:sz w:val="16"/>
                <w:szCs w:val="16"/>
              </w:rPr>
              <w:t xml:space="preserve"> </w:t>
            </w:r>
            <w:r w:rsidR="00A641F6">
              <w:rPr>
                <w:sz w:val="16"/>
                <w:szCs w:val="16"/>
              </w:rPr>
              <w:t>Ingatestone</w:t>
            </w:r>
            <w:r w:rsidR="00520A9E" w:rsidRPr="00AF0014">
              <w:rPr>
                <w:sz w:val="16"/>
                <w:szCs w:val="16"/>
              </w:rPr>
              <w:t xml:space="preserve"> </w:t>
            </w:r>
            <w:r w:rsidR="00D74C94" w:rsidRPr="00B15761">
              <w:rPr>
                <w:sz w:val="16"/>
                <w:szCs w:val="16"/>
              </w:rPr>
              <w:t xml:space="preserve">do not </w:t>
            </w:r>
            <w:r w:rsidR="00FA3D91" w:rsidRPr="00B15761">
              <w:rPr>
                <w:sz w:val="16"/>
                <w:szCs w:val="16"/>
              </w:rPr>
              <w:t>feature,</w:t>
            </w:r>
            <w:r w:rsidR="00D74C94" w:rsidRPr="00B15761">
              <w:rPr>
                <w:sz w:val="16"/>
                <w:szCs w:val="16"/>
              </w:rPr>
              <w:t xml:space="preserve"> as </w:t>
            </w:r>
            <w:r w:rsidR="00AF0014">
              <w:rPr>
                <w:sz w:val="16"/>
                <w:szCs w:val="16"/>
              </w:rPr>
              <w:t>neither</w:t>
            </w:r>
            <w:r w:rsidR="003E79E7">
              <w:rPr>
                <w:sz w:val="16"/>
                <w:szCs w:val="16"/>
              </w:rPr>
              <w:t xml:space="preserve"> station </w:t>
            </w:r>
            <w:r w:rsidR="00AF0014">
              <w:rPr>
                <w:sz w:val="16"/>
                <w:szCs w:val="16"/>
              </w:rPr>
              <w:t>had</w:t>
            </w:r>
            <w:r w:rsidR="00520A9E">
              <w:rPr>
                <w:sz w:val="16"/>
                <w:szCs w:val="16"/>
              </w:rPr>
              <w:t xml:space="preserve"> an appliance</w:t>
            </w:r>
            <w:r w:rsidR="003E79E7">
              <w:rPr>
                <w:sz w:val="16"/>
                <w:szCs w:val="16"/>
              </w:rPr>
              <w:t xml:space="preserve"> first</w:t>
            </w:r>
            <w:r w:rsidR="004228F6">
              <w:rPr>
                <w:sz w:val="16"/>
                <w:szCs w:val="16"/>
              </w:rPr>
              <w:t xml:space="preserve"> to arrive at a</w:t>
            </w:r>
            <w:r w:rsidR="00D74C94" w:rsidRPr="00B15761">
              <w:rPr>
                <w:sz w:val="16"/>
                <w:szCs w:val="16"/>
              </w:rPr>
              <w:t xml:space="preserve">ny incident in </w:t>
            </w:r>
            <w:r w:rsidR="00AF0014">
              <w:rPr>
                <w:sz w:val="16"/>
                <w:szCs w:val="16"/>
              </w:rPr>
              <w:t>July</w:t>
            </w:r>
            <w:r w:rsidR="00520A9E">
              <w:rPr>
                <w:sz w:val="16"/>
                <w:szCs w:val="16"/>
              </w:rPr>
              <w:t>.</w:t>
            </w:r>
          </w:p>
        </w:tc>
      </w:tr>
    </w:tbl>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2A3586" w14:paraId="269A4521" w14:textId="77777777" w:rsidTr="002C52E0">
        <w:trPr>
          <w:trHeight w:val="1480"/>
        </w:trPr>
        <w:tc>
          <w:tcPr>
            <w:tcW w:w="16727" w:type="dxa"/>
            <w:shd w:val="clear" w:color="auto" w:fill="44546A" w:themeFill="text2"/>
          </w:tcPr>
          <w:p w14:paraId="39D7CB2D" w14:textId="77777777" w:rsidR="002A3586" w:rsidRDefault="002A3586" w:rsidP="002C52E0">
            <w:pPr>
              <w:jc w:val="right"/>
            </w:pPr>
            <w:r>
              <w:rPr>
                <w:noProof/>
                <w:lang w:eastAsia="en-GB"/>
              </w:rPr>
              <w:drawing>
                <wp:inline distT="0" distB="0" distL="0" distR="0" wp14:anchorId="3AAE89B7" wp14:editId="54E61582">
                  <wp:extent cx="1755775" cy="1645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075ADD48" w14:textId="77777777" w:rsidR="00B50A30" w:rsidRDefault="00B50A30" w:rsidP="00B50A30">
      <w:pPr>
        <w:tabs>
          <w:tab w:val="left" w:pos="1320"/>
        </w:tabs>
      </w:pPr>
      <w:bookmarkStart w:id="0" w:name="_GoBack"/>
      <w:bookmarkEnd w:id="0"/>
    </w:p>
    <w:p w14:paraId="461EA2F7" w14:textId="77777777" w:rsidR="005005FE" w:rsidRDefault="005005FE" w:rsidP="00B50A30">
      <w:pPr>
        <w:tabs>
          <w:tab w:val="left" w:pos="1320"/>
        </w:tabs>
      </w:pPr>
    </w:p>
    <w:p w14:paraId="205EC270" w14:textId="77777777" w:rsidR="005005FE" w:rsidRDefault="005005FE" w:rsidP="00B50A30">
      <w:pPr>
        <w:tabs>
          <w:tab w:val="left" w:pos="1320"/>
        </w:tabs>
      </w:pPr>
    </w:p>
    <w:p w14:paraId="6E55FAF5" w14:textId="77777777" w:rsidR="005005FE" w:rsidRDefault="005005FE" w:rsidP="00B50A30">
      <w:pPr>
        <w:tabs>
          <w:tab w:val="left" w:pos="1320"/>
        </w:tabs>
      </w:pPr>
    </w:p>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B50A30" w14:paraId="2D06EEAC" w14:textId="77777777" w:rsidTr="002C52E0">
        <w:trPr>
          <w:trHeight w:val="1480"/>
        </w:trPr>
        <w:tc>
          <w:tcPr>
            <w:tcW w:w="16727" w:type="dxa"/>
            <w:shd w:val="clear" w:color="auto" w:fill="44546A" w:themeFill="text2"/>
          </w:tcPr>
          <w:p w14:paraId="43E7C1E9" w14:textId="77777777" w:rsidR="00B50A30" w:rsidRDefault="00B50A30" w:rsidP="002C52E0">
            <w:pPr>
              <w:jc w:val="right"/>
            </w:pPr>
            <w:r>
              <w:rPr>
                <w:noProof/>
                <w:lang w:eastAsia="en-GB"/>
              </w:rPr>
              <w:drawing>
                <wp:inline distT="0" distB="0" distL="0" distR="0" wp14:anchorId="19D408E0" wp14:editId="76653B62">
                  <wp:extent cx="1755775"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7DFF0CF4" w14:textId="77777777" w:rsidR="00B50A30" w:rsidRDefault="00B50A30" w:rsidP="006D0056"/>
    <w:tbl>
      <w:tblPr>
        <w:tblStyle w:val="TableGrid"/>
        <w:tblpPr w:leftFromText="180" w:rightFromText="180" w:vertAnchor="text" w:horzAnchor="margin" w:tblpY="46"/>
        <w:tblW w:w="0" w:type="auto"/>
        <w:tblLayout w:type="fixed"/>
        <w:tblLook w:val="04A0" w:firstRow="1" w:lastRow="0" w:firstColumn="1" w:lastColumn="0" w:noHBand="0" w:noVBand="1"/>
      </w:tblPr>
      <w:tblGrid>
        <w:gridCol w:w="2830"/>
        <w:gridCol w:w="11118"/>
      </w:tblGrid>
      <w:tr w:rsidR="002A3586" w14:paraId="43C239BF" w14:textId="77777777" w:rsidTr="007F56A4">
        <w:tc>
          <w:tcPr>
            <w:tcW w:w="2830" w:type="dxa"/>
          </w:tcPr>
          <w:p w14:paraId="3CA0EFFE" w14:textId="21398C5F" w:rsidR="002A3586" w:rsidRPr="00D004A2" w:rsidRDefault="000B209F" w:rsidP="002A3586">
            <w:pPr>
              <w:rPr>
                <w:b/>
                <w:sz w:val="24"/>
                <w:szCs w:val="24"/>
              </w:rPr>
            </w:pPr>
            <w:r>
              <w:rPr>
                <w:b/>
                <w:sz w:val="24"/>
                <w:szCs w:val="24"/>
              </w:rPr>
              <w:t>Station Availability</w:t>
            </w:r>
            <w:r>
              <w:rPr>
                <w:b/>
                <w:sz w:val="24"/>
                <w:szCs w:val="24"/>
              </w:rPr>
              <w:br/>
            </w:r>
            <w:r w:rsidR="002A3586" w:rsidRPr="00D004A2">
              <w:rPr>
                <w:b/>
                <w:sz w:val="24"/>
                <w:szCs w:val="24"/>
              </w:rPr>
              <w:t xml:space="preserve">Whole Time/Day Crew </w:t>
            </w:r>
          </w:p>
        </w:tc>
        <w:tc>
          <w:tcPr>
            <w:tcW w:w="11118" w:type="dxa"/>
          </w:tcPr>
          <w:p w14:paraId="0523A6CA" w14:textId="77777777" w:rsidR="002A3586" w:rsidRDefault="002A3586" w:rsidP="002A3586"/>
        </w:tc>
      </w:tr>
      <w:tr w:rsidR="00E3690A" w14:paraId="37C4D353" w14:textId="77777777" w:rsidTr="00946D46">
        <w:tc>
          <w:tcPr>
            <w:tcW w:w="2830" w:type="dxa"/>
          </w:tcPr>
          <w:p w14:paraId="0D2E2E3B" w14:textId="77777777" w:rsidR="00E3690A" w:rsidRDefault="00E3690A" w:rsidP="00E3690A"/>
          <w:p w14:paraId="3FB038BE" w14:textId="77777777" w:rsidR="00E3690A" w:rsidRDefault="00E3690A" w:rsidP="00E3690A">
            <w:r>
              <w:t xml:space="preserve">In </w:t>
            </w:r>
            <w:r w:rsidR="00946D46">
              <w:t>July</w:t>
            </w:r>
            <w:r>
              <w:t xml:space="preserve">, </w:t>
            </w:r>
            <w:r w:rsidR="003E503B">
              <w:t>4</w:t>
            </w:r>
            <w:r>
              <w:t xml:space="preserve"> of the stations met the 98% availability target </w:t>
            </w:r>
            <w:r w:rsidR="00520A9E">
              <w:t>which was the same as</w:t>
            </w:r>
            <w:r w:rsidR="00CB27FC">
              <w:t xml:space="preserve"> </w:t>
            </w:r>
            <w:r w:rsidR="00946D46">
              <w:t>June</w:t>
            </w:r>
            <w:r w:rsidR="00520A9E">
              <w:t xml:space="preserve"> </w:t>
            </w:r>
          </w:p>
          <w:p w14:paraId="667DAA69" w14:textId="77777777" w:rsidR="000843D1" w:rsidRDefault="000843D1" w:rsidP="00E3690A"/>
          <w:p w14:paraId="7DFF72BB" w14:textId="77777777" w:rsidR="000843D1" w:rsidRDefault="00946D46" w:rsidP="00E3690A">
            <w:r>
              <w:t>Clacton and Dovercourt</w:t>
            </w:r>
            <w:r w:rsidR="000843D1">
              <w:t xml:space="preserve"> had the highest availability whilst Chelmsford a</w:t>
            </w:r>
            <w:r>
              <w:t>nd Waltham Abbey had the lowest for the second consecutive month.</w:t>
            </w:r>
          </w:p>
          <w:p w14:paraId="4BE1620D" w14:textId="77777777" w:rsidR="00E3690A" w:rsidRDefault="00E3690A" w:rsidP="00E3690A"/>
          <w:p w14:paraId="207B58C7" w14:textId="77777777" w:rsidR="00E3690A" w:rsidRDefault="00E3690A" w:rsidP="00E3690A"/>
          <w:p w14:paraId="37098BC8" w14:textId="77777777" w:rsidR="00E3690A" w:rsidRDefault="00E3690A" w:rsidP="00E3690A"/>
          <w:p w14:paraId="0444480F" w14:textId="77777777" w:rsidR="00E3690A" w:rsidRDefault="00E3690A" w:rsidP="002A3586">
            <w:pPr>
              <w:rPr>
                <w:b/>
                <w:sz w:val="24"/>
                <w:szCs w:val="24"/>
              </w:rPr>
            </w:pPr>
          </w:p>
          <w:p w14:paraId="4A8D171A" w14:textId="77777777" w:rsidR="00C74A7D" w:rsidRDefault="00C74A7D" w:rsidP="002A3586">
            <w:pPr>
              <w:rPr>
                <w:b/>
                <w:sz w:val="24"/>
                <w:szCs w:val="24"/>
              </w:rPr>
            </w:pPr>
          </w:p>
          <w:p w14:paraId="21BC2E5E" w14:textId="77777777" w:rsidR="00C74A7D" w:rsidRDefault="00C74A7D" w:rsidP="002A3586">
            <w:pPr>
              <w:rPr>
                <w:b/>
                <w:sz w:val="24"/>
                <w:szCs w:val="24"/>
              </w:rPr>
            </w:pPr>
          </w:p>
          <w:p w14:paraId="4B4B9188" w14:textId="77777777" w:rsidR="00C74A7D" w:rsidRDefault="00C74A7D" w:rsidP="002A3586">
            <w:pPr>
              <w:rPr>
                <w:b/>
                <w:sz w:val="24"/>
                <w:szCs w:val="24"/>
              </w:rPr>
            </w:pPr>
          </w:p>
          <w:p w14:paraId="2D1AEFE4" w14:textId="77777777" w:rsidR="00C74A7D" w:rsidRDefault="00C74A7D" w:rsidP="002A3586">
            <w:pPr>
              <w:rPr>
                <w:b/>
                <w:sz w:val="24"/>
                <w:szCs w:val="24"/>
              </w:rPr>
            </w:pPr>
          </w:p>
          <w:p w14:paraId="7D71BD5D" w14:textId="77777777" w:rsidR="00C74A7D" w:rsidRDefault="00C74A7D" w:rsidP="002A3586">
            <w:pPr>
              <w:rPr>
                <w:b/>
                <w:sz w:val="24"/>
                <w:szCs w:val="24"/>
              </w:rPr>
            </w:pPr>
          </w:p>
          <w:p w14:paraId="0F7A9A31" w14:textId="77777777" w:rsidR="00C74A7D" w:rsidRDefault="00C74A7D" w:rsidP="002A3586">
            <w:pPr>
              <w:rPr>
                <w:b/>
                <w:sz w:val="24"/>
                <w:szCs w:val="24"/>
              </w:rPr>
            </w:pPr>
          </w:p>
          <w:p w14:paraId="6D79F196" w14:textId="77777777" w:rsidR="00C74A7D" w:rsidRDefault="00C74A7D" w:rsidP="002A3586">
            <w:pPr>
              <w:rPr>
                <w:b/>
                <w:sz w:val="24"/>
                <w:szCs w:val="24"/>
              </w:rPr>
            </w:pPr>
          </w:p>
          <w:p w14:paraId="7A35F2A3" w14:textId="77777777" w:rsidR="00C74A7D" w:rsidRDefault="00C74A7D" w:rsidP="002A3586">
            <w:pPr>
              <w:rPr>
                <w:b/>
                <w:sz w:val="24"/>
                <w:szCs w:val="24"/>
              </w:rPr>
            </w:pPr>
          </w:p>
        </w:tc>
        <w:tc>
          <w:tcPr>
            <w:tcW w:w="11118" w:type="dxa"/>
          </w:tcPr>
          <w:p w14:paraId="02AA4DD5" w14:textId="77777777" w:rsidR="00E3690A" w:rsidRDefault="00E3690A" w:rsidP="002A3586"/>
          <w:p w14:paraId="5A78862C" w14:textId="77777777" w:rsidR="00532DB5" w:rsidRDefault="00946D46" w:rsidP="002A3586">
            <w:r>
              <w:rPr>
                <w:noProof/>
                <w:lang w:eastAsia="en-GB"/>
              </w:rPr>
              <w:drawing>
                <wp:inline distT="0" distB="0" distL="0" distR="0" wp14:anchorId="24A41FC8" wp14:editId="4763F4D4">
                  <wp:extent cx="6629400" cy="3333750"/>
                  <wp:effectExtent l="0" t="0" r="0" b="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C01CC1" w14:textId="77777777" w:rsidR="00532DB5" w:rsidRDefault="00532DB5" w:rsidP="002A3586"/>
          <w:p w14:paraId="511BEFA1" w14:textId="77777777" w:rsidR="00532DB5" w:rsidRDefault="00532DB5" w:rsidP="002A3586"/>
        </w:tc>
      </w:tr>
    </w:tbl>
    <w:p w14:paraId="14EBD6D8" w14:textId="77777777" w:rsidR="00187015" w:rsidRDefault="00187015" w:rsidP="006D0056"/>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6D0056" w14:paraId="6183EE76" w14:textId="77777777" w:rsidTr="002C52E0">
        <w:trPr>
          <w:trHeight w:val="1480"/>
        </w:trPr>
        <w:tc>
          <w:tcPr>
            <w:tcW w:w="16727" w:type="dxa"/>
            <w:shd w:val="clear" w:color="auto" w:fill="44546A" w:themeFill="text2"/>
          </w:tcPr>
          <w:p w14:paraId="369DDF15" w14:textId="77777777" w:rsidR="006D0056" w:rsidRDefault="006D0056" w:rsidP="002C52E0">
            <w:pPr>
              <w:jc w:val="right"/>
            </w:pPr>
            <w:r>
              <w:rPr>
                <w:noProof/>
                <w:lang w:eastAsia="en-GB"/>
              </w:rPr>
              <w:drawing>
                <wp:inline distT="0" distB="0" distL="0" distR="0" wp14:anchorId="60B43331" wp14:editId="7C1CD842">
                  <wp:extent cx="1755775" cy="164592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pPr w:leftFromText="180" w:rightFromText="180" w:vertAnchor="page" w:horzAnchor="page" w:tblpX="2068" w:tblpY="3241"/>
        <w:tblW w:w="14158" w:type="dxa"/>
        <w:tblLook w:val="04A0" w:firstRow="1" w:lastRow="0" w:firstColumn="1" w:lastColumn="0" w:noHBand="0" w:noVBand="1"/>
      </w:tblPr>
      <w:tblGrid>
        <w:gridCol w:w="2212"/>
        <w:gridCol w:w="11946"/>
      </w:tblGrid>
      <w:tr w:rsidR="00E3690A" w14:paraId="3B57FB25" w14:textId="77777777" w:rsidTr="00E3690A">
        <w:trPr>
          <w:trHeight w:val="569"/>
        </w:trPr>
        <w:tc>
          <w:tcPr>
            <w:tcW w:w="2212" w:type="dxa"/>
          </w:tcPr>
          <w:p w14:paraId="1D6009CC" w14:textId="77777777" w:rsidR="00E3690A" w:rsidRPr="007F56A4" w:rsidRDefault="00E3690A" w:rsidP="00E3690A">
            <w:pPr>
              <w:rPr>
                <w:b/>
                <w:sz w:val="24"/>
                <w:szCs w:val="24"/>
              </w:rPr>
            </w:pPr>
            <w:r w:rsidRPr="007F56A4">
              <w:rPr>
                <w:b/>
                <w:sz w:val="24"/>
                <w:szCs w:val="24"/>
              </w:rPr>
              <w:t xml:space="preserve">Station Availability </w:t>
            </w:r>
            <w:r>
              <w:rPr>
                <w:b/>
                <w:sz w:val="24"/>
                <w:szCs w:val="24"/>
              </w:rPr>
              <w:br/>
              <w:t xml:space="preserve">On-Call </w:t>
            </w:r>
          </w:p>
        </w:tc>
        <w:tc>
          <w:tcPr>
            <w:tcW w:w="11946" w:type="dxa"/>
          </w:tcPr>
          <w:p w14:paraId="0864A44A" w14:textId="77777777" w:rsidR="00E3690A" w:rsidRDefault="00E3690A" w:rsidP="00E3690A"/>
          <w:p w14:paraId="17FF61CF" w14:textId="77777777" w:rsidR="00E3690A" w:rsidRDefault="00E3690A" w:rsidP="00E3690A"/>
        </w:tc>
      </w:tr>
      <w:tr w:rsidR="00E3690A" w14:paraId="0D38B973" w14:textId="77777777" w:rsidTr="00946D46">
        <w:trPr>
          <w:trHeight w:val="5630"/>
        </w:trPr>
        <w:tc>
          <w:tcPr>
            <w:tcW w:w="2212" w:type="dxa"/>
          </w:tcPr>
          <w:p w14:paraId="394A9614" w14:textId="77777777" w:rsidR="00E3690A" w:rsidRDefault="00E3690A" w:rsidP="00E3690A"/>
          <w:p w14:paraId="7D6C5CB9" w14:textId="77777777" w:rsidR="00E3690A" w:rsidRDefault="00E3690A" w:rsidP="00E3690A">
            <w:r>
              <w:t xml:space="preserve">In </w:t>
            </w:r>
            <w:r w:rsidR="00946D46">
              <w:t>July</w:t>
            </w:r>
            <w:r>
              <w:t xml:space="preserve">, </w:t>
            </w:r>
            <w:r w:rsidR="00946D46">
              <w:t>12</w:t>
            </w:r>
            <w:r>
              <w:t xml:space="preserve"> On-Call stations met the 90% target </w:t>
            </w:r>
            <w:r w:rsidR="00520A9E">
              <w:t xml:space="preserve">compared to </w:t>
            </w:r>
            <w:r w:rsidR="00946D46">
              <w:t>10</w:t>
            </w:r>
            <w:r w:rsidR="00520A9E">
              <w:t xml:space="preserve"> in </w:t>
            </w:r>
            <w:r w:rsidR="00946D46">
              <w:t>June.</w:t>
            </w:r>
          </w:p>
          <w:p w14:paraId="412E0EC8" w14:textId="77777777" w:rsidR="00E3690A" w:rsidRDefault="00E3690A" w:rsidP="00E3690A"/>
          <w:p w14:paraId="1EF9E5F3" w14:textId="77777777" w:rsidR="00E3690A" w:rsidRDefault="000843D1" w:rsidP="00E3690A">
            <w:r>
              <w:t xml:space="preserve">The </w:t>
            </w:r>
            <w:r w:rsidRPr="00520A9E">
              <w:t>North East region</w:t>
            </w:r>
            <w:r>
              <w:t xml:space="preserve"> took </w:t>
            </w:r>
            <w:r w:rsidR="00946D46">
              <w:t>the top two positions with West Mersea and Brightlingsea</w:t>
            </w:r>
          </w:p>
          <w:p w14:paraId="73F76634" w14:textId="77777777" w:rsidR="00053FBF" w:rsidRDefault="00053FBF" w:rsidP="00E3690A"/>
          <w:p w14:paraId="7518CB4E" w14:textId="77777777" w:rsidR="00053FBF" w:rsidRPr="009F522A" w:rsidRDefault="000843D1" w:rsidP="00E3690A">
            <w:r>
              <w:t>Ingatestone</w:t>
            </w:r>
            <w:r w:rsidR="00053FBF">
              <w:t xml:space="preserve"> had the lowest availability</w:t>
            </w:r>
            <w:r w:rsidR="00946D46">
              <w:t xml:space="preserve"> for the second consecutive month</w:t>
            </w:r>
          </w:p>
          <w:p w14:paraId="533C5743" w14:textId="77777777" w:rsidR="00E3690A" w:rsidRDefault="00E3690A" w:rsidP="00E3690A"/>
          <w:p w14:paraId="4CEC7CC8" w14:textId="77777777" w:rsidR="00520A9E" w:rsidRDefault="003E503B" w:rsidP="002B23DB">
            <w:pPr>
              <w:rPr>
                <w:color w:val="FF0000"/>
              </w:rPr>
            </w:pPr>
            <w:r>
              <w:t>*</w:t>
            </w:r>
            <w:r w:rsidRPr="00946D46">
              <w:rPr>
                <w:color w:val="C00000"/>
              </w:rPr>
              <w:t xml:space="preserve">Leaden Roding Stats </w:t>
            </w:r>
            <w:r>
              <w:rPr>
                <w:color w:val="C00000"/>
              </w:rPr>
              <w:t>not available at the time of reporting.</w:t>
            </w:r>
          </w:p>
          <w:p w14:paraId="277BDD86" w14:textId="77777777" w:rsidR="00520A9E" w:rsidRDefault="00520A9E" w:rsidP="002B23DB"/>
        </w:tc>
        <w:tc>
          <w:tcPr>
            <w:tcW w:w="11946" w:type="dxa"/>
          </w:tcPr>
          <w:p w14:paraId="55EE217D" w14:textId="77777777" w:rsidR="00E3690A" w:rsidRDefault="00E3690A" w:rsidP="00E3690A">
            <w:pPr>
              <w:rPr>
                <w:noProof/>
                <w:lang w:eastAsia="en-GB"/>
              </w:rPr>
            </w:pPr>
          </w:p>
          <w:p w14:paraId="2B87A103" w14:textId="77777777" w:rsidR="00E3690A" w:rsidRDefault="00946D46" w:rsidP="003E503B">
            <w:r>
              <w:rPr>
                <w:noProof/>
                <w:lang w:eastAsia="en-GB"/>
              </w:rPr>
              <w:drawing>
                <wp:inline distT="0" distB="0" distL="0" distR="0" wp14:anchorId="79A146AC" wp14:editId="3B212780">
                  <wp:extent cx="7410450" cy="3076575"/>
                  <wp:effectExtent l="0" t="0" r="0" b="9525"/>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r>
            <w:r>
              <w:br/>
            </w:r>
          </w:p>
        </w:tc>
      </w:tr>
    </w:tbl>
    <w:p w14:paraId="542F1D95" w14:textId="77777777" w:rsidR="006D0056" w:rsidRDefault="006D0056" w:rsidP="006D0056"/>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6D0056" w14:paraId="37A030A4" w14:textId="77777777" w:rsidTr="002C52E0">
        <w:trPr>
          <w:trHeight w:val="1480"/>
        </w:trPr>
        <w:tc>
          <w:tcPr>
            <w:tcW w:w="16727" w:type="dxa"/>
            <w:shd w:val="clear" w:color="auto" w:fill="44546A" w:themeFill="text2"/>
          </w:tcPr>
          <w:p w14:paraId="2E8ECECC" w14:textId="77777777" w:rsidR="006D0056" w:rsidRDefault="006D0056" w:rsidP="002C52E0">
            <w:pPr>
              <w:jc w:val="right"/>
            </w:pPr>
            <w:r>
              <w:rPr>
                <w:noProof/>
                <w:lang w:eastAsia="en-GB"/>
              </w:rPr>
              <w:drawing>
                <wp:inline distT="0" distB="0" distL="0" distR="0" wp14:anchorId="01F52C73" wp14:editId="35B6EE2D">
                  <wp:extent cx="1755775" cy="16459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441A04AE" w14:textId="0038A63C" w:rsidR="00CD71B7" w:rsidRDefault="00CD71B7"/>
    <w:p w14:paraId="184DF084" w14:textId="1B8F31A5" w:rsidR="00CD71B7" w:rsidRDefault="00CD71B7"/>
    <w:p w14:paraId="0F2AEFB8" w14:textId="4F94646D" w:rsidR="00CD71B7" w:rsidRDefault="00CD71B7"/>
    <w:p w14:paraId="7B004F00" w14:textId="77777777" w:rsidR="005005FE" w:rsidRDefault="005005FE"/>
    <w:tbl>
      <w:tblPr>
        <w:tblStyle w:val="TableGrid"/>
        <w:tblpPr w:leftFromText="180" w:rightFromText="180" w:vertAnchor="text" w:horzAnchor="margin" w:tblpY="1606"/>
        <w:tblW w:w="14425" w:type="dxa"/>
        <w:tblLook w:val="04A0" w:firstRow="1" w:lastRow="0" w:firstColumn="1" w:lastColumn="0" w:noHBand="0" w:noVBand="1"/>
      </w:tblPr>
      <w:tblGrid>
        <w:gridCol w:w="1819"/>
        <w:gridCol w:w="12606"/>
      </w:tblGrid>
      <w:tr w:rsidR="002A3586" w14:paraId="3F0B1795" w14:textId="77777777" w:rsidTr="00CD71B7">
        <w:tc>
          <w:tcPr>
            <w:tcW w:w="1819" w:type="dxa"/>
          </w:tcPr>
          <w:p w14:paraId="6540FE81" w14:textId="009812C9" w:rsidR="002A3586" w:rsidRPr="007F56A4" w:rsidRDefault="002A3586" w:rsidP="0096280B">
            <w:pPr>
              <w:rPr>
                <w:b/>
                <w:sz w:val="24"/>
                <w:szCs w:val="24"/>
              </w:rPr>
            </w:pPr>
            <w:r w:rsidRPr="007F56A4">
              <w:rPr>
                <w:b/>
                <w:sz w:val="24"/>
                <w:szCs w:val="24"/>
              </w:rPr>
              <w:t>Number of Fires</w:t>
            </w:r>
          </w:p>
        </w:tc>
        <w:tc>
          <w:tcPr>
            <w:tcW w:w="12606" w:type="dxa"/>
          </w:tcPr>
          <w:p w14:paraId="097094DA" w14:textId="77777777" w:rsidR="002A3586" w:rsidRDefault="002A3586" w:rsidP="0096280B"/>
        </w:tc>
      </w:tr>
      <w:tr w:rsidR="002A3586" w14:paraId="74A4AC0D" w14:textId="77777777" w:rsidTr="00CD71B7">
        <w:trPr>
          <w:trHeight w:val="5169"/>
        </w:trPr>
        <w:tc>
          <w:tcPr>
            <w:tcW w:w="1819" w:type="dxa"/>
          </w:tcPr>
          <w:p w14:paraId="2794854C" w14:textId="77777777" w:rsidR="002A3586" w:rsidRDefault="002A3586" w:rsidP="0096280B"/>
          <w:p w14:paraId="07CA8A1B" w14:textId="77777777" w:rsidR="004D2CFE" w:rsidRDefault="00D31CBC" w:rsidP="00D31CBC">
            <w:r>
              <w:t xml:space="preserve">There were </w:t>
            </w:r>
            <w:r w:rsidR="00267A61">
              <w:t>826</w:t>
            </w:r>
            <w:r>
              <w:t xml:space="preserve"> fires in </w:t>
            </w:r>
            <w:r w:rsidR="00267A61">
              <w:t>July, which</w:t>
            </w:r>
            <w:r>
              <w:t xml:space="preserve"> is a significant increase on the </w:t>
            </w:r>
            <w:r w:rsidR="00267A61">
              <w:t>503</w:t>
            </w:r>
            <w:r>
              <w:t xml:space="preserve"> in </w:t>
            </w:r>
            <w:r w:rsidR="00267A61">
              <w:t>June</w:t>
            </w:r>
            <w:r>
              <w:t xml:space="preserve"> </w:t>
            </w:r>
            <w:r w:rsidR="005E3A54">
              <w:t>(</w:t>
            </w:r>
            <w:r w:rsidR="00267A61">
              <w:t>64</w:t>
            </w:r>
            <w:r>
              <w:t>%</w:t>
            </w:r>
            <w:r w:rsidR="005E3A54">
              <w:t xml:space="preserve">).  </w:t>
            </w:r>
          </w:p>
          <w:p w14:paraId="0020EAF4" w14:textId="77777777" w:rsidR="004D2CFE" w:rsidRDefault="004D2CFE" w:rsidP="00D31CBC"/>
          <w:p w14:paraId="09E24E83" w14:textId="77777777" w:rsidR="00E263FB" w:rsidRDefault="005E3A54" w:rsidP="00267A61">
            <w:r>
              <w:t xml:space="preserve">This </w:t>
            </w:r>
            <w:r w:rsidR="0079727F">
              <w:t xml:space="preserve">is </w:t>
            </w:r>
            <w:r w:rsidR="00267A61">
              <w:t>also</w:t>
            </w:r>
            <w:r w:rsidR="004D2CFE">
              <w:t xml:space="preserve"> </w:t>
            </w:r>
            <w:r w:rsidR="00267A61">
              <w:t>significantly more than the 517 fire incidents in July</w:t>
            </w:r>
            <w:r w:rsidR="0079727F">
              <w:t xml:space="preserve"> 2017.</w:t>
            </w:r>
          </w:p>
        </w:tc>
        <w:tc>
          <w:tcPr>
            <w:tcW w:w="12606" w:type="dxa"/>
          </w:tcPr>
          <w:p w14:paraId="49EAB016" w14:textId="77777777" w:rsidR="002A3586" w:rsidRDefault="002A3586" w:rsidP="0096280B"/>
          <w:p w14:paraId="4B72228F" w14:textId="6E55465B" w:rsidR="000B209F" w:rsidRDefault="00500CBC" w:rsidP="0096280B">
            <w:r>
              <w:rPr>
                <w:noProof/>
                <w:lang w:eastAsia="en-GB"/>
              </w:rPr>
              <w:drawing>
                <wp:inline distT="0" distB="0" distL="0" distR="0" wp14:anchorId="45DC093E" wp14:editId="255B78A6">
                  <wp:extent cx="7867650" cy="2981325"/>
                  <wp:effectExtent l="0" t="0" r="0" b="9525"/>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C696256" w14:textId="77777777" w:rsidR="006D0056" w:rsidRDefault="006D0056" w:rsidP="006D0056"/>
    <w:p w14:paraId="55E3A736" w14:textId="77777777" w:rsidR="005005FE" w:rsidRDefault="005005FE" w:rsidP="006D0056"/>
    <w:p w14:paraId="1992B855" w14:textId="77777777" w:rsidR="005005FE" w:rsidRDefault="005005FE" w:rsidP="006D0056"/>
    <w:p w14:paraId="2CB65611" w14:textId="77777777" w:rsidR="005005FE" w:rsidRDefault="005005FE" w:rsidP="006D0056"/>
    <w:p w14:paraId="6A10A510" w14:textId="77777777" w:rsidR="005005FE" w:rsidRDefault="005005FE" w:rsidP="006D0056"/>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6D0056" w14:paraId="51220045" w14:textId="77777777" w:rsidTr="002C52E0">
        <w:trPr>
          <w:trHeight w:val="1480"/>
        </w:trPr>
        <w:tc>
          <w:tcPr>
            <w:tcW w:w="16727" w:type="dxa"/>
            <w:shd w:val="clear" w:color="auto" w:fill="44546A" w:themeFill="text2"/>
          </w:tcPr>
          <w:p w14:paraId="21EE6193" w14:textId="77777777" w:rsidR="006D0056" w:rsidRDefault="006D0056" w:rsidP="002C52E0">
            <w:pPr>
              <w:jc w:val="right"/>
            </w:pPr>
            <w:r>
              <w:rPr>
                <w:noProof/>
                <w:lang w:eastAsia="en-GB"/>
              </w:rPr>
              <w:drawing>
                <wp:inline distT="0" distB="0" distL="0" distR="0" wp14:anchorId="41304C13" wp14:editId="74E35196">
                  <wp:extent cx="1755775" cy="16459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322E9D4A" w14:textId="77777777" w:rsidR="001850C1" w:rsidRDefault="001850C1" w:rsidP="006D0056"/>
    <w:tbl>
      <w:tblPr>
        <w:tblStyle w:val="TableGrid"/>
        <w:tblpPr w:leftFromText="180" w:rightFromText="180" w:horzAnchor="margin" w:tblpXSpec="center" w:tblpY="-1380"/>
        <w:tblW w:w="16727" w:type="dxa"/>
        <w:shd w:val="clear" w:color="auto" w:fill="44546A" w:themeFill="text2"/>
        <w:tblLook w:val="04A0" w:firstRow="1" w:lastRow="0" w:firstColumn="1" w:lastColumn="0" w:noHBand="0" w:noVBand="1"/>
      </w:tblPr>
      <w:tblGrid>
        <w:gridCol w:w="16727"/>
      </w:tblGrid>
      <w:tr w:rsidR="002F10B6" w14:paraId="72C96DB7" w14:textId="77777777" w:rsidTr="002C52E0">
        <w:trPr>
          <w:trHeight w:val="1480"/>
        </w:trPr>
        <w:tc>
          <w:tcPr>
            <w:tcW w:w="16727" w:type="dxa"/>
            <w:shd w:val="clear" w:color="auto" w:fill="44546A" w:themeFill="text2"/>
          </w:tcPr>
          <w:p w14:paraId="4154F1B4" w14:textId="77777777" w:rsidR="002F10B6" w:rsidRDefault="002F10B6" w:rsidP="002C52E0">
            <w:pPr>
              <w:jc w:val="right"/>
            </w:pPr>
            <w:r>
              <w:rPr>
                <w:noProof/>
                <w:lang w:eastAsia="en-GB"/>
              </w:rPr>
              <w:drawing>
                <wp:inline distT="0" distB="0" distL="0" distR="0" wp14:anchorId="4FBDDBC8" wp14:editId="41A55DE6">
                  <wp:extent cx="1755775" cy="1645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pPr w:leftFromText="180" w:rightFromText="180" w:vertAnchor="text" w:horzAnchor="margin" w:tblpY="-59"/>
        <w:tblOverlap w:val="never"/>
        <w:tblW w:w="14227" w:type="dxa"/>
        <w:tblLook w:val="04A0" w:firstRow="1" w:lastRow="0" w:firstColumn="1" w:lastColumn="0" w:noHBand="0" w:noVBand="1"/>
      </w:tblPr>
      <w:tblGrid>
        <w:gridCol w:w="2911"/>
        <w:gridCol w:w="11316"/>
      </w:tblGrid>
      <w:tr w:rsidR="002A3586" w14:paraId="4D9958FE" w14:textId="77777777" w:rsidTr="009E1CB4">
        <w:trPr>
          <w:trHeight w:val="238"/>
        </w:trPr>
        <w:tc>
          <w:tcPr>
            <w:tcW w:w="2911" w:type="dxa"/>
          </w:tcPr>
          <w:p w14:paraId="3482F1D4" w14:textId="77777777" w:rsidR="002A3586" w:rsidRPr="007F56A4" w:rsidRDefault="002A3586" w:rsidP="002A3586">
            <w:pPr>
              <w:rPr>
                <w:b/>
                <w:sz w:val="24"/>
                <w:szCs w:val="24"/>
              </w:rPr>
            </w:pPr>
            <w:r w:rsidRPr="007F56A4">
              <w:rPr>
                <w:b/>
                <w:sz w:val="24"/>
                <w:szCs w:val="24"/>
              </w:rPr>
              <w:t>Primary Fires</w:t>
            </w:r>
          </w:p>
        </w:tc>
        <w:tc>
          <w:tcPr>
            <w:tcW w:w="11316" w:type="dxa"/>
          </w:tcPr>
          <w:p w14:paraId="1E841EAB" w14:textId="77777777" w:rsidR="002A3586" w:rsidRDefault="002A3586" w:rsidP="002A3586"/>
        </w:tc>
      </w:tr>
      <w:tr w:rsidR="002A3586" w14:paraId="03A11789" w14:textId="77777777" w:rsidTr="009E1CB4">
        <w:trPr>
          <w:trHeight w:val="5791"/>
        </w:trPr>
        <w:tc>
          <w:tcPr>
            <w:tcW w:w="2911" w:type="dxa"/>
          </w:tcPr>
          <w:p w14:paraId="0EF7DE12" w14:textId="77777777" w:rsidR="00FF05F0" w:rsidRDefault="00FF05F0" w:rsidP="002A3586"/>
          <w:p w14:paraId="560F0B31" w14:textId="77777777" w:rsidR="002A3586" w:rsidRDefault="0079727F" w:rsidP="002A3586">
            <w:r>
              <w:t xml:space="preserve">Primary Fires have increased  in </w:t>
            </w:r>
            <w:r w:rsidR="00267A61">
              <w:t>July</w:t>
            </w:r>
            <w:r>
              <w:t xml:space="preserve"> to </w:t>
            </w:r>
            <w:r w:rsidR="00267A61">
              <w:t xml:space="preserve">282, </w:t>
            </w:r>
            <w:r>
              <w:t xml:space="preserve">from </w:t>
            </w:r>
            <w:r w:rsidR="00267A61">
              <w:t>222</w:t>
            </w:r>
            <w:r w:rsidR="004D2CFE">
              <w:t xml:space="preserve"> in </w:t>
            </w:r>
            <w:r w:rsidR="00267A61">
              <w:t>June (27% increase)</w:t>
            </w:r>
          </w:p>
          <w:p w14:paraId="1A2D288D" w14:textId="77777777" w:rsidR="0079727F" w:rsidRDefault="0079727F" w:rsidP="002A3586"/>
          <w:p w14:paraId="51796337" w14:textId="77777777" w:rsidR="0079727F" w:rsidRDefault="0079727F" w:rsidP="002A3586">
            <w:r>
              <w:t xml:space="preserve">This is the </w:t>
            </w:r>
            <w:r w:rsidR="00267A61">
              <w:t>second consecutive month</w:t>
            </w:r>
            <w:r>
              <w:t xml:space="preserve"> that Primary Fires were higher than the equivalent month last year.</w:t>
            </w:r>
          </w:p>
          <w:p w14:paraId="38E02573" w14:textId="77777777" w:rsidR="002A3586" w:rsidRDefault="002A3586" w:rsidP="005E3A54"/>
        </w:tc>
        <w:tc>
          <w:tcPr>
            <w:tcW w:w="11316" w:type="dxa"/>
          </w:tcPr>
          <w:p w14:paraId="0A0978E8" w14:textId="77777777" w:rsidR="002A3586" w:rsidRDefault="00500CBC" w:rsidP="002A3586">
            <w:r>
              <w:rPr>
                <w:noProof/>
                <w:lang w:eastAsia="en-GB"/>
              </w:rPr>
              <w:drawing>
                <wp:inline distT="0" distB="0" distL="0" distR="0" wp14:anchorId="00101D05" wp14:editId="053601D7">
                  <wp:extent cx="7048500" cy="3133725"/>
                  <wp:effectExtent l="0" t="0" r="0" b="9525"/>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7024BD" w14:textId="77777777" w:rsidR="004228F6" w:rsidRDefault="004228F6" w:rsidP="002A3586">
            <w:r>
              <w:br/>
            </w:r>
          </w:p>
          <w:p w14:paraId="713E32EF" w14:textId="77777777" w:rsidR="000B209F" w:rsidRDefault="004228F6" w:rsidP="004C0B84">
            <w:pPr>
              <w:pStyle w:val="Default"/>
              <w:rPr>
                <w:sz w:val="16"/>
                <w:szCs w:val="16"/>
              </w:rPr>
            </w:pPr>
            <w:r>
              <w:rPr>
                <w:sz w:val="16"/>
                <w:szCs w:val="16"/>
              </w:rPr>
              <w:t xml:space="preserve">Primary Fire: Includes all fires in buildings, vehicles and most outdoor structures or any fire involving casualties, rescues or fires attended by five or more appliances. </w:t>
            </w:r>
          </w:p>
          <w:p w14:paraId="7A34F794" w14:textId="77777777" w:rsidR="00D308EB" w:rsidRDefault="00D308EB" w:rsidP="004C0B84">
            <w:pPr>
              <w:pStyle w:val="Default"/>
              <w:rPr>
                <w:sz w:val="16"/>
                <w:szCs w:val="16"/>
              </w:rPr>
            </w:pPr>
          </w:p>
          <w:p w14:paraId="5D0AD33D" w14:textId="77777777" w:rsidR="00D308EB" w:rsidRDefault="00D308EB" w:rsidP="004C0B84">
            <w:pPr>
              <w:pStyle w:val="Default"/>
              <w:rPr>
                <w:sz w:val="16"/>
                <w:szCs w:val="16"/>
              </w:rPr>
            </w:pPr>
          </w:p>
          <w:p w14:paraId="0356A959" w14:textId="77777777" w:rsidR="00D308EB" w:rsidRDefault="00D308EB" w:rsidP="004C0B84">
            <w:pPr>
              <w:pStyle w:val="Default"/>
              <w:rPr>
                <w:sz w:val="16"/>
                <w:szCs w:val="16"/>
              </w:rPr>
            </w:pPr>
          </w:p>
          <w:p w14:paraId="2EAB7B2C" w14:textId="77777777" w:rsidR="00D308EB" w:rsidRPr="004C0B84" w:rsidRDefault="00D308EB" w:rsidP="004C0B84">
            <w:pPr>
              <w:pStyle w:val="Default"/>
              <w:rPr>
                <w:sz w:val="16"/>
                <w:szCs w:val="16"/>
              </w:rPr>
            </w:pPr>
          </w:p>
        </w:tc>
      </w:tr>
    </w:tbl>
    <w:p w14:paraId="5610A05C" w14:textId="77777777" w:rsidR="00532DB5" w:rsidRDefault="00532DB5" w:rsidP="006D0056"/>
    <w:p w14:paraId="1B993D51" w14:textId="77777777" w:rsidR="005005FE" w:rsidRDefault="005005FE" w:rsidP="006D0056"/>
    <w:p w14:paraId="56E4CF19" w14:textId="77777777" w:rsidR="00FF05F0" w:rsidRDefault="00FF05F0" w:rsidP="006D0056"/>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2A3586" w14:paraId="010CAE35" w14:textId="77777777" w:rsidTr="002C52E0">
        <w:trPr>
          <w:trHeight w:val="1480"/>
        </w:trPr>
        <w:tc>
          <w:tcPr>
            <w:tcW w:w="16727" w:type="dxa"/>
            <w:shd w:val="clear" w:color="auto" w:fill="44546A" w:themeFill="text2"/>
          </w:tcPr>
          <w:p w14:paraId="22E9DE95" w14:textId="77777777" w:rsidR="002A3586" w:rsidRDefault="002A3586" w:rsidP="002C52E0">
            <w:pPr>
              <w:jc w:val="right"/>
            </w:pPr>
            <w:r>
              <w:rPr>
                <w:noProof/>
                <w:lang w:eastAsia="en-GB"/>
              </w:rPr>
              <w:drawing>
                <wp:inline distT="0" distB="0" distL="0" distR="0" wp14:anchorId="03F1515A" wp14:editId="5BCAAC53">
                  <wp:extent cx="1755775" cy="1645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pPr w:leftFromText="180" w:rightFromText="180" w:vertAnchor="text" w:horzAnchor="margin" w:tblpY="735"/>
        <w:tblW w:w="14850" w:type="dxa"/>
        <w:tblLook w:val="04A0" w:firstRow="1" w:lastRow="0" w:firstColumn="1" w:lastColumn="0" w:noHBand="0" w:noVBand="1"/>
      </w:tblPr>
      <w:tblGrid>
        <w:gridCol w:w="3114"/>
        <w:gridCol w:w="11736"/>
      </w:tblGrid>
      <w:tr w:rsidR="00147FB0" w14:paraId="383144B7" w14:textId="77777777" w:rsidTr="006A1F4B">
        <w:trPr>
          <w:trHeight w:val="396"/>
        </w:trPr>
        <w:tc>
          <w:tcPr>
            <w:tcW w:w="3369" w:type="dxa"/>
          </w:tcPr>
          <w:p w14:paraId="5E83E3F2" w14:textId="77777777" w:rsidR="00FD7461" w:rsidRPr="007F56A4" w:rsidRDefault="00FD7461" w:rsidP="00FD7461">
            <w:pPr>
              <w:rPr>
                <w:b/>
                <w:sz w:val="24"/>
                <w:szCs w:val="24"/>
              </w:rPr>
            </w:pPr>
            <w:r w:rsidRPr="007F56A4">
              <w:rPr>
                <w:b/>
                <w:sz w:val="24"/>
                <w:szCs w:val="24"/>
              </w:rPr>
              <w:t>Secondary Fires</w:t>
            </w:r>
          </w:p>
        </w:tc>
        <w:tc>
          <w:tcPr>
            <w:tcW w:w="11481" w:type="dxa"/>
          </w:tcPr>
          <w:p w14:paraId="04CC99B4" w14:textId="77777777" w:rsidR="00FD7461" w:rsidRDefault="00FD7461" w:rsidP="00FD7461"/>
        </w:tc>
      </w:tr>
      <w:tr w:rsidR="00147FB0" w14:paraId="423F5BDD" w14:textId="77777777" w:rsidTr="00500CBC">
        <w:trPr>
          <w:trHeight w:val="5341"/>
        </w:trPr>
        <w:tc>
          <w:tcPr>
            <w:tcW w:w="3369" w:type="dxa"/>
          </w:tcPr>
          <w:p w14:paraId="5525EE68" w14:textId="77777777" w:rsidR="00267A61" w:rsidRDefault="00267A61" w:rsidP="00147FB0"/>
          <w:p w14:paraId="2B37E206" w14:textId="77777777" w:rsidR="00267A61" w:rsidRDefault="00267A61" w:rsidP="00147FB0"/>
          <w:p w14:paraId="19E6DCA5" w14:textId="77777777" w:rsidR="009155FA" w:rsidRDefault="00FD7461" w:rsidP="00147FB0">
            <w:r>
              <w:t xml:space="preserve">Secondary fires </w:t>
            </w:r>
            <w:r w:rsidR="00D47A6A">
              <w:t>increased</w:t>
            </w:r>
            <w:r w:rsidR="002C7B5D">
              <w:t xml:space="preserve"> by </w:t>
            </w:r>
            <w:r w:rsidR="00267A61">
              <w:t>93</w:t>
            </w:r>
            <w:r w:rsidR="002C7B5D">
              <w:t>%</w:t>
            </w:r>
            <w:r w:rsidR="00D47A6A">
              <w:t xml:space="preserve"> </w:t>
            </w:r>
            <w:r w:rsidR="002B23DB">
              <w:t xml:space="preserve">in </w:t>
            </w:r>
            <w:r w:rsidR="00267A61">
              <w:t>July</w:t>
            </w:r>
            <w:r w:rsidR="00147FB0">
              <w:t xml:space="preserve"> </w:t>
            </w:r>
            <w:r w:rsidR="009155FA">
              <w:t xml:space="preserve">to </w:t>
            </w:r>
            <w:r w:rsidR="00267A61">
              <w:t>543</w:t>
            </w:r>
            <w:r w:rsidR="009155FA">
              <w:t xml:space="preserve"> (from</w:t>
            </w:r>
            <w:r w:rsidR="009E1CB4">
              <w:t xml:space="preserve"> </w:t>
            </w:r>
            <w:r w:rsidR="00267A61">
              <w:t xml:space="preserve">281 </w:t>
            </w:r>
            <w:r w:rsidR="009155FA">
              <w:t>last month</w:t>
            </w:r>
            <w:r w:rsidR="007F50DF">
              <w:t xml:space="preserve">, and </w:t>
            </w:r>
            <w:r w:rsidR="00267A61">
              <w:t>199</w:t>
            </w:r>
            <w:r w:rsidR="00D47A6A">
              <w:t xml:space="preserve"> In </w:t>
            </w:r>
            <w:r w:rsidR="00267A61">
              <w:t>May</w:t>
            </w:r>
            <w:r w:rsidR="009155FA">
              <w:t>)</w:t>
            </w:r>
            <w:r w:rsidR="00EC0A57">
              <w:t>.</w:t>
            </w:r>
            <w:r w:rsidR="005E3A54">
              <w:t xml:space="preserve"> </w:t>
            </w:r>
          </w:p>
          <w:p w14:paraId="48AB5EF6" w14:textId="77777777" w:rsidR="00EC0A57" w:rsidRDefault="00EC0A57" w:rsidP="00147FB0"/>
          <w:p w14:paraId="7166E5F8" w14:textId="77777777" w:rsidR="009155FA" w:rsidRDefault="009155FA" w:rsidP="00147FB0"/>
          <w:p w14:paraId="13915CCC" w14:textId="77777777" w:rsidR="00FD7461" w:rsidRDefault="00FD7461" w:rsidP="00EC0A57"/>
        </w:tc>
        <w:tc>
          <w:tcPr>
            <w:tcW w:w="11481" w:type="dxa"/>
          </w:tcPr>
          <w:p w14:paraId="4AA1C1C5" w14:textId="77777777" w:rsidR="00FD7461" w:rsidRDefault="00FD7461" w:rsidP="00FD7461"/>
          <w:p w14:paraId="3A937D3B" w14:textId="77777777" w:rsidR="004228F6" w:rsidRDefault="00500CBC" w:rsidP="00FD7461">
            <w:r>
              <w:rPr>
                <w:noProof/>
                <w:lang w:eastAsia="en-GB"/>
              </w:rPr>
              <w:drawing>
                <wp:inline distT="0" distB="0" distL="0" distR="0" wp14:anchorId="0941D081" wp14:editId="3CE898CA">
                  <wp:extent cx="7305675" cy="2876550"/>
                  <wp:effectExtent l="0" t="0" r="9525" b="0"/>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228F6">
              <w:br/>
            </w:r>
          </w:p>
          <w:p w14:paraId="47381208" w14:textId="77777777" w:rsidR="004228F6" w:rsidRDefault="004228F6" w:rsidP="004228F6">
            <w:pPr>
              <w:pStyle w:val="Default"/>
              <w:rPr>
                <w:sz w:val="16"/>
                <w:szCs w:val="16"/>
              </w:rPr>
            </w:pPr>
            <w:r>
              <w:rPr>
                <w:sz w:val="16"/>
                <w:szCs w:val="16"/>
              </w:rPr>
              <w:t xml:space="preserve">Secondary Fire: An incident that did not occur at a Primary location, was not a chimney fire in an occupied building, did not involve casualties (otherwise categorised as a Primary incident) and was attended by four or fewer appliances (otherwise categorised as a Primary incident). </w:t>
            </w:r>
          </w:p>
          <w:p w14:paraId="4D188F54" w14:textId="77777777" w:rsidR="00FD7461" w:rsidRDefault="00FD7461" w:rsidP="00FD7461"/>
        </w:tc>
      </w:tr>
    </w:tbl>
    <w:p w14:paraId="13B3F8AB" w14:textId="77777777" w:rsidR="002A3586" w:rsidRDefault="002A3586" w:rsidP="006D0056"/>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6A1F4B" w14:paraId="053AF01B" w14:textId="77777777" w:rsidTr="002C52E0">
        <w:trPr>
          <w:trHeight w:val="1480"/>
        </w:trPr>
        <w:tc>
          <w:tcPr>
            <w:tcW w:w="16727" w:type="dxa"/>
            <w:shd w:val="clear" w:color="auto" w:fill="44546A" w:themeFill="text2"/>
          </w:tcPr>
          <w:p w14:paraId="7A576141" w14:textId="77777777" w:rsidR="006A1F4B" w:rsidRDefault="006A1F4B" w:rsidP="002C52E0">
            <w:pPr>
              <w:jc w:val="right"/>
            </w:pPr>
            <w:r>
              <w:rPr>
                <w:noProof/>
                <w:lang w:eastAsia="en-GB"/>
              </w:rPr>
              <w:drawing>
                <wp:inline distT="0" distB="0" distL="0" distR="0" wp14:anchorId="423A5280" wp14:editId="527BDF87">
                  <wp:extent cx="1755775" cy="16459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4119E817" w14:textId="77777777" w:rsidR="006A1F4B" w:rsidRDefault="006A1F4B" w:rsidP="006A1F4B"/>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722212" w14:paraId="32E99CB0" w14:textId="77777777" w:rsidTr="002C52E0">
        <w:trPr>
          <w:trHeight w:val="1480"/>
        </w:trPr>
        <w:tc>
          <w:tcPr>
            <w:tcW w:w="16727" w:type="dxa"/>
            <w:shd w:val="clear" w:color="auto" w:fill="44546A" w:themeFill="text2"/>
          </w:tcPr>
          <w:p w14:paraId="19E9A19C" w14:textId="77777777" w:rsidR="00722212" w:rsidRDefault="00722212" w:rsidP="002C52E0">
            <w:pPr>
              <w:jc w:val="right"/>
            </w:pPr>
            <w:r>
              <w:rPr>
                <w:noProof/>
                <w:lang w:eastAsia="en-GB"/>
              </w:rPr>
              <w:lastRenderedPageBreak/>
              <w:drawing>
                <wp:inline distT="0" distB="0" distL="0" distR="0" wp14:anchorId="753B0E83" wp14:editId="75A8BAF0">
                  <wp:extent cx="1755775" cy="164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472CDC8F" w14:textId="77777777" w:rsidR="00722212" w:rsidRDefault="00722212" w:rsidP="006A1F4B"/>
    <w:tbl>
      <w:tblPr>
        <w:tblStyle w:val="TableGrid"/>
        <w:tblpPr w:leftFromText="180" w:rightFromText="180" w:vertAnchor="text" w:horzAnchor="margin" w:tblpY="181"/>
        <w:tblW w:w="0" w:type="auto"/>
        <w:tblLook w:val="04A0" w:firstRow="1" w:lastRow="0" w:firstColumn="1" w:lastColumn="0" w:noHBand="0" w:noVBand="1"/>
      </w:tblPr>
      <w:tblGrid>
        <w:gridCol w:w="2542"/>
        <w:gridCol w:w="11406"/>
      </w:tblGrid>
      <w:tr w:rsidR="006A1F4B" w14:paraId="6EEBA78B" w14:textId="77777777" w:rsidTr="002C52E0">
        <w:tc>
          <w:tcPr>
            <w:tcW w:w="2542" w:type="dxa"/>
          </w:tcPr>
          <w:p w14:paraId="1F1644E0" w14:textId="77777777" w:rsidR="006A1F4B" w:rsidRPr="007F56A4" w:rsidRDefault="006A1F4B" w:rsidP="006A1F4B">
            <w:pPr>
              <w:rPr>
                <w:sz w:val="24"/>
                <w:szCs w:val="24"/>
              </w:rPr>
            </w:pPr>
            <w:r>
              <w:br w:type="page"/>
            </w:r>
            <w:r>
              <w:rPr>
                <w:b/>
                <w:sz w:val="24"/>
                <w:szCs w:val="24"/>
              </w:rPr>
              <w:t>Accidental Dwelling Fires</w:t>
            </w:r>
          </w:p>
        </w:tc>
        <w:tc>
          <w:tcPr>
            <w:tcW w:w="11406" w:type="dxa"/>
          </w:tcPr>
          <w:p w14:paraId="345D0092" w14:textId="77777777" w:rsidR="006A1F4B" w:rsidRDefault="006A1F4B" w:rsidP="002C52E0"/>
        </w:tc>
      </w:tr>
      <w:tr w:rsidR="006A1F4B" w14:paraId="73EC1497" w14:textId="77777777" w:rsidTr="00500CBC">
        <w:trPr>
          <w:trHeight w:val="5802"/>
        </w:trPr>
        <w:tc>
          <w:tcPr>
            <w:tcW w:w="2542" w:type="dxa"/>
          </w:tcPr>
          <w:p w14:paraId="61877CC6" w14:textId="77777777" w:rsidR="006A1F4B" w:rsidRDefault="006A1F4B" w:rsidP="002C52E0"/>
          <w:p w14:paraId="25CAACBF" w14:textId="77777777" w:rsidR="006A1F4B" w:rsidRDefault="00AA1532" w:rsidP="006A1F4B">
            <w:r>
              <w:t>Accidental Dwelling Fires</w:t>
            </w:r>
            <w:r w:rsidR="00267A61">
              <w:t xml:space="preserve"> (ADF’s) </w:t>
            </w:r>
            <w:r>
              <w:t xml:space="preserve">have remained relatively constant over the </w:t>
            </w:r>
            <w:r w:rsidR="00496C76">
              <w:t>past</w:t>
            </w:r>
            <w:r w:rsidR="00267A61">
              <w:t xml:space="preserve"> 10 </w:t>
            </w:r>
            <w:r>
              <w:t xml:space="preserve">months.  </w:t>
            </w:r>
          </w:p>
          <w:p w14:paraId="6B51D5AE" w14:textId="77777777" w:rsidR="00AA1532" w:rsidRDefault="00AA1532" w:rsidP="006A1F4B"/>
          <w:p w14:paraId="3D7F5A30" w14:textId="77777777" w:rsidR="00AA1532" w:rsidRDefault="00267A61" w:rsidP="00267A61">
            <w:r>
              <w:t>There was an 18% decrease in July to 55 ADF’s, which is the lowest monthly figure since March 2017.</w:t>
            </w:r>
          </w:p>
        </w:tc>
        <w:tc>
          <w:tcPr>
            <w:tcW w:w="11406" w:type="dxa"/>
          </w:tcPr>
          <w:p w14:paraId="59B3C584" w14:textId="77777777" w:rsidR="006A1F4B" w:rsidRDefault="006A1F4B" w:rsidP="002C52E0"/>
          <w:p w14:paraId="60AD503D" w14:textId="77777777" w:rsidR="006A1F4B" w:rsidRPr="004228F6" w:rsidRDefault="00500CBC" w:rsidP="006A1F4B">
            <w:pPr>
              <w:rPr>
                <w:sz w:val="18"/>
                <w:szCs w:val="18"/>
              </w:rPr>
            </w:pPr>
            <w:r>
              <w:rPr>
                <w:noProof/>
                <w:lang w:eastAsia="en-GB"/>
              </w:rPr>
              <w:drawing>
                <wp:inline distT="0" distB="0" distL="0" distR="0" wp14:anchorId="6518730F" wp14:editId="7602F99C">
                  <wp:extent cx="7096125" cy="3257550"/>
                  <wp:effectExtent l="0" t="0" r="9525" b="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A1F4B">
              <w:br/>
            </w:r>
          </w:p>
        </w:tc>
      </w:tr>
    </w:tbl>
    <w:p w14:paraId="42DEDC4B" w14:textId="77777777" w:rsidR="006A1F4B" w:rsidRDefault="006A1F4B" w:rsidP="006D0056"/>
    <w:p w14:paraId="7AB5F166" w14:textId="77777777" w:rsidR="006A1F4B" w:rsidRDefault="006A1F4B" w:rsidP="006D0056"/>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2A3586" w14:paraId="2184991A" w14:textId="77777777" w:rsidTr="002C52E0">
        <w:trPr>
          <w:trHeight w:val="1480"/>
        </w:trPr>
        <w:tc>
          <w:tcPr>
            <w:tcW w:w="16727" w:type="dxa"/>
            <w:shd w:val="clear" w:color="auto" w:fill="44546A" w:themeFill="text2"/>
          </w:tcPr>
          <w:p w14:paraId="30FAD330" w14:textId="77777777" w:rsidR="002A3586" w:rsidRDefault="002A3586" w:rsidP="002C52E0">
            <w:pPr>
              <w:jc w:val="right"/>
            </w:pPr>
            <w:r>
              <w:rPr>
                <w:noProof/>
                <w:lang w:eastAsia="en-GB"/>
              </w:rPr>
              <w:lastRenderedPageBreak/>
              <w:drawing>
                <wp:inline distT="0" distB="0" distL="0" distR="0" wp14:anchorId="6B2EDCD7" wp14:editId="7FDB1804">
                  <wp:extent cx="1755775" cy="16459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76F24AEA" w14:textId="77777777" w:rsidR="002A3586" w:rsidRDefault="002A3586" w:rsidP="006D0056"/>
    <w:tbl>
      <w:tblPr>
        <w:tblStyle w:val="TableGrid"/>
        <w:tblpPr w:leftFromText="180" w:rightFromText="180" w:vertAnchor="text" w:horzAnchor="margin" w:tblpY="181"/>
        <w:tblW w:w="0" w:type="auto"/>
        <w:tblLook w:val="04A0" w:firstRow="1" w:lastRow="0" w:firstColumn="1" w:lastColumn="0" w:noHBand="0" w:noVBand="1"/>
      </w:tblPr>
      <w:tblGrid>
        <w:gridCol w:w="2108"/>
        <w:gridCol w:w="12066"/>
      </w:tblGrid>
      <w:tr w:rsidR="002A3586" w14:paraId="42AC9F8D" w14:textId="77777777" w:rsidTr="002A3586">
        <w:tc>
          <w:tcPr>
            <w:tcW w:w="2542" w:type="dxa"/>
          </w:tcPr>
          <w:p w14:paraId="4830F65B" w14:textId="77777777" w:rsidR="002A3586" w:rsidRPr="007F56A4" w:rsidRDefault="002A3586" w:rsidP="002A3586">
            <w:pPr>
              <w:rPr>
                <w:sz w:val="24"/>
                <w:szCs w:val="24"/>
              </w:rPr>
            </w:pPr>
            <w:r>
              <w:br w:type="page"/>
            </w:r>
            <w:r w:rsidR="005A6014">
              <w:rPr>
                <w:b/>
                <w:sz w:val="24"/>
                <w:szCs w:val="24"/>
              </w:rPr>
              <w:t>Fal</w:t>
            </w:r>
            <w:r w:rsidRPr="007F56A4">
              <w:rPr>
                <w:b/>
                <w:sz w:val="24"/>
                <w:szCs w:val="24"/>
              </w:rPr>
              <w:t>se Alarms</w:t>
            </w:r>
          </w:p>
        </w:tc>
        <w:tc>
          <w:tcPr>
            <w:tcW w:w="11406" w:type="dxa"/>
          </w:tcPr>
          <w:p w14:paraId="1967EAEF" w14:textId="77777777" w:rsidR="002A3586" w:rsidRDefault="002A3586" w:rsidP="002A3586"/>
        </w:tc>
      </w:tr>
      <w:tr w:rsidR="002A3586" w14:paraId="6D689C5B" w14:textId="77777777" w:rsidTr="002474D8">
        <w:trPr>
          <w:trHeight w:val="5802"/>
        </w:trPr>
        <w:tc>
          <w:tcPr>
            <w:tcW w:w="2542" w:type="dxa"/>
          </w:tcPr>
          <w:p w14:paraId="7371BE0F" w14:textId="77777777" w:rsidR="002A3586" w:rsidRDefault="002A3586" w:rsidP="002A3586"/>
          <w:p w14:paraId="6D953D7B" w14:textId="77777777" w:rsidR="002A3586" w:rsidRDefault="00840CBE" w:rsidP="002A3586">
            <w:r>
              <w:t xml:space="preserve">There were 642 false alarm incidents in July which is a 20% increase on June figures.  </w:t>
            </w:r>
          </w:p>
          <w:p w14:paraId="11649797" w14:textId="77777777" w:rsidR="00840CBE" w:rsidRDefault="00840CBE" w:rsidP="002A3586"/>
          <w:p w14:paraId="5B1831BA" w14:textId="77777777" w:rsidR="00840CBE" w:rsidRPr="000E50EB" w:rsidRDefault="00840CBE" w:rsidP="002A3586">
            <w:r>
              <w:t>This is the highest recorded monthly figure for four years.</w:t>
            </w:r>
          </w:p>
          <w:p w14:paraId="4A389D69" w14:textId="77777777" w:rsidR="006104A3" w:rsidRPr="000E50EB" w:rsidRDefault="006104A3" w:rsidP="002A3586"/>
          <w:p w14:paraId="78FBB41C" w14:textId="77777777" w:rsidR="002A3586" w:rsidRPr="000E50EB" w:rsidRDefault="002A3586" w:rsidP="002A3586"/>
          <w:p w14:paraId="6B3996BF" w14:textId="77777777" w:rsidR="002A3586" w:rsidRDefault="002A3586" w:rsidP="002C7B5D"/>
        </w:tc>
        <w:tc>
          <w:tcPr>
            <w:tcW w:w="11406" w:type="dxa"/>
          </w:tcPr>
          <w:p w14:paraId="1B5911E7" w14:textId="77777777" w:rsidR="002A3586" w:rsidRDefault="002474D8" w:rsidP="002A3586">
            <w:r>
              <w:rPr>
                <w:noProof/>
                <w:lang w:eastAsia="en-GB"/>
              </w:rPr>
              <w:drawing>
                <wp:inline distT="0" distB="0" distL="0" distR="0" wp14:anchorId="133551A9" wp14:editId="7F8A6BC6">
                  <wp:extent cx="7524750" cy="3019425"/>
                  <wp:effectExtent l="0" t="0" r="0" b="9525"/>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108FC7" w14:textId="77777777" w:rsidR="002A3586" w:rsidRPr="004228F6" w:rsidRDefault="004228F6" w:rsidP="004228F6">
            <w:pPr>
              <w:rPr>
                <w:sz w:val="18"/>
                <w:szCs w:val="18"/>
              </w:rPr>
            </w:pPr>
            <w:r>
              <w:br/>
            </w:r>
            <w:r w:rsidRPr="004228F6">
              <w:rPr>
                <w:sz w:val="18"/>
                <w:szCs w:val="18"/>
              </w:rPr>
              <w:t>These Incidents relate to all false alarm calls (not just faulty alarm systems</w:t>
            </w:r>
            <w:r w:rsidR="006A1F4B">
              <w:rPr>
                <w:sz w:val="18"/>
                <w:szCs w:val="18"/>
              </w:rPr>
              <w:t>)</w:t>
            </w:r>
          </w:p>
        </w:tc>
      </w:tr>
    </w:tbl>
    <w:p w14:paraId="614351CF" w14:textId="77777777" w:rsidR="002A3586" w:rsidRDefault="002A3586" w:rsidP="006D0056"/>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267D5D" w14:paraId="7C8C2FA1" w14:textId="77777777" w:rsidTr="002C52E0">
        <w:trPr>
          <w:trHeight w:val="1480"/>
        </w:trPr>
        <w:tc>
          <w:tcPr>
            <w:tcW w:w="16727" w:type="dxa"/>
            <w:shd w:val="clear" w:color="auto" w:fill="44546A" w:themeFill="text2"/>
          </w:tcPr>
          <w:p w14:paraId="6EA64AB0" w14:textId="77777777" w:rsidR="00267D5D" w:rsidRDefault="00267D5D" w:rsidP="002C52E0">
            <w:pPr>
              <w:jc w:val="right"/>
            </w:pPr>
            <w:r>
              <w:rPr>
                <w:noProof/>
                <w:lang w:eastAsia="en-GB"/>
              </w:rPr>
              <w:lastRenderedPageBreak/>
              <w:drawing>
                <wp:inline distT="0" distB="0" distL="0" distR="0" wp14:anchorId="7C5591A6" wp14:editId="79C17DEB">
                  <wp:extent cx="1755775"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p w14:paraId="290C30B2" w14:textId="77777777" w:rsidR="002A3586" w:rsidRDefault="002A3586" w:rsidP="006D0056"/>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2A3586" w14:paraId="5DA42417" w14:textId="77777777" w:rsidTr="002C52E0">
        <w:trPr>
          <w:trHeight w:val="1480"/>
        </w:trPr>
        <w:tc>
          <w:tcPr>
            <w:tcW w:w="16727" w:type="dxa"/>
            <w:shd w:val="clear" w:color="auto" w:fill="44546A" w:themeFill="text2"/>
          </w:tcPr>
          <w:p w14:paraId="53B4E438" w14:textId="77777777" w:rsidR="002A3586" w:rsidRDefault="002A3586" w:rsidP="002C52E0">
            <w:pPr>
              <w:jc w:val="right"/>
            </w:pPr>
            <w:r>
              <w:rPr>
                <w:noProof/>
                <w:lang w:eastAsia="en-GB"/>
              </w:rPr>
              <w:drawing>
                <wp:inline distT="0" distB="0" distL="0" distR="0" wp14:anchorId="0F08A0E0" wp14:editId="591078A1">
                  <wp:extent cx="1755775" cy="164592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p>
        </w:tc>
      </w:tr>
    </w:tbl>
    <w:tbl>
      <w:tblPr>
        <w:tblStyle w:val="TableGrid"/>
        <w:tblpPr w:leftFromText="180" w:rightFromText="180" w:vertAnchor="text" w:horzAnchor="margin" w:tblpY="120"/>
        <w:tblW w:w="14260" w:type="dxa"/>
        <w:tblLayout w:type="fixed"/>
        <w:tblLook w:val="04A0" w:firstRow="1" w:lastRow="0" w:firstColumn="1" w:lastColumn="0" w:noHBand="0" w:noVBand="1"/>
      </w:tblPr>
      <w:tblGrid>
        <w:gridCol w:w="2705"/>
        <w:gridCol w:w="11555"/>
      </w:tblGrid>
      <w:tr w:rsidR="00267D5D" w14:paraId="1D922EFB" w14:textId="77777777" w:rsidTr="00D109B1">
        <w:trPr>
          <w:trHeight w:val="129"/>
        </w:trPr>
        <w:tc>
          <w:tcPr>
            <w:tcW w:w="2705" w:type="dxa"/>
          </w:tcPr>
          <w:p w14:paraId="7D0967D5" w14:textId="77777777" w:rsidR="00267D5D" w:rsidRPr="007F56A4" w:rsidRDefault="00267D5D" w:rsidP="00267D5D">
            <w:pPr>
              <w:rPr>
                <w:sz w:val="24"/>
                <w:szCs w:val="24"/>
              </w:rPr>
            </w:pPr>
            <w:r w:rsidRPr="007F56A4">
              <w:rPr>
                <w:b/>
                <w:sz w:val="24"/>
                <w:szCs w:val="24"/>
              </w:rPr>
              <w:t>Road Traffic Collisions by Station</w:t>
            </w:r>
          </w:p>
        </w:tc>
        <w:tc>
          <w:tcPr>
            <w:tcW w:w="11555" w:type="dxa"/>
          </w:tcPr>
          <w:p w14:paraId="6CE162A4" w14:textId="77777777" w:rsidR="00267D5D" w:rsidRDefault="00267D5D" w:rsidP="00267D5D"/>
        </w:tc>
      </w:tr>
      <w:tr w:rsidR="00267D5D" w14:paraId="77F5E677" w14:textId="77777777" w:rsidTr="002474D8">
        <w:trPr>
          <w:trHeight w:val="5146"/>
        </w:trPr>
        <w:tc>
          <w:tcPr>
            <w:tcW w:w="2705" w:type="dxa"/>
          </w:tcPr>
          <w:p w14:paraId="0C212156" w14:textId="77777777" w:rsidR="00267D5D" w:rsidRDefault="00267D5D" w:rsidP="00267D5D"/>
          <w:p w14:paraId="6E08A506" w14:textId="77777777" w:rsidR="00D25305" w:rsidRDefault="00267D5D" w:rsidP="00267D5D">
            <w:r>
              <w:t xml:space="preserve">In </w:t>
            </w:r>
            <w:r w:rsidR="005943C1">
              <w:t>June</w:t>
            </w:r>
            <w:r>
              <w:t xml:space="preserve"> </w:t>
            </w:r>
            <w:r w:rsidR="00840CBE">
              <w:t>95</w:t>
            </w:r>
            <w:r>
              <w:t xml:space="preserve"> Road Traffic Collisions </w:t>
            </w:r>
            <w:r w:rsidR="00D25305">
              <w:t xml:space="preserve">were </w:t>
            </w:r>
            <w:r>
              <w:t>attended.  This is</w:t>
            </w:r>
            <w:r w:rsidR="00217B1B">
              <w:t xml:space="preserve"> a</w:t>
            </w:r>
            <w:r w:rsidR="00840CBE">
              <w:t>n</w:t>
            </w:r>
            <w:r w:rsidR="00D25305">
              <w:t xml:space="preserve"> </w:t>
            </w:r>
            <w:r w:rsidR="00840CBE">
              <w:t>8</w:t>
            </w:r>
            <w:r w:rsidR="00D25305">
              <w:t xml:space="preserve">% </w:t>
            </w:r>
            <w:r w:rsidR="00840CBE">
              <w:t>decrease</w:t>
            </w:r>
            <w:r w:rsidR="002C7B5D">
              <w:t xml:space="preserve"> on </w:t>
            </w:r>
            <w:r w:rsidR="00840CBE">
              <w:t>the 103</w:t>
            </w:r>
            <w:r w:rsidR="00D25305">
              <w:t xml:space="preserve"> incidents in </w:t>
            </w:r>
            <w:r w:rsidR="00840CBE">
              <w:t>June</w:t>
            </w:r>
            <w:r>
              <w:t xml:space="preserve">.     </w:t>
            </w:r>
          </w:p>
          <w:p w14:paraId="5CAFCDA4" w14:textId="77777777" w:rsidR="00D25305" w:rsidRDefault="00D25305" w:rsidP="00267D5D"/>
          <w:p w14:paraId="5F70ED29" w14:textId="77777777" w:rsidR="00D25305" w:rsidRDefault="00D25305" w:rsidP="00267D5D"/>
          <w:p w14:paraId="0A471CE8" w14:textId="77777777" w:rsidR="00267D5D" w:rsidRDefault="00267D5D" w:rsidP="00267D5D">
            <w:r>
              <w:t xml:space="preserve">These incidents usually take longer to respond to, and on average took </w:t>
            </w:r>
            <w:r w:rsidR="00840CBE">
              <w:t>11</w:t>
            </w:r>
            <w:r w:rsidR="00BF5458">
              <w:t xml:space="preserve"> m</w:t>
            </w:r>
            <w:r>
              <w:t xml:space="preserve">inutes and </w:t>
            </w:r>
            <w:r w:rsidR="00840CBE">
              <w:t>16</w:t>
            </w:r>
            <w:r>
              <w:t xml:space="preserve"> seconds</w:t>
            </w:r>
            <w:r w:rsidR="002B23DB">
              <w:t xml:space="preserve"> to attend</w:t>
            </w:r>
            <w:r>
              <w:t xml:space="preserve">.  This is </w:t>
            </w:r>
            <w:r w:rsidR="00BF5458">
              <w:t>3</w:t>
            </w:r>
            <w:r w:rsidR="00840CBE">
              <w:t>8</w:t>
            </w:r>
            <w:r>
              <w:t xml:space="preserve"> seconds </w:t>
            </w:r>
            <w:r w:rsidR="00840CBE">
              <w:t>slower</w:t>
            </w:r>
            <w:r>
              <w:t xml:space="preserve"> than last month.</w:t>
            </w:r>
          </w:p>
          <w:p w14:paraId="652CB00B" w14:textId="77777777" w:rsidR="00267D5D" w:rsidRDefault="00267D5D" w:rsidP="00267D5D"/>
          <w:p w14:paraId="7E6A85EF" w14:textId="77777777" w:rsidR="00267D5D" w:rsidRDefault="00267D5D" w:rsidP="00267D5D">
            <w:r>
              <w:t xml:space="preserve"> </w:t>
            </w:r>
          </w:p>
        </w:tc>
        <w:tc>
          <w:tcPr>
            <w:tcW w:w="11555" w:type="dxa"/>
          </w:tcPr>
          <w:p w14:paraId="57A13043" w14:textId="77777777" w:rsidR="00267D5D" w:rsidRDefault="00267D5D" w:rsidP="00267D5D"/>
          <w:p w14:paraId="5DC55FB7" w14:textId="77777777" w:rsidR="00267D5D" w:rsidRDefault="002474D8" w:rsidP="00267D5D">
            <w:r>
              <w:rPr>
                <w:noProof/>
                <w:lang w:eastAsia="en-GB"/>
              </w:rPr>
              <w:drawing>
                <wp:inline distT="0" distB="0" distL="0" distR="0" wp14:anchorId="67F0AEB9" wp14:editId="176BE12D">
                  <wp:extent cx="7085965" cy="3028950"/>
                  <wp:effectExtent l="0" t="0" r="635" b="0"/>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2F974E28" w14:textId="297F6787" w:rsidR="00026035" w:rsidRDefault="00026035" w:rsidP="00267D5D"/>
    <w:p w14:paraId="17B370C0" w14:textId="1A669E52" w:rsidR="00026035" w:rsidRDefault="00026035">
      <w:r>
        <w:br w:type="page"/>
      </w:r>
    </w:p>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026035" w14:paraId="6526DFA8" w14:textId="77777777" w:rsidTr="00CB5CFE">
        <w:trPr>
          <w:trHeight w:val="1480"/>
        </w:trPr>
        <w:tc>
          <w:tcPr>
            <w:tcW w:w="16727" w:type="dxa"/>
            <w:shd w:val="clear" w:color="auto" w:fill="44546A" w:themeFill="text2"/>
          </w:tcPr>
          <w:p w14:paraId="740E56DA" w14:textId="77777777" w:rsidR="00026035" w:rsidRDefault="00026035" w:rsidP="00CB5CFE">
            <w:pPr>
              <w:jc w:val="right"/>
            </w:pPr>
            <w:r>
              <w:rPr>
                <w:noProof/>
                <w:lang w:eastAsia="en-GB"/>
              </w:rPr>
              <w:lastRenderedPageBreak/>
              <w:drawing>
                <wp:inline distT="0" distB="0" distL="0" distR="0" wp14:anchorId="1F5F109E" wp14:editId="01B977B7">
                  <wp:extent cx="1441450" cy="1351262"/>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75" cy="1359067"/>
                          </a:xfrm>
                          <a:prstGeom prst="rect">
                            <a:avLst/>
                          </a:prstGeom>
                          <a:noFill/>
                        </pic:spPr>
                      </pic:pic>
                    </a:graphicData>
                  </a:graphic>
                </wp:inline>
              </w:drawing>
            </w:r>
          </w:p>
        </w:tc>
      </w:tr>
    </w:tbl>
    <w:p w14:paraId="044F1052" w14:textId="77777777" w:rsidR="00026035" w:rsidRPr="008A4D8A" w:rsidRDefault="00026035" w:rsidP="00026035">
      <w:pPr>
        <w:rPr>
          <w:b/>
        </w:rPr>
      </w:pPr>
      <w:r w:rsidRPr="008A4D8A">
        <w:rPr>
          <w:b/>
        </w:rPr>
        <w:t>HEALTH &amp; SAFETY OVERVIEW – JULY 2018</w:t>
      </w:r>
    </w:p>
    <w:tbl>
      <w:tblPr>
        <w:tblStyle w:val="TableGrid"/>
        <w:tblW w:w="1516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3126"/>
        <w:gridCol w:w="5663"/>
      </w:tblGrid>
      <w:tr w:rsidR="00026035" w14:paraId="2E05CCFA" w14:textId="77777777" w:rsidTr="00CB5CFE">
        <w:tc>
          <w:tcPr>
            <w:tcW w:w="3261" w:type="dxa"/>
          </w:tcPr>
          <w:p w14:paraId="6831DEB9" w14:textId="77777777" w:rsidR="00026035" w:rsidRDefault="00026035" w:rsidP="00CB5CFE">
            <w:r>
              <w:rPr>
                <w:noProof/>
                <w:lang w:eastAsia="en-GB"/>
              </w:rPr>
              <w:drawing>
                <wp:inline distT="0" distB="0" distL="0" distR="0" wp14:anchorId="25DFFF62" wp14:editId="1D5506E7">
                  <wp:extent cx="1876425" cy="1314450"/>
                  <wp:effectExtent l="0" t="0" r="9525" b="0"/>
                  <wp:docPr id="9" name="Chart 9">
                    <a:extLst xmlns:a="http://schemas.openxmlformats.org/drawingml/2006/main">
                      <a:ext uri="{FF2B5EF4-FFF2-40B4-BE49-F238E27FC236}">
                        <a16:creationId xmlns:a16="http://schemas.microsoft.com/office/drawing/2014/main" id="{0218F44F-CD68-4D7E-90CB-0C24C22253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118" w:type="dxa"/>
          </w:tcPr>
          <w:p w14:paraId="5C3A3D3E" w14:textId="77777777" w:rsidR="00026035" w:rsidRPr="008A58B8" w:rsidRDefault="00026035" w:rsidP="00CB5CFE">
            <w:r>
              <w:rPr>
                <w:noProof/>
                <w:lang w:eastAsia="en-GB"/>
              </w:rPr>
              <w:drawing>
                <wp:inline distT="0" distB="0" distL="0" distR="0" wp14:anchorId="61F69D83" wp14:editId="4D05A360">
                  <wp:extent cx="1790700" cy="1314450"/>
                  <wp:effectExtent l="0" t="0" r="0" b="0"/>
                  <wp:docPr id="3" name="Chart 3">
                    <a:extLst xmlns:a="http://schemas.openxmlformats.org/drawingml/2006/main">
                      <a:ext uri="{FF2B5EF4-FFF2-40B4-BE49-F238E27FC236}">
                        <a16:creationId xmlns:a16="http://schemas.microsoft.com/office/drawing/2014/main" id="{5DCEF75E-6BFB-4065-838F-B5ED713D91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119" w:type="dxa"/>
            <w:tcBorders>
              <w:right w:val="single" w:sz="4" w:space="0" w:color="auto"/>
            </w:tcBorders>
          </w:tcPr>
          <w:p w14:paraId="414C4BCA" w14:textId="77777777" w:rsidR="00026035" w:rsidRDefault="00026035" w:rsidP="00CB5CFE">
            <w:r>
              <w:rPr>
                <w:noProof/>
                <w:lang w:eastAsia="en-GB"/>
              </w:rPr>
              <w:drawing>
                <wp:inline distT="0" distB="0" distL="0" distR="0" wp14:anchorId="6C596C38" wp14:editId="3D999216">
                  <wp:extent cx="1838325" cy="1314450"/>
                  <wp:effectExtent l="0" t="0" r="9525" b="0"/>
                  <wp:docPr id="10" name="Chart 10">
                    <a:extLst xmlns:a="http://schemas.openxmlformats.org/drawingml/2006/main">
                      <a:ext uri="{FF2B5EF4-FFF2-40B4-BE49-F238E27FC236}">
                        <a16:creationId xmlns:a16="http://schemas.microsoft.com/office/drawing/2014/main" id="{151EBB92-27FD-491C-8E14-B49666B61A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670" w:type="dxa"/>
            <w:tcBorders>
              <w:top w:val="single" w:sz="4" w:space="0" w:color="auto"/>
              <w:left w:val="single" w:sz="4" w:space="0" w:color="auto"/>
              <w:bottom w:val="single" w:sz="4" w:space="0" w:color="auto"/>
              <w:right w:val="single" w:sz="4" w:space="0" w:color="auto"/>
            </w:tcBorders>
          </w:tcPr>
          <w:p w14:paraId="27045D2D" w14:textId="77777777" w:rsidR="00026035" w:rsidRDefault="00026035" w:rsidP="00CB5CFE">
            <w:r>
              <w:t xml:space="preserve">17 Accidents were reported in July, all of which were minor (54% increase from previous month) </w:t>
            </w:r>
          </w:p>
          <w:p w14:paraId="6D774430" w14:textId="77777777" w:rsidR="00026035" w:rsidRDefault="00026035" w:rsidP="00CB5CFE"/>
          <w:p w14:paraId="137FD229" w14:textId="77777777" w:rsidR="00026035" w:rsidRDefault="00026035" w:rsidP="00CB5CFE">
            <w:r>
              <w:t xml:space="preserve">5 Hazards (58% reduction from previous month) </w:t>
            </w:r>
          </w:p>
          <w:p w14:paraId="29AE37F4" w14:textId="77777777" w:rsidR="00026035" w:rsidRDefault="00026035" w:rsidP="00CB5CFE"/>
          <w:p w14:paraId="1BA542F1" w14:textId="77777777" w:rsidR="00026035" w:rsidRDefault="00026035" w:rsidP="00CB5CFE">
            <w:r>
              <w:t>5 Near misses (66% increase from previous month)</w:t>
            </w:r>
          </w:p>
        </w:tc>
      </w:tr>
      <w:tr w:rsidR="00026035" w14:paraId="0FA4E188" w14:textId="77777777" w:rsidTr="00CB5CFE">
        <w:tc>
          <w:tcPr>
            <w:tcW w:w="15168" w:type="dxa"/>
            <w:gridSpan w:val="4"/>
          </w:tcPr>
          <w:p w14:paraId="2F9559DB" w14:textId="77777777" w:rsidR="00026035" w:rsidRDefault="00026035" w:rsidP="00CB5CFE">
            <w:pPr>
              <w:spacing w:before="120"/>
            </w:pPr>
            <w:r>
              <w:t>A good health and safety culture would show that there are more Hazards reported than accidents and near misses. To increase Hazard reporting we will be highlighting the benefits of reporting whilst on our Health &amp; Safety Roadshow visits.</w:t>
            </w:r>
          </w:p>
        </w:tc>
      </w:tr>
      <w:tr w:rsidR="00026035" w14:paraId="21A9A305" w14:textId="77777777" w:rsidTr="00CB5CFE">
        <w:tc>
          <w:tcPr>
            <w:tcW w:w="3261" w:type="dxa"/>
          </w:tcPr>
          <w:p w14:paraId="436CD002" w14:textId="77777777" w:rsidR="00026035" w:rsidRDefault="00026035" w:rsidP="00CB5CFE">
            <w:pPr>
              <w:rPr>
                <w:noProof/>
              </w:rPr>
            </w:pPr>
            <w:r>
              <w:rPr>
                <w:noProof/>
                <w:lang w:eastAsia="en-GB"/>
              </w:rPr>
              <w:drawing>
                <wp:inline distT="0" distB="0" distL="0" distR="0" wp14:anchorId="478625A4" wp14:editId="005EE1A5">
                  <wp:extent cx="1876425" cy="1257300"/>
                  <wp:effectExtent l="0" t="0" r="9525" b="0"/>
                  <wp:docPr id="14" name="Chart 14">
                    <a:extLst xmlns:a="http://schemas.openxmlformats.org/drawingml/2006/main">
                      <a:ext uri="{FF2B5EF4-FFF2-40B4-BE49-F238E27FC236}">
                        <a16:creationId xmlns:a16="http://schemas.microsoft.com/office/drawing/2014/main" id="{C169C652-2A03-4D7A-BC07-63CE07FD80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3118" w:type="dxa"/>
          </w:tcPr>
          <w:p w14:paraId="4074C002" w14:textId="77777777" w:rsidR="00026035" w:rsidRDefault="00026035" w:rsidP="00CB5CFE">
            <w:pPr>
              <w:rPr>
                <w:noProof/>
              </w:rPr>
            </w:pPr>
            <w:r>
              <w:rPr>
                <w:noProof/>
                <w:lang w:eastAsia="en-GB"/>
              </w:rPr>
              <w:drawing>
                <wp:inline distT="0" distB="0" distL="0" distR="0" wp14:anchorId="53031AFB" wp14:editId="392EF730">
                  <wp:extent cx="1790700" cy="1257300"/>
                  <wp:effectExtent l="0" t="0" r="0" b="0"/>
                  <wp:docPr id="18" name="Chart 18">
                    <a:extLst xmlns:a="http://schemas.openxmlformats.org/drawingml/2006/main">
                      <a:ext uri="{FF2B5EF4-FFF2-40B4-BE49-F238E27FC236}">
                        <a16:creationId xmlns:a16="http://schemas.microsoft.com/office/drawing/2014/main" id="{6B900ADD-2665-4B35-98B6-959AAF030D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3119" w:type="dxa"/>
            <w:tcBorders>
              <w:right w:val="single" w:sz="4" w:space="0" w:color="auto"/>
            </w:tcBorders>
          </w:tcPr>
          <w:p w14:paraId="59F6DA0D" w14:textId="77777777" w:rsidR="00026035" w:rsidRDefault="00026035" w:rsidP="00CB5CFE">
            <w:pPr>
              <w:rPr>
                <w:noProof/>
              </w:rPr>
            </w:pPr>
            <w:r>
              <w:rPr>
                <w:noProof/>
                <w:lang w:eastAsia="en-GB"/>
              </w:rPr>
              <w:drawing>
                <wp:inline distT="0" distB="0" distL="0" distR="0" wp14:anchorId="59CDB2CB" wp14:editId="43510517">
                  <wp:extent cx="1838325" cy="1257300"/>
                  <wp:effectExtent l="0" t="0" r="9525" b="0"/>
                  <wp:docPr id="20" name="Chart 20">
                    <a:extLst xmlns:a="http://schemas.openxmlformats.org/drawingml/2006/main">
                      <a:ext uri="{FF2B5EF4-FFF2-40B4-BE49-F238E27FC236}">
                        <a16:creationId xmlns:a16="http://schemas.microsoft.com/office/drawing/2014/main" id="{68F08D7B-4754-47E3-B3CD-51850225F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670" w:type="dxa"/>
            <w:tcBorders>
              <w:top w:val="single" w:sz="4" w:space="0" w:color="auto"/>
              <w:left w:val="single" w:sz="4" w:space="0" w:color="auto"/>
              <w:bottom w:val="single" w:sz="4" w:space="0" w:color="auto"/>
              <w:right w:val="single" w:sz="4" w:space="0" w:color="auto"/>
            </w:tcBorders>
          </w:tcPr>
          <w:p w14:paraId="6E180FF1" w14:textId="77777777" w:rsidR="00026035" w:rsidRDefault="00026035" w:rsidP="00CB5CFE">
            <w:r>
              <w:t xml:space="preserve">There was 1 verbal attack on Fire Service personnel = same as last month </w:t>
            </w:r>
          </w:p>
          <w:p w14:paraId="2C288DFB" w14:textId="77777777" w:rsidR="00026035" w:rsidRDefault="00026035" w:rsidP="00CB5CFE"/>
          <w:p w14:paraId="2ADBB2B9" w14:textId="77777777" w:rsidR="00026035" w:rsidRDefault="00026035" w:rsidP="00CB5CFE">
            <w:r>
              <w:t xml:space="preserve">9 RTC which were all minor incidents at slow speed (80% increase from previous month) </w:t>
            </w:r>
          </w:p>
          <w:p w14:paraId="49642332" w14:textId="77777777" w:rsidR="00026035" w:rsidRDefault="00026035" w:rsidP="00CB5CFE"/>
          <w:p w14:paraId="21A713A7" w14:textId="77777777" w:rsidR="00026035" w:rsidRDefault="00026035" w:rsidP="00CB5CFE">
            <w:r>
              <w:t>2 RIDDOR reports – both over 7-day events</w:t>
            </w:r>
          </w:p>
        </w:tc>
      </w:tr>
      <w:tr w:rsidR="00026035" w14:paraId="64551E64" w14:textId="77777777" w:rsidTr="00CB5CFE">
        <w:tc>
          <w:tcPr>
            <w:tcW w:w="15168" w:type="dxa"/>
            <w:gridSpan w:val="4"/>
            <w:tcBorders>
              <w:bottom w:val="single" w:sz="4" w:space="0" w:color="auto"/>
            </w:tcBorders>
          </w:tcPr>
          <w:p w14:paraId="03DFB6E2" w14:textId="77777777" w:rsidR="00026035" w:rsidRDefault="00026035" w:rsidP="00CB5CFE">
            <w:pPr>
              <w:spacing w:before="120"/>
            </w:pPr>
            <w:r>
              <w:t>There was 1 verbal attack on Fire Service personnel = same as last month 9 RTC which were all minor incidents at slow speed (80% increase from previous month) 2 RIDDOR reports – both over 7-day events</w:t>
            </w:r>
          </w:p>
          <w:p w14:paraId="3877BB31" w14:textId="77777777" w:rsidR="00026035" w:rsidRDefault="00026035" w:rsidP="00CB5CFE">
            <w:pPr>
              <w:spacing w:before="120"/>
            </w:pPr>
          </w:p>
        </w:tc>
      </w:tr>
      <w:tr w:rsidR="00026035" w14:paraId="5B6DFF17" w14:textId="77777777" w:rsidTr="00CB5CFE">
        <w:tc>
          <w:tcPr>
            <w:tcW w:w="15168" w:type="dxa"/>
            <w:gridSpan w:val="4"/>
            <w:tcBorders>
              <w:top w:val="single" w:sz="4" w:space="0" w:color="auto"/>
              <w:left w:val="single" w:sz="4" w:space="0" w:color="auto"/>
              <w:bottom w:val="single" w:sz="4" w:space="0" w:color="auto"/>
              <w:right w:val="single" w:sz="4" w:space="0" w:color="auto"/>
            </w:tcBorders>
          </w:tcPr>
          <w:p w14:paraId="307BC922" w14:textId="77777777" w:rsidR="00026035" w:rsidRDefault="00026035" w:rsidP="00CB5CFE">
            <w:pPr>
              <w:pStyle w:val="ListParagraph"/>
              <w:numPr>
                <w:ilvl w:val="0"/>
                <w:numId w:val="1"/>
              </w:numPr>
            </w:pPr>
            <w:r>
              <w:t xml:space="preserve">The Health and Safety Roadshow has continued throughout July with visits to Grays and Epping. </w:t>
            </w:r>
          </w:p>
          <w:p w14:paraId="17DFD8EC" w14:textId="77777777" w:rsidR="00026035" w:rsidRDefault="00026035" w:rsidP="00CB5CFE">
            <w:pPr>
              <w:pStyle w:val="ListParagraph"/>
              <w:numPr>
                <w:ilvl w:val="0"/>
                <w:numId w:val="1"/>
              </w:numPr>
            </w:pPr>
            <w:r>
              <w:t xml:space="preserve">Toolbox Talk No 25 – “ Cleaning structural firefighting PPE” was issued as a follow up to No 24 last month regarding contaminated equipment. </w:t>
            </w:r>
          </w:p>
          <w:p w14:paraId="019198B9" w14:textId="77777777" w:rsidR="00026035" w:rsidRDefault="00026035" w:rsidP="00CB5CFE">
            <w:pPr>
              <w:pStyle w:val="ListParagraph"/>
              <w:numPr>
                <w:ilvl w:val="0"/>
                <w:numId w:val="1"/>
              </w:numPr>
            </w:pPr>
            <w:r>
              <w:t xml:space="preserve">Toolbox talk No 26 – “Safety event reporting on OSHENS and GDPR” was issued following a number of reports being received incorrectly. All personal details are to be kept out of the main description so this was issued as a reminder to all staff. </w:t>
            </w:r>
          </w:p>
          <w:p w14:paraId="499CB385" w14:textId="77777777" w:rsidR="00026035" w:rsidRDefault="00026035" w:rsidP="00CB5CFE">
            <w:pPr>
              <w:pStyle w:val="ListParagraph"/>
              <w:numPr>
                <w:ilvl w:val="0"/>
                <w:numId w:val="1"/>
              </w:numPr>
            </w:pPr>
            <w:r>
              <w:t xml:space="preserve">The patch repairing of hose was stopped following recommendation from the Long Acre Farm SAIB. The tool used to carry out patch repairs has now been removed from workshops and all damaged hose will be replaced with new hose going forward. </w:t>
            </w:r>
          </w:p>
          <w:p w14:paraId="1B9FC5A5" w14:textId="77777777" w:rsidR="00026035" w:rsidRDefault="00026035" w:rsidP="00CB5CFE">
            <w:pPr>
              <w:pStyle w:val="ListParagraph"/>
              <w:numPr>
                <w:ilvl w:val="0"/>
                <w:numId w:val="1"/>
              </w:numPr>
            </w:pPr>
            <w:r>
              <w:t>All COSHH data sheets have been loaded on to the Services COSHH database (Cypol). The next stage will be to provide access for all stations so they can log onto the central data base to view COSHH data sheets and risk assessments when required.</w:t>
            </w:r>
          </w:p>
        </w:tc>
      </w:tr>
    </w:tbl>
    <w:p w14:paraId="096602A0" w14:textId="634F6963" w:rsidR="00026035" w:rsidRDefault="00026035" w:rsidP="00267D5D"/>
    <w:tbl>
      <w:tblPr>
        <w:tblStyle w:val="TableGrid"/>
        <w:tblpPr w:leftFromText="180" w:rightFromText="180" w:vertAnchor="text" w:horzAnchor="margin" w:tblpXSpec="center" w:tblpY="-3980"/>
        <w:tblW w:w="16727" w:type="dxa"/>
        <w:shd w:val="clear" w:color="auto" w:fill="44546A" w:themeFill="text2"/>
        <w:tblLook w:val="04A0" w:firstRow="1" w:lastRow="0" w:firstColumn="1" w:lastColumn="0" w:noHBand="0" w:noVBand="1"/>
      </w:tblPr>
      <w:tblGrid>
        <w:gridCol w:w="16727"/>
      </w:tblGrid>
      <w:tr w:rsidR="00026035" w14:paraId="5F4853EA" w14:textId="77777777" w:rsidTr="00CB5CFE">
        <w:trPr>
          <w:trHeight w:val="1480"/>
        </w:trPr>
        <w:tc>
          <w:tcPr>
            <w:tcW w:w="16727" w:type="dxa"/>
            <w:shd w:val="clear" w:color="auto" w:fill="44546A" w:themeFill="text2"/>
          </w:tcPr>
          <w:p w14:paraId="1A44DFBF" w14:textId="77777777" w:rsidR="00026035" w:rsidRDefault="00026035" w:rsidP="00CB5CFE">
            <w:pPr>
              <w:jc w:val="right"/>
            </w:pPr>
            <w:r>
              <w:rPr>
                <w:noProof/>
                <w:lang w:eastAsia="en-GB"/>
              </w:rPr>
              <w:lastRenderedPageBreak/>
              <w:drawing>
                <wp:inline distT="0" distB="0" distL="0" distR="0" wp14:anchorId="74C81451" wp14:editId="3AC05F3D">
                  <wp:extent cx="1441450" cy="135126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75" cy="1359067"/>
                          </a:xfrm>
                          <a:prstGeom prst="rect">
                            <a:avLst/>
                          </a:prstGeom>
                          <a:noFill/>
                        </pic:spPr>
                      </pic:pic>
                    </a:graphicData>
                  </a:graphic>
                </wp:inline>
              </w:drawing>
            </w:r>
          </w:p>
        </w:tc>
      </w:tr>
    </w:tbl>
    <w:p w14:paraId="090C40E4" w14:textId="77777777" w:rsidR="00026035" w:rsidRPr="008A4D8A" w:rsidRDefault="00026035" w:rsidP="00026035">
      <w:pPr>
        <w:rPr>
          <w:b/>
        </w:rPr>
      </w:pPr>
      <w:r w:rsidRPr="008A4D8A">
        <w:rPr>
          <w:b/>
        </w:rPr>
        <w:t>HR OVERVIEW – JULY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4"/>
        <w:gridCol w:w="6974"/>
      </w:tblGrid>
      <w:tr w:rsidR="00026035" w14:paraId="37FF0662" w14:textId="77777777" w:rsidTr="00026035">
        <w:trPr>
          <w:trHeight w:val="3660"/>
        </w:trPr>
        <w:tc>
          <w:tcPr>
            <w:tcW w:w="6974" w:type="dxa"/>
            <w:vAlign w:val="center"/>
          </w:tcPr>
          <w:p w14:paraId="36223169" w14:textId="77777777" w:rsidR="00026035" w:rsidRDefault="00026035" w:rsidP="00CB5CFE">
            <w:pPr>
              <w:jc w:val="center"/>
              <w:rPr>
                <w:b/>
                <w:sz w:val="28"/>
              </w:rPr>
            </w:pPr>
            <w:r>
              <w:rPr>
                <w:b/>
                <w:sz w:val="28"/>
              </w:rPr>
              <w:t>Monthly Workforce FTE / Movements / Turnover</w:t>
            </w:r>
          </w:p>
          <w:p w14:paraId="58CE6707" w14:textId="77777777" w:rsidR="00026035" w:rsidRDefault="00026035" w:rsidP="00CB5CFE">
            <w:pPr>
              <w:jc w:val="center"/>
              <w:rPr>
                <w:b/>
                <w:sz w:val="12"/>
              </w:rPr>
            </w:pPr>
          </w:p>
          <w:tbl>
            <w:tblPr>
              <w:tblStyle w:val="TableGrid"/>
              <w:tblW w:w="0" w:type="auto"/>
              <w:jc w:val="center"/>
              <w:tblLayout w:type="fixed"/>
              <w:tblLook w:val="04A0" w:firstRow="1" w:lastRow="0" w:firstColumn="1" w:lastColumn="0" w:noHBand="0" w:noVBand="1"/>
            </w:tblPr>
            <w:tblGrid>
              <w:gridCol w:w="1276"/>
              <w:gridCol w:w="1276"/>
              <w:gridCol w:w="1276"/>
              <w:gridCol w:w="1276"/>
              <w:gridCol w:w="1276"/>
            </w:tblGrid>
            <w:tr w:rsidR="00026035" w14:paraId="120FAE5C"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0153683D" w14:textId="77777777" w:rsidR="00026035" w:rsidRDefault="00026035" w:rsidP="00CB5CFE">
                  <w:pPr>
                    <w:jc w:val="center"/>
                    <w:rPr>
                      <w:b/>
                      <w:color w:val="FFFFFF" w:themeColor="background1"/>
                    </w:rPr>
                  </w:pP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77D2A6D3" w14:textId="77777777" w:rsidR="00026035" w:rsidRDefault="00026035" w:rsidP="00CB5CFE">
                  <w:pPr>
                    <w:jc w:val="center"/>
                    <w:rPr>
                      <w:b/>
                      <w:color w:val="FFFFFF" w:themeColor="background1"/>
                    </w:rPr>
                  </w:pPr>
                  <w:r>
                    <w:rPr>
                      <w:b/>
                      <w:color w:val="FFFFFF" w:themeColor="background1"/>
                    </w:rPr>
                    <w:t>July 2018 FTE</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756F578" w14:textId="77777777" w:rsidR="00026035" w:rsidRDefault="00026035" w:rsidP="00CB5CFE">
                  <w:pPr>
                    <w:jc w:val="center"/>
                    <w:rPr>
                      <w:b/>
                      <w:color w:val="FFFFFF" w:themeColor="background1"/>
                    </w:rPr>
                  </w:pPr>
                  <w:r>
                    <w:rPr>
                      <w:b/>
                      <w:color w:val="FFFFFF" w:themeColor="background1"/>
                    </w:rPr>
                    <w:t>12 month ∆</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E13FBE6" w14:textId="77777777" w:rsidR="00026035" w:rsidRDefault="00026035" w:rsidP="00CB5CFE">
                  <w:pPr>
                    <w:jc w:val="center"/>
                    <w:rPr>
                      <w:b/>
                      <w:color w:val="FFFFFF" w:themeColor="background1"/>
                    </w:rPr>
                  </w:pPr>
                  <w:r>
                    <w:rPr>
                      <w:b/>
                      <w:color w:val="FFFFFF" w:themeColor="background1"/>
                    </w:rPr>
                    <w:t>July 2018 Leavers</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2FB37156" w14:textId="77777777" w:rsidR="00026035" w:rsidRDefault="00026035" w:rsidP="00CB5CFE">
                  <w:pPr>
                    <w:jc w:val="center"/>
                    <w:rPr>
                      <w:b/>
                      <w:color w:val="FFFFFF" w:themeColor="background1"/>
                    </w:rPr>
                  </w:pPr>
                  <w:r>
                    <w:rPr>
                      <w:b/>
                      <w:color w:val="FFFFFF" w:themeColor="background1"/>
                    </w:rPr>
                    <w:t>Monthly Turnover</w:t>
                  </w:r>
                </w:p>
              </w:tc>
            </w:tr>
            <w:tr w:rsidR="00026035" w14:paraId="0A0CD53F"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7EA0C926" w14:textId="77777777" w:rsidR="00026035" w:rsidRDefault="00026035" w:rsidP="00CB5CFE">
                  <w:pPr>
                    <w:rPr>
                      <w:b/>
                      <w:color w:val="FFFFFF" w:themeColor="background1"/>
                    </w:rPr>
                  </w:pPr>
                  <w:r>
                    <w:rPr>
                      <w:b/>
                      <w:color w:val="FFFFFF" w:themeColor="background1"/>
                    </w:rPr>
                    <w:t>Wholetime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14:paraId="7951ACD0" w14:textId="77777777" w:rsidR="00026035" w:rsidRDefault="00026035" w:rsidP="00CB5CFE">
                  <w:pPr>
                    <w:jc w:val="right"/>
                  </w:pPr>
                  <w:r>
                    <w:t>623.0</w:t>
                  </w:r>
                </w:p>
              </w:tc>
              <w:tc>
                <w:tcPr>
                  <w:tcW w:w="1276" w:type="dxa"/>
                  <w:tcBorders>
                    <w:top w:val="single" w:sz="4" w:space="0" w:color="auto"/>
                    <w:left w:val="single" w:sz="4" w:space="0" w:color="auto"/>
                    <w:bottom w:val="single" w:sz="4" w:space="0" w:color="auto"/>
                    <w:right w:val="single" w:sz="4" w:space="0" w:color="auto"/>
                  </w:tcBorders>
                  <w:tcMar>
                    <w:top w:w="0" w:type="dxa"/>
                    <w:left w:w="198" w:type="dxa"/>
                    <w:bottom w:w="0" w:type="dxa"/>
                    <w:right w:w="108" w:type="dxa"/>
                  </w:tcMar>
                  <w:vAlign w:val="center"/>
                  <w:hideMark/>
                </w:tcPr>
                <w:p w14:paraId="4D5FAB10" w14:textId="77777777" w:rsidR="00026035" w:rsidRDefault="00026035" w:rsidP="00CB5CFE">
                  <w:r>
                    <w:sym w:font="Wingdings" w:char="F0E9"/>
                  </w:r>
                  <w:r>
                    <w:t xml:space="preserve"> 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25642" w14:textId="77777777" w:rsidR="00026035" w:rsidRDefault="00026035" w:rsidP="00CB5CFE">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240CD3" w14:textId="77777777" w:rsidR="00026035" w:rsidRDefault="00026035" w:rsidP="00CB5CFE">
                  <w:pPr>
                    <w:jc w:val="center"/>
                  </w:pPr>
                  <w:r>
                    <w:t xml:space="preserve">0.2% </w:t>
                  </w:r>
                  <w:r>
                    <w:sym w:font="Wingdings" w:char="F0E8"/>
                  </w:r>
                </w:p>
              </w:tc>
            </w:tr>
            <w:tr w:rsidR="00026035" w14:paraId="31B7764F"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295D7627" w14:textId="77777777" w:rsidR="00026035" w:rsidRDefault="00026035" w:rsidP="00CB5CFE">
                  <w:pPr>
                    <w:rPr>
                      <w:b/>
                      <w:color w:val="FFFFFF" w:themeColor="background1"/>
                    </w:rPr>
                  </w:pPr>
                  <w:r>
                    <w:rPr>
                      <w:b/>
                      <w:color w:val="FFFFFF" w:themeColor="background1"/>
                    </w:rPr>
                    <w:t>On Call</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14:paraId="018A8CB7" w14:textId="77777777" w:rsidR="00026035" w:rsidRDefault="00026035" w:rsidP="00CB5CFE">
                  <w:pPr>
                    <w:jc w:val="right"/>
                  </w:pPr>
                  <w:r>
                    <w:t>400.0</w:t>
                  </w:r>
                </w:p>
              </w:tc>
              <w:tc>
                <w:tcPr>
                  <w:tcW w:w="1276" w:type="dxa"/>
                  <w:tcBorders>
                    <w:top w:val="single" w:sz="4" w:space="0" w:color="auto"/>
                    <w:left w:val="single" w:sz="4" w:space="0" w:color="auto"/>
                    <w:bottom w:val="single" w:sz="4" w:space="0" w:color="auto"/>
                    <w:right w:val="single" w:sz="4" w:space="0" w:color="auto"/>
                  </w:tcBorders>
                  <w:tcMar>
                    <w:top w:w="0" w:type="dxa"/>
                    <w:left w:w="198" w:type="dxa"/>
                    <w:bottom w:w="0" w:type="dxa"/>
                    <w:right w:w="108" w:type="dxa"/>
                  </w:tcMar>
                  <w:vAlign w:val="center"/>
                  <w:hideMark/>
                </w:tcPr>
                <w:p w14:paraId="3B44F417" w14:textId="77777777" w:rsidR="00026035" w:rsidRDefault="00026035" w:rsidP="00CB5CFE">
                  <w:r>
                    <w:sym w:font="Wingdings" w:char="F0E9"/>
                  </w:r>
                  <w:r>
                    <w:t xml:space="preserve"> 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54E541" w14:textId="77777777" w:rsidR="00026035" w:rsidRDefault="00026035" w:rsidP="00CB5CFE">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EBDE2E" w14:textId="77777777" w:rsidR="00026035" w:rsidRDefault="00026035" w:rsidP="00CB5CFE">
                  <w:pPr>
                    <w:jc w:val="center"/>
                  </w:pPr>
                  <w:r>
                    <w:t xml:space="preserve">0.8% </w:t>
                  </w:r>
                  <w:r>
                    <w:sym w:font="Wingdings" w:char="F0E9"/>
                  </w:r>
                </w:p>
              </w:tc>
            </w:tr>
            <w:tr w:rsidR="00026035" w14:paraId="13E54EA0"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642883E" w14:textId="77777777" w:rsidR="00026035" w:rsidRDefault="00026035" w:rsidP="00CB5CFE">
                  <w:pPr>
                    <w:rPr>
                      <w:b/>
                      <w:color w:val="FFFFFF" w:themeColor="background1"/>
                    </w:rPr>
                  </w:pPr>
                  <w:r>
                    <w:rPr>
                      <w:b/>
                      <w:color w:val="FFFFFF" w:themeColor="background1"/>
                    </w:rPr>
                    <w:t>Support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14:paraId="2171A0AC" w14:textId="77777777" w:rsidR="00026035" w:rsidRDefault="00026035" w:rsidP="00CB5CFE">
                  <w:pPr>
                    <w:jc w:val="right"/>
                  </w:pPr>
                  <w:r>
                    <w:t>280.7</w:t>
                  </w:r>
                </w:p>
              </w:tc>
              <w:tc>
                <w:tcPr>
                  <w:tcW w:w="1276" w:type="dxa"/>
                  <w:tcBorders>
                    <w:top w:val="single" w:sz="4" w:space="0" w:color="auto"/>
                    <w:left w:val="single" w:sz="4" w:space="0" w:color="auto"/>
                    <w:bottom w:val="single" w:sz="4" w:space="0" w:color="auto"/>
                    <w:right w:val="single" w:sz="4" w:space="0" w:color="auto"/>
                  </w:tcBorders>
                  <w:tcMar>
                    <w:top w:w="0" w:type="dxa"/>
                    <w:left w:w="198" w:type="dxa"/>
                    <w:bottom w:w="0" w:type="dxa"/>
                    <w:right w:w="108" w:type="dxa"/>
                  </w:tcMar>
                  <w:vAlign w:val="center"/>
                  <w:hideMark/>
                </w:tcPr>
                <w:p w14:paraId="1F2D9A69" w14:textId="77777777" w:rsidR="00026035" w:rsidRDefault="00026035" w:rsidP="00CB5CFE">
                  <w:r>
                    <w:sym w:font="Wingdings" w:char="F0E9"/>
                  </w:r>
                  <w:r>
                    <w:t xml:space="preserve"> 12.7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98344" w14:textId="77777777" w:rsidR="00026035" w:rsidRDefault="00026035" w:rsidP="00CB5CFE">
                  <w:pPr>
                    <w:jc w:val="center"/>
                  </w:pPr>
                  <w: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7D885E" w14:textId="77777777" w:rsidR="00026035" w:rsidRDefault="00026035" w:rsidP="00CB5CFE">
                  <w:pPr>
                    <w:jc w:val="center"/>
                  </w:pPr>
                  <w:r>
                    <w:t xml:space="preserve">1.7% </w:t>
                  </w:r>
                  <w:r>
                    <w:sym w:font="Wingdings" w:char="F0EA"/>
                  </w:r>
                </w:p>
              </w:tc>
            </w:tr>
            <w:tr w:rsidR="00026035" w14:paraId="2E055CA6"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5F0606BF" w14:textId="77777777" w:rsidR="00026035" w:rsidRDefault="00026035" w:rsidP="00CB5CFE">
                  <w:pPr>
                    <w:rPr>
                      <w:b/>
                      <w:color w:val="FFFFFF" w:themeColor="background1"/>
                    </w:rPr>
                  </w:pPr>
                  <w:r>
                    <w:rPr>
                      <w:b/>
                      <w:color w:val="FFFFFF" w:themeColor="background1"/>
                    </w:rPr>
                    <w:t>Control</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14:paraId="053DB730" w14:textId="77777777" w:rsidR="00026035" w:rsidRDefault="00026035" w:rsidP="00CB5CFE">
                  <w:pPr>
                    <w:jc w:val="right"/>
                  </w:pPr>
                  <w:r>
                    <w:t>34.0</w:t>
                  </w:r>
                </w:p>
              </w:tc>
              <w:tc>
                <w:tcPr>
                  <w:tcW w:w="1276" w:type="dxa"/>
                  <w:tcBorders>
                    <w:top w:val="single" w:sz="4" w:space="0" w:color="auto"/>
                    <w:left w:val="single" w:sz="4" w:space="0" w:color="auto"/>
                    <w:bottom w:val="single" w:sz="4" w:space="0" w:color="auto"/>
                    <w:right w:val="single" w:sz="4" w:space="0" w:color="auto"/>
                  </w:tcBorders>
                  <w:tcMar>
                    <w:top w:w="0" w:type="dxa"/>
                    <w:left w:w="198" w:type="dxa"/>
                    <w:bottom w:w="0" w:type="dxa"/>
                    <w:right w:w="108" w:type="dxa"/>
                  </w:tcMar>
                  <w:vAlign w:val="center"/>
                  <w:hideMark/>
                </w:tcPr>
                <w:p w14:paraId="2BA97233" w14:textId="77777777" w:rsidR="00026035" w:rsidRDefault="00026035" w:rsidP="00CB5CFE">
                  <w:r>
                    <w:sym w:font="Wingdings" w:char="F0EA"/>
                  </w:r>
                  <w:r>
                    <w:t xml:space="preserve"> 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EC620"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538AEC" w14:textId="77777777" w:rsidR="00026035" w:rsidRDefault="00026035" w:rsidP="00CB5CFE">
                  <w:pPr>
                    <w:jc w:val="center"/>
                  </w:pPr>
                  <w:r>
                    <w:t xml:space="preserve">0.0% </w:t>
                  </w:r>
                  <w:r>
                    <w:sym w:font="Wingdings" w:char="F0EA"/>
                  </w:r>
                </w:p>
              </w:tc>
            </w:tr>
          </w:tbl>
          <w:p w14:paraId="1EC008C6" w14:textId="77777777" w:rsidR="00026035" w:rsidRDefault="00026035" w:rsidP="00CB5CFE">
            <w:pPr>
              <w:jc w:val="center"/>
            </w:pPr>
          </w:p>
          <w:p w14:paraId="481D5DCF" w14:textId="77777777" w:rsidR="00026035" w:rsidRDefault="00026035" w:rsidP="00CB5CFE">
            <w:pPr>
              <w:jc w:val="center"/>
            </w:pPr>
          </w:p>
        </w:tc>
        <w:tc>
          <w:tcPr>
            <w:tcW w:w="6974" w:type="dxa"/>
            <w:vAlign w:val="center"/>
          </w:tcPr>
          <w:p w14:paraId="29A4ABC9" w14:textId="77777777" w:rsidR="00026035" w:rsidRDefault="00026035" w:rsidP="00CB5CFE">
            <w:pPr>
              <w:jc w:val="center"/>
              <w:rPr>
                <w:b/>
                <w:sz w:val="28"/>
              </w:rPr>
            </w:pPr>
            <w:r>
              <w:rPr>
                <w:b/>
                <w:sz w:val="28"/>
              </w:rPr>
              <w:t>Monthly Absence Levels</w:t>
            </w:r>
          </w:p>
          <w:p w14:paraId="2D5F12D7" w14:textId="77777777" w:rsidR="00026035" w:rsidRDefault="00026035" w:rsidP="00CB5CFE">
            <w:pPr>
              <w:jc w:val="center"/>
              <w:rPr>
                <w:b/>
                <w:sz w:val="12"/>
              </w:rPr>
            </w:pPr>
          </w:p>
          <w:tbl>
            <w:tblPr>
              <w:tblStyle w:val="TableGrid"/>
              <w:tblW w:w="0" w:type="auto"/>
              <w:jc w:val="center"/>
              <w:tblLayout w:type="fixed"/>
              <w:tblLook w:val="04A0" w:firstRow="1" w:lastRow="0" w:firstColumn="1" w:lastColumn="0" w:noHBand="0" w:noVBand="1"/>
            </w:tblPr>
            <w:tblGrid>
              <w:gridCol w:w="1276"/>
              <w:gridCol w:w="1276"/>
              <w:gridCol w:w="1276"/>
              <w:gridCol w:w="1276"/>
              <w:gridCol w:w="1276"/>
            </w:tblGrid>
            <w:tr w:rsidR="00026035" w14:paraId="5C5CD261"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33628D42" w14:textId="77777777" w:rsidR="00026035" w:rsidRDefault="00026035" w:rsidP="00CB5CFE">
                  <w:pPr>
                    <w:jc w:val="center"/>
                    <w:rPr>
                      <w:b/>
                      <w:color w:val="FFFFFF" w:themeColor="background1"/>
                    </w:rPr>
                  </w:pP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6D1FDEF" w14:textId="77777777" w:rsidR="00026035" w:rsidRDefault="00026035" w:rsidP="00CB5CFE">
                  <w:pPr>
                    <w:jc w:val="center"/>
                    <w:rPr>
                      <w:b/>
                      <w:color w:val="FFFFFF" w:themeColor="background1"/>
                    </w:rPr>
                  </w:pPr>
                  <w:r>
                    <w:rPr>
                      <w:b/>
                      <w:color w:val="FFFFFF" w:themeColor="background1"/>
                    </w:rPr>
                    <w:t xml:space="preserve">Days Lost in month </w:t>
                  </w:r>
                  <w:r>
                    <w:rPr>
                      <w:b/>
                      <w:color w:val="FFFFFF" w:themeColor="background1"/>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21079550" w14:textId="77777777" w:rsidR="00026035" w:rsidRDefault="00026035" w:rsidP="00CB5CFE">
                  <w:pPr>
                    <w:jc w:val="center"/>
                    <w:rPr>
                      <w:b/>
                      <w:color w:val="FFFFFF" w:themeColor="background1"/>
                    </w:rPr>
                  </w:pPr>
                  <w:r>
                    <w:rPr>
                      <w:b/>
                      <w:color w:val="FFFFFF" w:themeColor="background1"/>
                    </w:rPr>
                    <w:t>12 month ∆</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3AF7EF96" w14:textId="77777777" w:rsidR="00026035" w:rsidRDefault="00026035" w:rsidP="00CB5CFE">
                  <w:pPr>
                    <w:jc w:val="center"/>
                    <w:rPr>
                      <w:b/>
                      <w:color w:val="FFFFFF" w:themeColor="background1"/>
                    </w:rPr>
                  </w:pPr>
                  <w:r>
                    <w:rPr>
                      <w:b/>
                      <w:color w:val="FFFFFF" w:themeColor="background1"/>
                    </w:rPr>
                    <w:t>Special Leave Paid</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54AF18F2" w14:textId="77777777" w:rsidR="00026035" w:rsidRDefault="00026035" w:rsidP="00CB5CFE">
                  <w:pPr>
                    <w:jc w:val="center"/>
                    <w:rPr>
                      <w:b/>
                      <w:color w:val="FFFFFF" w:themeColor="background1"/>
                    </w:rPr>
                  </w:pPr>
                  <w:r>
                    <w:rPr>
                      <w:b/>
                      <w:color w:val="FFFFFF" w:themeColor="background1"/>
                    </w:rPr>
                    <w:t>Special Leave Unpaid</w:t>
                  </w:r>
                </w:p>
              </w:tc>
            </w:tr>
            <w:tr w:rsidR="00026035" w14:paraId="552FF124"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FFFC49A" w14:textId="77777777" w:rsidR="00026035" w:rsidRDefault="00026035" w:rsidP="00CB5CFE">
                  <w:pPr>
                    <w:rPr>
                      <w:b/>
                      <w:color w:val="FFFFFF" w:themeColor="background1"/>
                    </w:rPr>
                  </w:pPr>
                  <w:r>
                    <w:rPr>
                      <w:b/>
                      <w:color w:val="FFFFFF" w:themeColor="background1"/>
                    </w:rPr>
                    <w:t>Wholetime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14:paraId="42264154" w14:textId="77777777" w:rsidR="00026035" w:rsidRDefault="00026035" w:rsidP="00CB5CFE">
                  <w:pPr>
                    <w:jc w:val="right"/>
                  </w:pPr>
                  <w:r>
                    <w:t>380.0</w:t>
                  </w:r>
                </w:p>
              </w:tc>
              <w:tc>
                <w:tcPr>
                  <w:tcW w:w="1276" w:type="dxa"/>
                  <w:tcBorders>
                    <w:top w:val="single" w:sz="4" w:space="0" w:color="auto"/>
                    <w:left w:val="single" w:sz="4" w:space="0" w:color="auto"/>
                    <w:bottom w:val="single" w:sz="4" w:space="0" w:color="auto"/>
                    <w:right w:val="single" w:sz="4" w:space="0" w:color="auto"/>
                  </w:tcBorders>
                  <w:tcMar>
                    <w:top w:w="0" w:type="dxa"/>
                    <w:left w:w="198" w:type="dxa"/>
                    <w:bottom w:w="0" w:type="dxa"/>
                    <w:right w:w="108" w:type="dxa"/>
                  </w:tcMar>
                  <w:vAlign w:val="center"/>
                  <w:hideMark/>
                </w:tcPr>
                <w:p w14:paraId="50A5173F" w14:textId="77777777" w:rsidR="00026035" w:rsidRDefault="00026035" w:rsidP="00CB5CFE">
                  <w:r>
                    <w:sym w:font="Wingdings" w:char="F0EA"/>
                  </w:r>
                  <w:r>
                    <w:t xml:space="preserve"> 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799CA8" w14:textId="77777777" w:rsidR="00026035" w:rsidRDefault="00026035" w:rsidP="00CB5CFE">
                  <w:pPr>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7BD1E5" w14:textId="77777777" w:rsidR="00026035" w:rsidRDefault="00026035" w:rsidP="00CB5CFE">
                  <w:pPr>
                    <w:jc w:val="center"/>
                  </w:pPr>
                  <w:r>
                    <w:t>0</w:t>
                  </w:r>
                </w:p>
              </w:tc>
            </w:tr>
            <w:tr w:rsidR="00026035" w14:paraId="22A66FF8"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2B42DFB3" w14:textId="77777777" w:rsidR="00026035" w:rsidRDefault="00026035" w:rsidP="00CB5CFE">
                  <w:pPr>
                    <w:rPr>
                      <w:b/>
                      <w:color w:val="FFFFFF" w:themeColor="background1"/>
                    </w:rPr>
                  </w:pPr>
                  <w:r>
                    <w:rPr>
                      <w:b/>
                      <w:color w:val="FFFFFF" w:themeColor="background1"/>
                    </w:rPr>
                    <w:t>On Call</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F8CA5E7" w14:textId="77777777" w:rsidR="00026035" w:rsidRDefault="00026035" w:rsidP="00CB5CFE">
                  <w:pPr>
                    <w:jc w:val="center"/>
                  </w:pPr>
                  <w:r>
                    <w:t>Data not recorded in SAP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55A86"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E84B8" w14:textId="77777777" w:rsidR="00026035" w:rsidRDefault="00026035" w:rsidP="00CB5CFE">
                  <w:pPr>
                    <w:jc w:val="center"/>
                  </w:pPr>
                  <w:r>
                    <w:t>86</w:t>
                  </w:r>
                </w:p>
              </w:tc>
            </w:tr>
            <w:tr w:rsidR="00026035" w14:paraId="0014C900"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62250DD" w14:textId="77777777" w:rsidR="00026035" w:rsidRDefault="00026035" w:rsidP="00CB5CFE">
                  <w:pPr>
                    <w:rPr>
                      <w:b/>
                      <w:color w:val="FFFFFF" w:themeColor="background1"/>
                    </w:rPr>
                  </w:pPr>
                  <w:r>
                    <w:rPr>
                      <w:b/>
                      <w:color w:val="FFFFFF" w:themeColor="background1"/>
                    </w:rPr>
                    <w:t>Support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14:paraId="4D850AF9" w14:textId="77777777" w:rsidR="00026035" w:rsidRDefault="00026035" w:rsidP="00CB5CFE">
                  <w:pPr>
                    <w:jc w:val="right"/>
                  </w:pPr>
                  <w:r>
                    <w:t>161.5</w:t>
                  </w:r>
                </w:p>
              </w:tc>
              <w:tc>
                <w:tcPr>
                  <w:tcW w:w="1276" w:type="dxa"/>
                  <w:tcBorders>
                    <w:top w:val="single" w:sz="4" w:space="0" w:color="auto"/>
                    <w:left w:val="single" w:sz="4" w:space="0" w:color="auto"/>
                    <w:bottom w:val="single" w:sz="4" w:space="0" w:color="auto"/>
                    <w:right w:val="single" w:sz="4" w:space="0" w:color="auto"/>
                  </w:tcBorders>
                  <w:tcMar>
                    <w:top w:w="0" w:type="dxa"/>
                    <w:left w:w="198" w:type="dxa"/>
                    <w:bottom w:w="0" w:type="dxa"/>
                    <w:right w:w="108" w:type="dxa"/>
                  </w:tcMar>
                  <w:vAlign w:val="center"/>
                  <w:hideMark/>
                </w:tcPr>
                <w:p w14:paraId="0402C063" w14:textId="77777777" w:rsidR="00026035" w:rsidRDefault="00026035" w:rsidP="00CB5CFE">
                  <w:r>
                    <w:sym w:font="Wingdings" w:char="F0E9"/>
                  </w:r>
                  <w:r>
                    <w:t xml:space="preserve"> 57.5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9B45D7" w14:textId="77777777" w:rsidR="00026035" w:rsidRDefault="00026035" w:rsidP="00CB5CFE">
                  <w:pPr>
                    <w:jc w:val="center"/>
                  </w:pPr>
                  <w: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D34BED" w14:textId="77777777" w:rsidR="00026035" w:rsidRDefault="00026035" w:rsidP="00CB5CFE">
                  <w:pPr>
                    <w:jc w:val="center"/>
                  </w:pPr>
                  <w:r>
                    <w:t>1</w:t>
                  </w:r>
                </w:p>
              </w:tc>
            </w:tr>
            <w:tr w:rsidR="00026035" w14:paraId="0A59FE51"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386FA8E4" w14:textId="77777777" w:rsidR="00026035" w:rsidRDefault="00026035" w:rsidP="00CB5CFE">
                  <w:pPr>
                    <w:rPr>
                      <w:b/>
                      <w:color w:val="FFFFFF" w:themeColor="background1"/>
                    </w:rPr>
                  </w:pPr>
                  <w:r>
                    <w:rPr>
                      <w:b/>
                      <w:color w:val="FFFFFF" w:themeColor="background1"/>
                    </w:rPr>
                    <w:t>Control</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14:paraId="2EAF0CE5" w14:textId="77777777" w:rsidR="00026035" w:rsidRDefault="00026035" w:rsidP="00CB5CFE">
                  <w:pPr>
                    <w:jc w:val="right"/>
                  </w:pPr>
                  <w:r>
                    <w:t>2.0</w:t>
                  </w:r>
                </w:p>
              </w:tc>
              <w:tc>
                <w:tcPr>
                  <w:tcW w:w="1276" w:type="dxa"/>
                  <w:tcBorders>
                    <w:top w:val="single" w:sz="4" w:space="0" w:color="auto"/>
                    <w:left w:val="single" w:sz="4" w:space="0" w:color="auto"/>
                    <w:bottom w:val="single" w:sz="4" w:space="0" w:color="auto"/>
                    <w:right w:val="single" w:sz="4" w:space="0" w:color="auto"/>
                  </w:tcBorders>
                  <w:tcMar>
                    <w:top w:w="0" w:type="dxa"/>
                    <w:left w:w="198" w:type="dxa"/>
                    <w:bottom w:w="0" w:type="dxa"/>
                    <w:right w:w="108" w:type="dxa"/>
                  </w:tcMar>
                  <w:vAlign w:val="center"/>
                  <w:hideMark/>
                </w:tcPr>
                <w:p w14:paraId="0C8E7B0C" w14:textId="77777777" w:rsidR="00026035" w:rsidRDefault="00026035" w:rsidP="00CB5CFE">
                  <w:r>
                    <w:sym w:font="Wingdings" w:char="F0EA"/>
                  </w:r>
                  <w:r>
                    <w:t xml:space="preserve"> 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132445" w14:textId="77777777" w:rsidR="00026035" w:rsidRDefault="00026035" w:rsidP="00CB5CFE">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634BA6" w14:textId="77777777" w:rsidR="00026035" w:rsidRDefault="00026035" w:rsidP="00CB5CFE">
                  <w:pPr>
                    <w:jc w:val="center"/>
                  </w:pPr>
                  <w:r>
                    <w:t>0</w:t>
                  </w:r>
                </w:p>
              </w:tc>
            </w:tr>
          </w:tbl>
          <w:p w14:paraId="397E2931" w14:textId="77777777" w:rsidR="00026035" w:rsidRDefault="00026035" w:rsidP="00CB5CFE">
            <w:r>
              <w:t xml:space="preserve">    Note: 1) figures reflect working days/shifts as recorded by line manager</w:t>
            </w:r>
          </w:p>
        </w:tc>
      </w:tr>
      <w:tr w:rsidR="00026035" w14:paraId="391DFE5B" w14:textId="77777777" w:rsidTr="00CB5CFE">
        <w:trPr>
          <w:trHeight w:val="4330"/>
        </w:trPr>
        <w:tc>
          <w:tcPr>
            <w:tcW w:w="6974" w:type="dxa"/>
            <w:vAlign w:val="center"/>
          </w:tcPr>
          <w:p w14:paraId="4DA49F50" w14:textId="77777777" w:rsidR="00026035" w:rsidRDefault="00026035" w:rsidP="00CB5CFE">
            <w:pPr>
              <w:jc w:val="center"/>
              <w:rPr>
                <w:b/>
                <w:sz w:val="28"/>
              </w:rPr>
            </w:pPr>
            <w:r>
              <w:rPr>
                <w:b/>
                <w:sz w:val="28"/>
              </w:rPr>
              <w:t>Monthly Operational Fitech testing results</w:t>
            </w:r>
          </w:p>
          <w:p w14:paraId="3F80A55E" w14:textId="77777777" w:rsidR="00026035" w:rsidRDefault="00026035" w:rsidP="00CB5CFE">
            <w:pPr>
              <w:jc w:val="center"/>
              <w:rPr>
                <w:sz w:val="12"/>
              </w:rPr>
            </w:pPr>
          </w:p>
          <w:tbl>
            <w:tblPr>
              <w:tblStyle w:val="TableGrid"/>
              <w:tblW w:w="0" w:type="auto"/>
              <w:jc w:val="center"/>
              <w:tblLayout w:type="fixed"/>
              <w:tblLook w:val="04A0" w:firstRow="1" w:lastRow="0" w:firstColumn="1" w:lastColumn="0" w:noHBand="0" w:noVBand="1"/>
            </w:tblPr>
            <w:tblGrid>
              <w:gridCol w:w="1276"/>
              <w:gridCol w:w="1276"/>
              <w:gridCol w:w="1276"/>
              <w:gridCol w:w="1276"/>
              <w:gridCol w:w="1276"/>
            </w:tblGrid>
            <w:tr w:rsidR="00026035" w14:paraId="74D7976F"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4554D0CE" w14:textId="77777777" w:rsidR="00026035" w:rsidRDefault="00026035" w:rsidP="00CB5CFE">
                  <w:pPr>
                    <w:rPr>
                      <w:b/>
                      <w:color w:val="FFFFFF" w:themeColor="background1"/>
                    </w:rPr>
                  </w:pP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1DB3784" w14:textId="77777777" w:rsidR="00026035" w:rsidRDefault="00026035" w:rsidP="00CB5CFE">
                  <w:pPr>
                    <w:jc w:val="center"/>
                    <w:rPr>
                      <w:b/>
                      <w:color w:val="FFFFFF" w:themeColor="background1"/>
                    </w:rPr>
                  </w:pPr>
                  <w:r>
                    <w:rPr>
                      <w:b/>
                      <w:color w:val="FFFFFF" w:themeColor="background1"/>
                    </w:rPr>
                    <w:t>Number Tested</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31EDA423" w14:textId="77777777" w:rsidR="00026035" w:rsidRDefault="00026035" w:rsidP="00CB5CFE">
                  <w:pPr>
                    <w:jc w:val="center"/>
                    <w:rPr>
                      <w:b/>
                      <w:color w:val="FFFFFF" w:themeColor="background1"/>
                    </w:rPr>
                  </w:pPr>
                  <w:r>
                    <w:rPr>
                      <w:b/>
                      <w:color w:val="FFFFFF" w:themeColor="background1"/>
                    </w:rPr>
                    <w:t>Whole Time</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4BE9CBF" w14:textId="77777777" w:rsidR="00026035" w:rsidRDefault="00026035" w:rsidP="00CB5CFE">
                  <w:pPr>
                    <w:jc w:val="center"/>
                    <w:rPr>
                      <w:b/>
                      <w:color w:val="FFFFFF" w:themeColor="background1"/>
                    </w:rPr>
                  </w:pPr>
                  <w:r>
                    <w:rPr>
                      <w:b/>
                      <w:color w:val="FFFFFF" w:themeColor="background1"/>
                    </w:rPr>
                    <w:t>On Call</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1F90108C" w14:textId="77777777" w:rsidR="00026035" w:rsidRDefault="00026035" w:rsidP="00CB5CFE">
                  <w:pPr>
                    <w:jc w:val="center"/>
                    <w:rPr>
                      <w:b/>
                      <w:color w:val="FFFFFF" w:themeColor="background1"/>
                    </w:rPr>
                  </w:pPr>
                  <w:r>
                    <w:rPr>
                      <w:b/>
                      <w:color w:val="FFFFFF" w:themeColor="background1"/>
                    </w:rPr>
                    <w:t>Total</w:t>
                  </w:r>
                </w:p>
              </w:tc>
            </w:tr>
            <w:tr w:rsidR="00026035" w14:paraId="6CFD69A0"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0DD96F98" w14:textId="77777777" w:rsidR="00026035" w:rsidRDefault="00026035" w:rsidP="00CB5CFE">
                  <w:pPr>
                    <w:jc w:val="center"/>
                  </w:pPr>
                  <w:r>
                    <w:t>Passed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9ACDD8" w14:textId="77777777" w:rsidR="00026035" w:rsidRDefault="00026035" w:rsidP="00CB5CFE">
                  <w:pPr>
                    <w:jc w:val="center"/>
                  </w:pPr>
                  <w:r>
                    <w:t>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7B713" w14:textId="77777777" w:rsidR="00026035" w:rsidRDefault="00026035" w:rsidP="00CB5CFE">
                  <w:pPr>
                    <w:jc w:val="center"/>
                  </w:pPr>
                  <w:r>
                    <w:t>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974B69" w14:textId="77777777" w:rsidR="00026035" w:rsidRDefault="00026035" w:rsidP="00CB5CFE">
                  <w:pPr>
                    <w:jc w:val="center"/>
                  </w:pPr>
                  <w:r>
                    <w:t>81%</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F34F08F" w14:textId="77777777" w:rsidR="00026035" w:rsidRDefault="00026035" w:rsidP="00CB5CFE">
                  <w:pPr>
                    <w:jc w:val="center"/>
                  </w:pPr>
                  <w:r>
                    <w:t>92%</w:t>
                  </w:r>
                </w:p>
              </w:tc>
            </w:tr>
            <w:tr w:rsidR="00026035" w14:paraId="1E28D54D"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0CA0A7F" w14:textId="77777777" w:rsidR="00026035" w:rsidRDefault="00026035" w:rsidP="00CB5CFE">
                  <w:pPr>
                    <w:jc w:val="center"/>
                  </w:pPr>
                  <w:r>
                    <w:t>3 monthly review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18F36" w14:textId="77777777" w:rsidR="00026035" w:rsidRDefault="00026035" w:rsidP="00CB5CFE">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E00C18" w14:textId="77777777" w:rsidR="00026035" w:rsidRDefault="00026035" w:rsidP="00CB5CFE">
                  <w:pPr>
                    <w:jc w:val="center"/>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3CC9C3" w14:textId="77777777" w:rsidR="00026035" w:rsidRDefault="00026035" w:rsidP="00CB5CFE">
                  <w:pPr>
                    <w:jc w:val="center"/>
                  </w:pPr>
                  <w:r>
                    <w:t>19%</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D151DE6" w14:textId="77777777" w:rsidR="00026035" w:rsidRDefault="00026035" w:rsidP="00CB5CFE">
                  <w:pPr>
                    <w:jc w:val="center"/>
                  </w:pPr>
                  <w:r>
                    <w:t>8%</w:t>
                  </w:r>
                </w:p>
              </w:tc>
            </w:tr>
            <w:tr w:rsidR="00026035" w14:paraId="1038619C"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1F8BAF29" w14:textId="77777777" w:rsidR="00026035" w:rsidRDefault="00026035" w:rsidP="00CB5CFE">
                  <w:pPr>
                    <w:jc w:val="center"/>
                  </w:pPr>
                  <w:r>
                    <w:t>6 weekly review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CB769C"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9219C9"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F40910"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40C8ADF" w14:textId="77777777" w:rsidR="00026035" w:rsidRDefault="00026035" w:rsidP="00CB5CFE">
                  <w:pPr>
                    <w:jc w:val="center"/>
                  </w:pPr>
                  <w:r>
                    <w:t>0%</w:t>
                  </w:r>
                </w:p>
              </w:tc>
            </w:tr>
            <w:tr w:rsidR="00026035" w14:paraId="147BA8BA"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E0553EB" w14:textId="77777777" w:rsidR="00026035" w:rsidRDefault="00026035" w:rsidP="00CB5CFE">
                  <w:pPr>
                    <w:jc w:val="center"/>
                  </w:pPr>
                  <w:r>
                    <w:t>3 weekly review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714BB2"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719FAA"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0718D7" w14:textId="77777777" w:rsidR="00026035" w:rsidRDefault="00026035" w:rsidP="00CB5CFE">
                  <w:pPr>
                    <w:jc w:val="center"/>
                  </w:pPr>
                  <w:r>
                    <w:t>0%</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350F960" w14:textId="77777777" w:rsidR="00026035" w:rsidRDefault="00026035" w:rsidP="00CB5CFE">
                  <w:pPr>
                    <w:jc w:val="center"/>
                  </w:pPr>
                  <w:r>
                    <w:t>0%</w:t>
                  </w:r>
                </w:p>
              </w:tc>
            </w:tr>
            <w:tr w:rsidR="00026035" w14:paraId="22A50095" w14:textId="77777777" w:rsidTr="00CB5CFE">
              <w:trPr>
                <w:trHeight w:val="53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67049AAB" w14:textId="77777777" w:rsidR="00026035" w:rsidRDefault="00026035" w:rsidP="00CB5CFE">
                  <w:pPr>
                    <w:jc w:val="center"/>
                    <w:rPr>
                      <w:b/>
                    </w:rPr>
                  </w:pPr>
                  <w:r>
                    <w:rPr>
                      <w:b/>
                    </w:rPr>
                    <w:t>TOTALS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AE8DAE" w14:textId="77777777" w:rsidR="00026035" w:rsidRDefault="00026035" w:rsidP="00CB5CFE">
                  <w:pPr>
                    <w:jc w:val="center"/>
                    <w:rPr>
                      <w:b/>
                    </w:rPr>
                  </w:pPr>
                  <w:r>
                    <w:rPr>
                      <w:b/>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E13D7" w14:textId="77777777" w:rsidR="00026035" w:rsidRDefault="00026035" w:rsidP="00CB5CFE">
                  <w:pPr>
                    <w:jc w:val="center"/>
                    <w:rPr>
                      <w:b/>
                    </w:rPr>
                  </w:pPr>
                  <w:r>
                    <w:rPr>
                      <w:b/>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CC11D2" w14:textId="77777777" w:rsidR="00026035" w:rsidRDefault="00026035" w:rsidP="00CB5CFE">
                  <w:pPr>
                    <w:jc w:val="center"/>
                    <w:rPr>
                      <w:b/>
                    </w:rPr>
                  </w:pPr>
                  <w:r>
                    <w:rPr>
                      <w:b/>
                    </w:rPr>
                    <w:t>16</w:t>
                  </w:r>
                </w:p>
              </w:tc>
              <w:tc>
                <w:tcPr>
                  <w:tcW w:w="1276" w:type="dxa"/>
                  <w:tcBorders>
                    <w:top w:val="single" w:sz="4" w:space="0" w:color="auto"/>
                    <w:left w:val="single" w:sz="4" w:space="0" w:color="auto"/>
                    <w:bottom w:val="nil"/>
                    <w:right w:val="nil"/>
                  </w:tcBorders>
                  <w:vAlign w:val="center"/>
                </w:tcPr>
                <w:p w14:paraId="7BD482A5" w14:textId="77777777" w:rsidR="00026035" w:rsidRDefault="00026035" w:rsidP="00CB5CFE">
                  <w:pPr>
                    <w:jc w:val="center"/>
                  </w:pPr>
                </w:p>
              </w:tc>
            </w:tr>
          </w:tbl>
          <w:p w14:paraId="2F142BB9" w14:textId="77777777" w:rsidR="00026035" w:rsidRDefault="00026035" w:rsidP="00CB5CFE">
            <w:pPr>
              <w:jc w:val="center"/>
            </w:pPr>
          </w:p>
        </w:tc>
        <w:tc>
          <w:tcPr>
            <w:tcW w:w="6974" w:type="dxa"/>
          </w:tcPr>
          <w:p w14:paraId="33DE18A5" w14:textId="77777777" w:rsidR="00026035" w:rsidRDefault="00026035" w:rsidP="00CB5CFE">
            <w:pPr>
              <w:pStyle w:val="ListParagraph"/>
            </w:pPr>
          </w:p>
          <w:p w14:paraId="6A6453DF" w14:textId="77777777" w:rsidR="00026035" w:rsidRDefault="00026035" w:rsidP="00CB5CFE">
            <w:pPr>
              <w:jc w:val="center"/>
              <w:rPr>
                <w:b/>
                <w:sz w:val="28"/>
              </w:rPr>
            </w:pPr>
            <w:r>
              <w:rPr>
                <w:b/>
                <w:sz w:val="28"/>
              </w:rPr>
              <w:t>Employee Relations – Case Management</w:t>
            </w:r>
          </w:p>
          <w:p w14:paraId="25F27B5D" w14:textId="77777777" w:rsidR="00026035" w:rsidRDefault="00026035" w:rsidP="00CB5CFE">
            <w:pPr>
              <w:pStyle w:val="ListParagraph"/>
              <w:jc w:val="center"/>
              <w:rPr>
                <w:sz w:val="12"/>
              </w:rPr>
            </w:pPr>
          </w:p>
          <w:tbl>
            <w:tblPr>
              <w:tblStyle w:val="TableGrid"/>
              <w:tblW w:w="0" w:type="auto"/>
              <w:jc w:val="center"/>
              <w:tblLayout w:type="fixed"/>
              <w:tblLook w:val="04A0" w:firstRow="1" w:lastRow="0" w:firstColumn="1" w:lastColumn="0" w:noHBand="0" w:noVBand="1"/>
            </w:tblPr>
            <w:tblGrid>
              <w:gridCol w:w="1656"/>
              <w:gridCol w:w="1620"/>
              <w:gridCol w:w="1622"/>
              <w:gridCol w:w="1622"/>
            </w:tblGrid>
            <w:tr w:rsidR="00026035" w14:paraId="38DCDF54" w14:textId="77777777" w:rsidTr="00CB5CFE">
              <w:trPr>
                <w:trHeight w:val="578"/>
                <w:jc w:val="center"/>
              </w:trPr>
              <w:tc>
                <w:tcPr>
                  <w:tcW w:w="1656"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62736118" w14:textId="77777777" w:rsidR="00026035" w:rsidRDefault="00026035" w:rsidP="00CB5CFE">
                  <w:pPr>
                    <w:jc w:val="center"/>
                    <w:rPr>
                      <w:b/>
                      <w:color w:val="FFFFFF" w:themeColor="background1"/>
                    </w:rPr>
                  </w:pPr>
                </w:p>
              </w:tc>
              <w:tc>
                <w:tcPr>
                  <w:tcW w:w="1620"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7F60CC67" w14:textId="77777777" w:rsidR="00026035" w:rsidRDefault="00026035" w:rsidP="00CB5CFE">
                  <w:pPr>
                    <w:jc w:val="center"/>
                    <w:rPr>
                      <w:b/>
                      <w:color w:val="FFFFFF" w:themeColor="background1"/>
                    </w:rPr>
                  </w:pPr>
                  <w:r>
                    <w:rPr>
                      <w:b/>
                      <w:color w:val="FFFFFF" w:themeColor="background1"/>
                    </w:rPr>
                    <w:t xml:space="preserve">New Cases </w:t>
                  </w:r>
                  <w:r>
                    <w:rPr>
                      <w:b/>
                      <w:color w:val="FFFFFF" w:themeColor="background1"/>
                      <w:vertAlign w:val="superscript"/>
                    </w:rPr>
                    <w:t>1</w:t>
                  </w:r>
                </w:p>
              </w:tc>
              <w:tc>
                <w:tcPr>
                  <w:tcW w:w="1622"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3F8E80D5" w14:textId="77777777" w:rsidR="00026035" w:rsidRDefault="00026035" w:rsidP="00CB5CFE">
                  <w:pPr>
                    <w:jc w:val="center"/>
                    <w:rPr>
                      <w:b/>
                      <w:color w:val="FFFFFF" w:themeColor="background1"/>
                    </w:rPr>
                  </w:pPr>
                  <w:r>
                    <w:rPr>
                      <w:b/>
                      <w:color w:val="FFFFFF" w:themeColor="background1"/>
                    </w:rPr>
                    <w:t xml:space="preserve">Cases Closed </w:t>
                  </w:r>
                  <w:r>
                    <w:rPr>
                      <w:b/>
                      <w:color w:val="FFFFFF" w:themeColor="background1"/>
                      <w:vertAlign w:val="superscript"/>
                    </w:rPr>
                    <w:t>1</w:t>
                  </w:r>
                </w:p>
              </w:tc>
              <w:tc>
                <w:tcPr>
                  <w:tcW w:w="1622"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58F13721" w14:textId="77777777" w:rsidR="00026035" w:rsidRDefault="00026035" w:rsidP="00CB5CFE">
                  <w:pPr>
                    <w:jc w:val="center"/>
                    <w:rPr>
                      <w:b/>
                      <w:color w:val="FFFFFF" w:themeColor="background1"/>
                    </w:rPr>
                  </w:pPr>
                  <w:r>
                    <w:rPr>
                      <w:b/>
                      <w:color w:val="FFFFFF" w:themeColor="background1"/>
                    </w:rPr>
                    <w:t xml:space="preserve">Cases Open </w:t>
                  </w:r>
                  <w:r>
                    <w:rPr>
                      <w:b/>
                      <w:color w:val="FFFFFF" w:themeColor="background1"/>
                      <w:vertAlign w:val="superscript"/>
                    </w:rPr>
                    <w:t>2</w:t>
                  </w:r>
                </w:p>
              </w:tc>
            </w:tr>
            <w:tr w:rsidR="00026035" w14:paraId="167B2DD4" w14:textId="77777777" w:rsidTr="00CB5CFE">
              <w:trPr>
                <w:trHeight w:val="521"/>
                <w:jc w:val="center"/>
              </w:trPr>
              <w:tc>
                <w:tcPr>
                  <w:tcW w:w="165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C707A67" w14:textId="77777777" w:rsidR="00026035" w:rsidRDefault="00026035" w:rsidP="00CB5CFE">
                  <w:pPr>
                    <w:rPr>
                      <w:b/>
                      <w:color w:val="FFFFFF" w:themeColor="background1"/>
                    </w:rPr>
                  </w:pPr>
                  <w:r>
                    <w:rPr>
                      <w:b/>
                      <w:color w:val="FFFFFF" w:themeColor="background1"/>
                    </w:rPr>
                    <w:t>Attendance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146F93" w14:textId="77777777" w:rsidR="00026035" w:rsidRDefault="00026035" w:rsidP="00CB5CFE">
                  <w:pPr>
                    <w:jc w:val="center"/>
                  </w:pPr>
                  <w:r>
                    <w:t>8</w:t>
                  </w:r>
                </w:p>
              </w:tc>
              <w:tc>
                <w:tcPr>
                  <w:tcW w:w="1622" w:type="dxa"/>
                  <w:tcBorders>
                    <w:top w:val="single" w:sz="4" w:space="0" w:color="auto"/>
                    <w:left w:val="single" w:sz="4" w:space="0" w:color="auto"/>
                    <w:bottom w:val="single" w:sz="4" w:space="0" w:color="auto"/>
                    <w:right w:val="single" w:sz="4" w:space="0" w:color="auto"/>
                  </w:tcBorders>
                  <w:vAlign w:val="center"/>
                  <w:hideMark/>
                </w:tcPr>
                <w:p w14:paraId="7509300B" w14:textId="77777777" w:rsidR="00026035" w:rsidRDefault="00026035" w:rsidP="00CB5CFE">
                  <w:pPr>
                    <w:jc w:val="center"/>
                  </w:pPr>
                  <w:r>
                    <w:t>20</w:t>
                  </w:r>
                </w:p>
              </w:tc>
              <w:tc>
                <w:tcPr>
                  <w:tcW w:w="1622" w:type="dxa"/>
                  <w:tcBorders>
                    <w:top w:val="single" w:sz="4" w:space="0" w:color="auto"/>
                    <w:left w:val="single" w:sz="4" w:space="0" w:color="auto"/>
                    <w:bottom w:val="single" w:sz="4" w:space="0" w:color="auto"/>
                    <w:right w:val="single" w:sz="4" w:space="0" w:color="auto"/>
                  </w:tcBorders>
                  <w:vAlign w:val="center"/>
                  <w:hideMark/>
                </w:tcPr>
                <w:p w14:paraId="7C85076F" w14:textId="77777777" w:rsidR="00026035" w:rsidRDefault="00026035" w:rsidP="00CB5CFE">
                  <w:pPr>
                    <w:jc w:val="center"/>
                  </w:pPr>
                  <w:r>
                    <w:t>45</w:t>
                  </w:r>
                </w:p>
              </w:tc>
            </w:tr>
            <w:tr w:rsidR="00026035" w14:paraId="03D021FC" w14:textId="77777777" w:rsidTr="00CB5CFE">
              <w:trPr>
                <w:trHeight w:val="521"/>
                <w:jc w:val="center"/>
              </w:trPr>
              <w:tc>
                <w:tcPr>
                  <w:tcW w:w="165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E99E547" w14:textId="77777777" w:rsidR="00026035" w:rsidRDefault="00026035" w:rsidP="00CB5CFE">
                  <w:pPr>
                    <w:rPr>
                      <w:b/>
                      <w:color w:val="FFFFFF" w:themeColor="background1"/>
                    </w:rPr>
                  </w:pPr>
                  <w:r>
                    <w:rPr>
                      <w:b/>
                      <w:color w:val="FFFFFF" w:themeColor="background1"/>
                    </w:rPr>
                    <w:t>Disciplinary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FD7E4E" w14:textId="77777777" w:rsidR="00026035" w:rsidRDefault="00026035" w:rsidP="00CB5CFE">
                  <w:pPr>
                    <w:jc w:val="center"/>
                  </w:pPr>
                  <w:r>
                    <w:t>3</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7E341F0" w14:textId="77777777" w:rsidR="00026035" w:rsidRDefault="00026035" w:rsidP="00CB5CFE">
                  <w:pPr>
                    <w:jc w:val="center"/>
                  </w:pPr>
                  <w:r>
                    <w:t>1</w:t>
                  </w:r>
                </w:p>
              </w:tc>
              <w:tc>
                <w:tcPr>
                  <w:tcW w:w="1622" w:type="dxa"/>
                  <w:tcBorders>
                    <w:top w:val="single" w:sz="4" w:space="0" w:color="auto"/>
                    <w:left w:val="single" w:sz="4" w:space="0" w:color="auto"/>
                    <w:bottom w:val="single" w:sz="4" w:space="0" w:color="auto"/>
                    <w:right w:val="single" w:sz="4" w:space="0" w:color="auto"/>
                  </w:tcBorders>
                  <w:vAlign w:val="center"/>
                  <w:hideMark/>
                </w:tcPr>
                <w:p w14:paraId="44657897" w14:textId="77777777" w:rsidR="00026035" w:rsidRDefault="00026035" w:rsidP="00CB5CFE">
                  <w:pPr>
                    <w:jc w:val="center"/>
                  </w:pPr>
                  <w:r>
                    <w:t>5</w:t>
                  </w:r>
                </w:p>
              </w:tc>
            </w:tr>
            <w:tr w:rsidR="00026035" w14:paraId="4B314CB5" w14:textId="77777777" w:rsidTr="00CB5CFE">
              <w:trPr>
                <w:trHeight w:val="521"/>
                <w:jc w:val="center"/>
              </w:trPr>
              <w:tc>
                <w:tcPr>
                  <w:tcW w:w="165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62B46DF4" w14:textId="77777777" w:rsidR="00026035" w:rsidRDefault="00026035" w:rsidP="00CB5CFE">
                  <w:pPr>
                    <w:rPr>
                      <w:b/>
                      <w:color w:val="FFFFFF" w:themeColor="background1"/>
                    </w:rPr>
                  </w:pPr>
                  <w:r>
                    <w:rPr>
                      <w:b/>
                      <w:color w:val="FFFFFF" w:themeColor="background1"/>
                    </w:rPr>
                    <w:t>Grievance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EB0654" w14:textId="77777777" w:rsidR="00026035" w:rsidRDefault="00026035" w:rsidP="00CB5CFE">
                  <w:pPr>
                    <w:jc w:val="center"/>
                  </w:pPr>
                  <w:r>
                    <w:t>3</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95E9271" w14:textId="77777777" w:rsidR="00026035" w:rsidRDefault="00026035" w:rsidP="00CB5CFE">
                  <w:pPr>
                    <w:jc w:val="center"/>
                  </w:pPr>
                  <w:r>
                    <w:t>0</w:t>
                  </w:r>
                </w:p>
              </w:tc>
              <w:tc>
                <w:tcPr>
                  <w:tcW w:w="1622" w:type="dxa"/>
                  <w:tcBorders>
                    <w:top w:val="single" w:sz="4" w:space="0" w:color="auto"/>
                    <w:left w:val="single" w:sz="4" w:space="0" w:color="auto"/>
                    <w:bottom w:val="single" w:sz="4" w:space="0" w:color="auto"/>
                    <w:right w:val="single" w:sz="4" w:space="0" w:color="auto"/>
                  </w:tcBorders>
                  <w:vAlign w:val="center"/>
                  <w:hideMark/>
                </w:tcPr>
                <w:p w14:paraId="1C24CF4C" w14:textId="77777777" w:rsidR="00026035" w:rsidRDefault="00026035" w:rsidP="00CB5CFE">
                  <w:pPr>
                    <w:jc w:val="center"/>
                  </w:pPr>
                  <w:r>
                    <w:t>5</w:t>
                  </w:r>
                </w:p>
              </w:tc>
            </w:tr>
            <w:tr w:rsidR="00026035" w14:paraId="0354D91A" w14:textId="77777777" w:rsidTr="00CB5CFE">
              <w:trPr>
                <w:trHeight w:val="521"/>
                <w:jc w:val="center"/>
              </w:trPr>
              <w:tc>
                <w:tcPr>
                  <w:tcW w:w="165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3D589B23" w14:textId="77777777" w:rsidR="00026035" w:rsidRDefault="00026035" w:rsidP="00CB5CFE">
                  <w:pPr>
                    <w:rPr>
                      <w:b/>
                      <w:color w:val="FFFFFF" w:themeColor="background1"/>
                    </w:rPr>
                  </w:pPr>
                  <w:r>
                    <w:rPr>
                      <w:b/>
                      <w:color w:val="FFFFFF" w:themeColor="background1"/>
                    </w:rPr>
                    <w:t>Performance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447053" w14:textId="77777777" w:rsidR="00026035" w:rsidRDefault="00026035" w:rsidP="00CB5CFE">
                  <w:pPr>
                    <w:jc w:val="center"/>
                  </w:pPr>
                  <w:r>
                    <w:t>1</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B95D520" w14:textId="77777777" w:rsidR="00026035" w:rsidRDefault="00026035" w:rsidP="00CB5CFE">
                  <w:pPr>
                    <w:jc w:val="center"/>
                  </w:pPr>
                  <w:r>
                    <w:t>3</w:t>
                  </w:r>
                </w:p>
              </w:tc>
              <w:tc>
                <w:tcPr>
                  <w:tcW w:w="1622" w:type="dxa"/>
                  <w:tcBorders>
                    <w:top w:val="single" w:sz="4" w:space="0" w:color="auto"/>
                    <w:left w:val="single" w:sz="4" w:space="0" w:color="auto"/>
                    <w:bottom w:val="single" w:sz="4" w:space="0" w:color="auto"/>
                    <w:right w:val="single" w:sz="4" w:space="0" w:color="auto"/>
                  </w:tcBorders>
                  <w:vAlign w:val="center"/>
                  <w:hideMark/>
                </w:tcPr>
                <w:p w14:paraId="1E1E1693" w14:textId="77777777" w:rsidR="00026035" w:rsidRDefault="00026035" w:rsidP="00CB5CFE">
                  <w:pPr>
                    <w:jc w:val="center"/>
                  </w:pPr>
                  <w:r>
                    <w:t>11</w:t>
                  </w:r>
                </w:p>
              </w:tc>
            </w:tr>
          </w:tbl>
          <w:p w14:paraId="691969CC" w14:textId="77777777" w:rsidR="00026035" w:rsidRDefault="00026035" w:rsidP="00CB5CFE">
            <w:r>
              <w:t xml:space="preserve">    Note: 1) Number of cases opened or closed during July 2018</w:t>
            </w:r>
          </w:p>
          <w:p w14:paraId="0EFCAF86" w14:textId="77777777" w:rsidR="00026035" w:rsidRDefault="00026035" w:rsidP="00CB5CFE">
            <w:r>
              <w:t xml:space="preserve">    Note: 2) Number of cases remaining open at the end of the month</w:t>
            </w:r>
          </w:p>
          <w:p w14:paraId="0EE66E31" w14:textId="77777777" w:rsidR="00026035" w:rsidRDefault="00026035" w:rsidP="00CB5CFE"/>
        </w:tc>
      </w:tr>
    </w:tbl>
    <w:p w14:paraId="59797EF3" w14:textId="77777777" w:rsidR="00A71DC3" w:rsidRDefault="00A71DC3" w:rsidP="000F66F7"/>
    <w:sectPr w:rsidR="00A71DC3" w:rsidSect="00026035">
      <w:footerReference w:type="default" r:id="rId30"/>
      <w:pgSz w:w="16838" w:h="11906" w:orient="landscape"/>
      <w:pgMar w:top="1440" w:right="1440" w:bottom="709" w:left="1440" w:header="708"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A6A1F" w16cid:durableId="1F26F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BBFE" w14:textId="77777777" w:rsidR="006B7CD7" w:rsidRDefault="006B7CD7" w:rsidP="00AA5C03">
      <w:pPr>
        <w:spacing w:after="0" w:line="240" w:lineRule="auto"/>
      </w:pPr>
      <w:r>
        <w:separator/>
      </w:r>
    </w:p>
  </w:endnote>
  <w:endnote w:type="continuationSeparator" w:id="0">
    <w:p w14:paraId="2DF02898" w14:textId="77777777" w:rsidR="006B7CD7" w:rsidRDefault="006B7CD7" w:rsidP="00AA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81A5" w14:textId="77777777" w:rsidR="003503E8" w:rsidRPr="003503E8" w:rsidRDefault="003503E8" w:rsidP="003503E8">
    <w:pPr>
      <w:pStyle w:val="Footer"/>
      <w:tabs>
        <w:tab w:val="left" w:pos="630"/>
      </w:tabs>
      <w:rPr>
        <w:sz w:val="16"/>
        <w:szCs w:val="16"/>
      </w:rPr>
    </w:pPr>
    <w:r>
      <w:tab/>
    </w:r>
    <w:r w:rsidRPr="003503E8">
      <w:rPr>
        <w:sz w:val="16"/>
        <w:szCs w:val="16"/>
      </w:rPr>
      <w:t>E</w:t>
    </w:r>
    <w:r w:rsidR="0017549A">
      <w:rPr>
        <w:sz w:val="16"/>
        <w:szCs w:val="16"/>
      </w:rPr>
      <w:t>CFR</w:t>
    </w:r>
    <w:r w:rsidR="00911B60">
      <w:rPr>
        <w:sz w:val="16"/>
        <w:szCs w:val="16"/>
      </w:rPr>
      <w:t>S</w:t>
    </w:r>
    <w:r w:rsidR="0017549A">
      <w:rPr>
        <w:sz w:val="16"/>
        <w:szCs w:val="16"/>
      </w:rPr>
      <w:t xml:space="preserve"> Monthly Performance Report.</w:t>
    </w:r>
    <w:r w:rsidRPr="003503E8">
      <w:rPr>
        <w:sz w:val="16"/>
        <w:szCs w:val="16"/>
      </w:rPr>
      <w:t xml:space="preserve"> </w:t>
    </w:r>
    <w:r w:rsidR="005B1D15">
      <w:rPr>
        <w:sz w:val="16"/>
        <w:szCs w:val="16"/>
      </w:rPr>
      <w:t>July</w:t>
    </w:r>
    <w:r w:rsidRPr="003503E8">
      <w:rPr>
        <w:sz w:val="16"/>
        <w:szCs w:val="16"/>
      </w:rPr>
      <w:t xml:space="preserve"> 201</w:t>
    </w:r>
    <w:r w:rsidR="00E23B26">
      <w:rPr>
        <w:sz w:val="16"/>
        <w:szCs w:val="16"/>
      </w:rPr>
      <w:t>8</w:t>
    </w:r>
    <w:r w:rsidR="0017549A">
      <w:rPr>
        <w:sz w:val="16"/>
        <w:szCs w:val="16"/>
      </w:rPr>
      <w:t>. Charlie Elia</w:t>
    </w:r>
    <w:r w:rsidRPr="003503E8">
      <w:rPr>
        <w:sz w:val="16"/>
        <w:szCs w:val="16"/>
      </w:rPr>
      <w:tab/>
    </w:r>
    <w:r w:rsidRPr="003503E8">
      <w:rPr>
        <w:sz w:val="16"/>
        <w:szCs w:val="16"/>
      </w:rPr>
      <w:tab/>
    </w:r>
  </w:p>
  <w:p w14:paraId="5EC27DD1" w14:textId="17346EAE" w:rsidR="003503E8" w:rsidRDefault="001F4613">
    <w:pPr>
      <w:pStyle w:val="Footer"/>
      <w:jc w:val="right"/>
    </w:pPr>
    <w:sdt>
      <w:sdtPr>
        <w:id w:val="-2088525111"/>
        <w:docPartObj>
          <w:docPartGallery w:val="Page Numbers (Bottom of Page)"/>
          <w:docPartUnique/>
        </w:docPartObj>
      </w:sdtPr>
      <w:sdtEndPr>
        <w:rPr>
          <w:noProof/>
        </w:rPr>
      </w:sdtEndPr>
      <w:sdtContent>
        <w:r w:rsidR="003503E8">
          <w:fldChar w:fldCharType="begin"/>
        </w:r>
        <w:r w:rsidR="003503E8">
          <w:instrText xml:space="preserve"> PAGE   \* MERGEFORMAT </w:instrText>
        </w:r>
        <w:r w:rsidR="003503E8">
          <w:fldChar w:fldCharType="separate"/>
        </w:r>
        <w:r>
          <w:rPr>
            <w:noProof/>
          </w:rPr>
          <w:t>16</w:t>
        </w:r>
        <w:r w:rsidR="003503E8">
          <w:rPr>
            <w:noProof/>
          </w:rPr>
          <w:fldChar w:fldCharType="end"/>
        </w:r>
      </w:sdtContent>
    </w:sdt>
  </w:p>
  <w:p w14:paraId="6661A3D3" w14:textId="77777777" w:rsidR="003503E8" w:rsidRDefault="0035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5549" w14:textId="77777777" w:rsidR="006B7CD7" w:rsidRDefault="006B7CD7" w:rsidP="00AA5C03">
      <w:pPr>
        <w:spacing w:after="0" w:line="240" w:lineRule="auto"/>
      </w:pPr>
      <w:r>
        <w:separator/>
      </w:r>
    </w:p>
  </w:footnote>
  <w:footnote w:type="continuationSeparator" w:id="0">
    <w:p w14:paraId="56FE43EC" w14:textId="77777777" w:rsidR="006B7CD7" w:rsidRDefault="006B7CD7" w:rsidP="00AA5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7DB2"/>
    <w:multiLevelType w:val="hybridMultilevel"/>
    <w:tmpl w:val="C4A6B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F1"/>
    <w:rsid w:val="00006223"/>
    <w:rsid w:val="00007EA9"/>
    <w:rsid w:val="00014BB0"/>
    <w:rsid w:val="00016F8F"/>
    <w:rsid w:val="00017008"/>
    <w:rsid w:val="00025EF8"/>
    <w:rsid w:val="00026035"/>
    <w:rsid w:val="00030816"/>
    <w:rsid w:val="0003577D"/>
    <w:rsid w:val="000369BB"/>
    <w:rsid w:val="00036DC7"/>
    <w:rsid w:val="00051115"/>
    <w:rsid w:val="000523C8"/>
    <w:rsid w:val="000526D2"/>
    <w:rsid w:val="00053FBF"/>
    <w:rsid w:val="000555FF"/>
    <w:rsid w:val="000600F3"/>
    <w:rsid w:val="000824DF"/>
    <w:rsid w:val="000843D1"/>
    <w:rsid w:val="00087083"/>
    <w:rsid w:val="00097EC0"/>
    <w:rsid w:val="000B1648"/>
    <w:rsid w:val="000B209F"/>
    <w:rsid w:val="000B3282"/>
    <w:rsid w:val="000B50F5"/>
    <w:rsid w:val="000C4AE8"/>
    <w:rsid w:val="000D240D"/>
    <w:rsid w:val="000D4FFC"/>
    <w:rsid w:val="000D553C"/>
    <w:rsid w:val="000E2530"/>
    <w:rsid w:val="000E2A48"/>
    <w:rsid w:val="000E50EB"/>
    <w:rsid w:val="000F3BB2"/>
    <w:rsid w:val="000F66F7"/>
    <w:rsid w:val="00100372"/>
    <w:rsid w:val="00114819"/>
    <w:rsid w:val="001156EE"/>
    <w:rsid w:val="00121084"/>
    <w:rsid w:val="001210AC"/>
    <w:rsid w:val="00122C49"/>
    <w:rsid w:val="00130732"/>
    <w:rsid w:val="0014151E"/>
    <w:rsid w:val="00141FD3"/>
    <w:rsid w:val="00147FB0"/>
    <w:rsid w:val="00150860"/>
    <w:rsid w:val="00166A74"/>
    <w:rsid w:val="00170052"/>
    <w:rsid w:val="0017549A"/>
    <w:rsid w:val="0017591E"/>
    <w:rsid w:val="001804D1"/>
    <w:rsid w:val="001850C1"/>
    <w:rsid w:val="00187015"/>
    <w:rsid w:val="001926EF"/>
    <w:rsid w:val="001A00AE"/>
    <w:rsid w:val="001B2CF2"/>
    <w:rsid w:val="001D00CA"/>
    <w:rsid w:val="001E04B4"/>
    <w:rsid w:val="001E1FF6"/>
    <w:rsid w:val="001E3C12"/>
    <w:rsid w:val="001F4613"/>
    <w:rsid w:val="001F55A2"/>
    <w:rsid w:val="001F6E0C"/>
    <w:rsid w:val="00200D1E"/>
    <w:rsid w:val="00207FE3"/>
    <w:rsid w:val="002163C9"/>
    <w:rsid w:val="00217B1B"/>
    <w:rsid w:val="00221BE0"/>
    <w:rsid w:val="00231B1F"/>
    <w:rsid w:val="002470EE"/>
    <w:rsid w:val="002474A3"/>
    <w:rsid w:val="002474D8"/>
    <w:rsid w:val="00252BEA"/>
    <w:rsid w:val="00256E52"/>
    <w:rsid w:val="00265CFF"/>
    <w:rsid w:val="00267A61"/>
    <w:rsid w:val="00267D5D"/>
    <w:rsid w:val="00283A25"/>
    <w:rsid w:val="002907EE"/>
    <w:rsid w:val="0029320B"/>
    <w:rsid w:val="00296385"/>
    <w:rsid w:val="002A258B"/>
    <w:rsid w:val="002A3586"/>
    <w:rsid w:val="002A4199"/>
    <w:rsid w:val="002A52F6"/>
    <w:rsid w:val="002B23DB"/>
    <w:rsid w:val="002C52E0"/>
    <w:rsid w:val="002C7B5D"/>
    <w:rsid w:val="002D406F"/>
    <w:rsid w:val="002E075F"/>
    <w:rsid w:val="002E1FFA"/>
    <w:rsid w:val="002E555F"/>
    <w:rsid w:val="002F10B6"/>
    <w:rsid w:val="002F1CFC"/>
    <w:rsid w:val="002F5433"/>
    <w:rsid w:val="00306722"/>
    <w:rsid w:val="00316002"/>
    <w:rsid w:val="003325B0"/>
    <w:rsid w:val="003326E1"/>
    <w:rsid w:val="00332D07"/>
    <w:rsid w:val="00335242"/>
    <w:rsid w:val="003503E8"/>
    <w:rsid w:val="003576BB"/>
    <w:rsid w:val="00365C43"/>
    <w:rsid w:val="003662B1"/>
    <w:rsid w:val="003672E4"/>
    <w:rsid w:val="0037387F"/>
    <w:rsid w:val="0037476B"/>
    <w:rsid w:val="00384B17"/>
    <w:rsid w:val="00390F87"/>
    <w:rsid w:val="00394833"/>
    <w:rsid w:val="00394FE5"/>
    <w:rsid w:val="00395FEE"/>
    <w:rsid w:val="003A10F0"/>
    <w:rsid w:val="003A2D5F"/>
    <w:rsid w:val="003A6C29"/>
    <w:rsid w:val="003B6F8F"/>
    <w:rsid w:val="003C4965"/>
    <w:rsid w:val="003C49A0"/>
    <w:rsid w:val="003C70D8"/>
    <w:rsid w:val="003D3E66"/>
    <w:rsid w:val="003E115E"/>
    <w:rsid w:val="003E1177"/>
    <w:rsid w:val="003E503B"/>
    <w:rsid w:val="003E61F4"/>
    <w:rsid w:val="003E79E7"/>
    <w:rsid w:val="004004B9"/>
    <w:rsid w:val="004038D5"/>
    <w:rsid w:val="004115C6"/>
    <w:rsid w:val="00412EE5"/>
    <w:rsid w:val="004228F6"/>
    <w:rsid w:val="00422D7E"/>
    <w:rsid w:val="004278A6"/>
    <w:rsid w:val="00427FD5"/>
    <w:rsid w:val="004310A8"/>
    <w:rsid w:val="004332C2"/>
    <w:rsid w:val="004344D2"/>
    <w:rsid w:val="00442355"/>
    <w:rsid w:val="00445428"/>
    <w:rsid w:val="0045368B"/>
    <w:rsid w:val="00456CDF"/>
    <w:rsid w:val="004633A2"/>
    <w:rsid w:val="00467F70"/>
    <w:rsid w:val="004701CC"/>
    <w:rsid w:val="00480C9C"/>
    <w:rsid w:val="00482326"/>
    <w:rsid w:val="00490F8C"/>
    <w:rsid w:val="004924FD"/>
    <w:rsid w:val="00494DF9"/>
    <w:rsid w:val="0049576E"/>
    <w:rsid w:val="00495B18"/>
    <w:rsid w:val="00496C76"/>
    <w:rsid w:val="004A4FC8"/>
    <w:rsid w:val="004B765A"/>
    <w:rsid w:val="004C0B84"/>
    <w:rsid w:val="004D2CFE"/>
    <w:rsid w:val="004D4AF4"/>
    <w:rsid w:val="004D7AEC"/>
    <w:rsid w:val="004F52A4"/>
    <w:rsid w:val="005005FE"/>
    <w:rsid w:val="00500CBC"/>
    <w:rsid w:val="005165BD"/>
    <w:rsid w:val="00516F1E"/>
    <w:rsid w:val="00520A9E"/>
    <w:rsid w:val="00520CA4"/>
    <w:rsid w:val="00532DB5"/>
    <w:rsid w:val="005500B5"/>
    <w:rsid w:val="00554E5E"/>
    <w:rsid w:val="005631A0"/>
    <w:rsid w:val="005667EE"/>
    <w:rsid w:val="00572A69"/>
    <w:rsid w:val="00572E0C"/>
    <w:rsid w:val="00575937"/>
    <w:rsid w:val="00582168"/>
    <w:rsid w:val="00584B2C"/>
    <w:rsid w:val="005852D4"/>
    <w:rsid w:val="00587AE2"/>
    <w:rsid w:val="005906F5"/>
    <w:rsid w:val="00590E15"/>
    <w:rsid w:val="005943C1"/>
    <w:rsid w:val="00596D69"/>
    <w:rsid w:val="005A2041"/>
    <w:rsid w:val="005A337C"/>
    <w:rsid w:val="005A6014"/>
    <w:rsid w:val="005B1D15"/>
    <w:rsid w:val="005D3828"/>
    <w:rsid w:val="005D3F91"/>
    <w:rsid w:val="005E3A54"/>
    <w:rsid w:val="005F1573"/>
    <w:rsid w:val="005F5AE9"/>
    <w:rsid w:val="00601488"/>
    <w:rsid w:val="00605B47"/>
    <w:rsid w:val="006104A3"/>
    <w:rsid w:val="0061551C"/>
    <w:rsid w:val="00616454"/>
    <w:rsid w:val="00616550"/>
    <w:rsid w:val="00617F38"/>
    <w:rsid w:val="006225F3"/>
    <w:rsid w:val="00645E48"/>
    <w:rsid w:val="006475FB"/>
    <w:rsid w:val="00652AF1"/>
    <w:rsid w:val="00653297"/>
    <w:rsid w:val="00663D99"/>
    <w:rsid w:val="00667A4D"/>
    <w:rsid w:val="00671C2F"/>
    <w:rsid w:val="00673E37"/>
    <w:rsid w:val="006A003B"/>
    <w:rsid w:val="006A1F4B"/>
    <w:rsid w:val="006A5175"/>
    <w:rsid w:val="006A76B1"/>
    <w:rsid w:val="006B5ABC"/>
    <w:rsid w:val="006B7CD7"/>
    <w:rsid w:val="006C5FC2"/>
    <w:rsid w:val="006D0056"/>
    <w:rsid w:val="006D3C8C"/>
    <w:rsid w:val="006F173E"/>
    <w:rsid w:val="006F52D9"/>
    <w:rsid w:val="00703720"/>
    <w:rsid w:val="0070798C"/>
    <w:rsid w:val="00722212"/>
    <w:rsid w:val="007229B8"/>
    <w:rsid w:val="00724DD1"/>
    <w:rsid w:val="00735D05"/>
    <w:rsid w:val="007400D2"/>
    <w:rsid w:val="0074285A"/>
    <w:rsid w:val="0074404E"/>
    <w:rsid w:val="00761605"/>
    <w:rsid w:val="00763E4C"/>
    <w:rsid w:val="00771742"/>
    <w:rsid w:val="007772F5"/>
    <w:rsid w:val="0078744C"/>
    <w:rsid w:val="007934FC"/>
    <w:rsid w:val="00793E19"/>
    <w:rsid w:val="00795D81"/>
    <w:rsid w:val="0079727F"/>
    <w:rsid w:val="007A7C66"/>
    <w:rsid w:val="007B49BD"/>
    <w:rsid w:val="007B528B"/>
    <w:rsid w:val="007B5584"/>
    <w:rsid w:val="007B604F"/>
    <w:rsid w:val="007B6F8A"/>
    <w:rsid w:val="007C79E7"/>
    <w:rsid w:val="007D22F6"/>
    <w:rsid w:val="007D3058"/>
    <w:rsid w:val="007E3CE1"/>
    <w:rsid w:val="007E5C56"/>
    <w:rsid w:val="007E5EAD"/>
    <w:rsid w:val="007F3679"/>
    <w:rsid w:val="007F50DF"/>
    <w:rsid w:val="007F56A4"/>
    <w:rsid w:val="00801871"/>
    <w:rsid w:val="00814B9E"/>
    <w:rsid w:val="00815595"/>
    <w:rsid w:val="0081660E"/>
    <w:rsid w:val="00824521"/>
    <w:rsid w:val="00831BC7"/>
    <w:rsid w:val="00840CBE"/>
    <w:rsid w:val="008416A7"/>
    <w:rsid w:val="00846386"/>
    <w:rsid w:val="008464D5"/>
    <w:rsid w:val="008468F9"/>
    <w:rsid w:val="0085239D"/>
    <w:rsid w:val="00857179"/>
    <w:rsid w:val="0085790D"/>
    <w:rsid w:val="00861F63"/>
    <w:rsid w:val="0086329A"/>
    <w:rsid w:val="0086353A"/>
    <w:rsid w:val="00865682"/>
    <w:rsid w:val="008661D2"/>
    <w:rsid w:val="00870734"/>
    <w:rsid w:val="00875D2F"/>
    <w:rsid w:val="00882834"/>
    <w:rsid w:val="008843C9"/>
    <w:rsid w:val="00892DD4"/>
    <w:rsid w:val="00896C4A"/>
    <w:rsid w:val="008A0BD9"/>
    <w:rsid w:val="008B2C71"/>
    <w:rsid w:val="008D427D"/>
    <w:rsid w:val="008D5423"/>
    <w:rsid w:val="008E3A8B"/>
    <w:rsid w:val="008E4420"/>
    <w:rsid w:val="008E4F8A"/>
    <w:rsid w:val="00911B60"/>
    <w:rsid w:val="009155FA"/>
    <w:rsid w:val="0093414E"/>
    <w:rsid w:val="00935BE4"/>
    <w:rsid w:val="009427F5"/>
    <w:rsid w:val="00944D6E"/>
    <w:rsid w:val="00946D46"/>
    <w:rsid w:val="00957BB4"/>
    <w:rsid w:val="009606F2"/>
    <w:rsid w:val="0096280B"/>
    <w:rsid w:val="00964BE7"/>
    <w:rsid w:val="009724DE"/>
    <w:rsid w:val="0097633D"/>
    <w:rsid w:val="00981D21"/>
    <w:rsid w:val="00986125"/>
    <w:rsid w:val="00991D3E"/>
    <w:rsid w:val="00993B8A"/>
    <w:rsid w:val="00995C17"/>
    <w:rsid w:val="009966CA"/>
    <w:rsid w:val="009A015C"/>
    <w:rsid w:val="009A7446"/>
    <w:rsid w:val="009B06F2"/>
    <w:rsid w:val="009B5546"/>
    <w:rsid w:val="009B57F9"/>
    <w:rsid w:val="009D2F29"/>
    <w:rsid w:val="009D7636"/>
    <w:rsid w:val="009E1CB4"/>
    <w:rsid w:val="009E7C9F"/>
    <w:rsid w:val="009F30D3"/>
    <w:rsid w:val="009F522A"/>
    <w:rsid w:val="00A039D5"/>
    <w:rsid w:val="00A0639B"/>
    <w:rsid w:val="00A1547D"/>
    <w:rsid w:val="00A21269"/>
    <w:rsid w:val="00A22265"/>
    <w:rsid w:val="00A244E7"/>
    <w:rsid w:val="00A259F1"/>
    <w:rsid w:val="00A26677"/>
    <w:rsid w:val="00A33BDC"/>
    <w:rsid w:val="00A36B77"/>
    <w:rsid w:val="00A421FF"/>
    <w:rsid w:val="00A443A0"/>
    <w:rsid w:val="00A4588F"/>
    <w:rsid w:val="00A46014"/>
    <w:rsid w:val="00A56BAC"/>
    <w:rsid w:val="00A641F6"/>
    <w:rsid w:val="00A71DC3"/>
    <w:rsid w:val="00A72969"/>
    <w:rsid w:val="00A7370C"/>
    <w:rsid w:val="00A83A47"/>
    <w:rsid w:val="00A93AE8"/>
    <w:rsid w:val="00A96875"/>
    <w:rsid w:val="00AA0C15"/>
    <w:rsid w:val="00AA1532"/>
    <w:rsid w:val="00AA3922"/>
    <w:rsid w:val="00AA5C03"/>
    <w:rsid w:val="00AB30D2"/>
    <w:rsid w:val="00AB5400"/>
    <w:rsid w:val="00AB693D"/>
    <w:rsid w:val="00AC1CDE"/>
    <w:rsid w:val="00AD1214"/>
    <w:rsid w:val="00AD143D"/>
    <w:rsid w:val="00AD5A50"/>
    <w:rsid w:val="00AE0E5F"/>
    <w:rsid w:val="00AE107D"/>
    <w:rsid w:val="00AE5007"/>
    <w:rsid w:val="00AF0014"/>
    <w:rsid w:val="00AF05D6"/>
    <w:rsid w:val="00B15761"/>
    <w:rsid w:val="00B15E61"/>
    <w:rsid w:val="00B41F1E"/>
    <w:rsid w:val="00B50A30"/>
    <w:rsid w:val="00B514D0"/>
    <w:rsid w:val="00B54EFB"/>
    <w:rsid w:val="00B57147"/>
    <w:rsid w:val="00B62C6B"/>
    <w:rsid w:val="00B63B7D"/>
    <w:rsid w:val="00B66CF8"/>
    <w:rsid w:val="00B712F6"/>
    <w:rsid w:val="00B71CD4"/>
    <w:rsid w:val="00B73F5E"/>
    <w:rsid w:val="00B74089"/>
    <w:rsid w:val="00B81DB5"/>
    <w:rsid w:val="00B84D37"/>
    <w:rsid w:val="00B904D1"/>
    <w:rsid w:val="00B964A2"/>
    <w:rsid w:val="00B97EE2"/>
    <w:rsid w:val="00BA4E94"/>
    <w:rsid w:val="00BA5682"/>
    <w:rsid w:val="00BC1D3F"/>
    <w:rsid w:val="00BC2376"/>
    <w:rsid w:val="00BC3226"/>
    <w:rsid w:val="00BC6DE8"/>
    <w:rsid w:val="00BD0613"/>
    <w:rsid w:val="00BE3F3D"/>
    <w:rsid w:val="00BF058A"/>
    <w:rsid w:val="00BF08BA"/>
    <w:rsid w:val="00BF266D"/>
    <w:rsid w:val="00BF5458"/>
    <w:rsid w:val="00C120FE"/>
    <w:rsid w:val="00C23355"/>
    <w:rsid w:val="00C24DAC"/>
    <w:rsid w:val="00C271AD"/>
    <w:rsid w:val="00C319B4"/>
    <w:rsid w:val="00C35DCD"/>
    <w:rsid w:val="00C41913"/>
    <w:rsid w:val="00C42F69"/>
    <w:rsid w:val="00C5018C"/>
    <w:rsid w:val="00C50F63"/>
    <w:rsid w:val="00C57E62"/>
    <w:rsid w:val="00C60BF2"/>
    <w:rsid w:val="00C61822"/>
    <w:rsid w:val="00C63E9C"/>
    <w:rsid w:val="00C64A4C"/>
    <w:rsid w:val="00C6509D"/>
    <w:rsid w:val="00C65607"/>
    <w:rsid w:val="00C73887"/>
    <w:rsid w:val="00C74A7D"/>
    <w:rsid w:val="00C92192"/>
    <w:rsid w:val="00C962FF"/>
    <w:rsid w:val="00CA389E"/>
    <w:rsid w:val="00CA42CA"/>
    <w:rsid w:val="00CA653C"/>
    <w:rsid w:val="00CB1359"/>
    <w:rsid w:val="00CB27FC"/>
    <w:rsid w:val="00CB4EFD"/>
    <w:rsid w:val="00CD2345"/>
    <w:rsid w:val="00CD2DD4"/>
    <w:rsid w:val="00CD38CF"/>
    <w:rsid w:val="00CD4314"/>
    <w:rsid w:val="00CD71B7"/>
    <w:rsid w:val="00CF078E"/>
    <w:rsid w:val="00CF0C29"/>
    <w:rsid w:val="00CF117A"/>
    <w:rsid w:val="00D004A2"/>
    <w:rsid w:val="00D0074B"/>
    <w:rsid w:val="00D04525"/>
    <w:rsid w:val="00D0579A"/>
    <w:rsid w:val="00D05911"/>
    <w:rsid w:val="00D109B1"/>
    <w:rsid w:val="00D11447"/>
    <w:rsid w:val="00D153B7"/>
    <w:rsid w:val="00D16514"/>
    <w:rsid w:val="00D200E3"/>
    <w:rsid w:val="00D2389B"/>
    <w:rsid w:val="00D25305"/>
    <w:rsid w:val="00D308EB"/>
    <w:rsid w:val="00D31CBC"/>
    <w:rsid w:val="00D34A8B"/>
    <w:rsid w:val="00D425DB"/>
    <w:rsid w:val="00D4313F"/>
    <w:rsid w:val="00D43265"/>
    <w:rsid w:val="00D43408"/>
    <w:rsid w:val="00D43E25"/>
    <w:rsid w:val="00D47A6A"/>
    <w:rsid w:val="00D47F95"/>
    <w:rsid w:val="00D50CC4"/>
    <w:rsid w:val="00D54178"/>
    <w:rsid w:val="00D64DA0"/>
    <w:rsid w:val="00D74C94"/>
    <w:rsid w:val="00D7576E"/>
    <w:rsid w:val="00D77B51"/>
    <w:rsid w:val="00D9748B"/>
    <w:rsid w:val="00D97F52"/>
    <w:rsid w:val="00DA6829"/>
    <w:rsid w:val="00DC0999"/>
    <w:rsid w:val="00DE1787"/>
    <w:rsid w:val="00DE3547"/>
    <w:rsid w:val="00E0496D"/>
    <w:rsid w:val="00E061FF"/>
    <w:rsid w:val="00E160A0"/>
    <w:rsid w:val="00E16A40"/>
    <w:rsid w:val="00E2090E"/>
    <w:rsid w:val="00E23B26"/>
    <w:rsid w:val="00E247B6"/>
    <w:rsid w:val="00E263FB"/>
    <w:rsid w:val="00E3690A"/>
    <w:rsid w:val="00E418CA"/>
    <w:rsid w:val="00E5236D"/>
    <w:rsid w:val="00E5576C"/>
    <w:rsid w:val="00E5659C"/>
    <w:rsid w:val="00E60C91"/>
    <w:rsid w:val="00E74712"/>
    <w:rsid w:val="00E74C02"/>
    <w:rsid w:val="00E80532"/>
    <w:rsid w:val="00E92820"/>
    <w:rsid w:val="00EA0BCC"/>
    <w:rsid w:val="00EA0EA9"/>
    <w:rsid w:val="00EA14CE"/>
    <w:rsid w:val="00EA1ECC"/>
    <w:rsid w:val="00EB0BBB"/>
    <w:rsid w:val="00EB4AA9"/>
    <w:rsid w:val="00EB5C02"/>
    <w:rsid w:val="00EC0A57"/>
    <w:rsid w:val="00EC2667"/>
    <w:rsid w:val="00EC4818"/>
    <w:rsid w:val="00EC4DDD"/>
    <w:rsid w:val="00ED7DDC"/>
    <w:rsid w:val="00EF28BC"/>
    <w:rsid w:val="00F35497"/>
    <w:rsid w:val="00F35B8C"/>
    <w:rsid w:val="00F4239E"/>
    <w:rsid w:val="00F43CE6"/>
    <w:rsid w:val="00F44ACD"/>
    <w:rsid w:val="00F57605"/>
    <w:rsid w:val="00F84778"/>
    <w:rsid w:val="00F91A8A"/>
    <w:rsid w:val="00F9415A"/>
    <w:rsid w:val="00FA3D91"/>
    <w:rsid w:val="00FB30A5"/>
    <w:rsid w:val="00FC2143"/>
    <w:rsid w:val="00FC3F73"/>
    <w:rsid w:val="00FC5176"/>
    <w:rsid w:val="00FC6CA4"/>
    <w:rsid w:val="00FD1154"/>
    <w:rsid w:val="00FD6B33"/>
    <w:rsid w:val="00FD7461"/>
    <w:rsid w:val="00FE3408"/>
    <w:rsid w:val="00FE4BCD"/>
    <w:rsid w:val="00FE5085"/>
    <w:rsid w:val="00FF05F0"/>
    <w:rsid w:val="00FF4B34"/>
    <w:rsid w:val="00FF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A9C9A"/>
  <w15:docId w15:val="{FE94BF64-1411-4B49-841D-160B1F6D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3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3058"/>
    <w:rPr>
      <w:rFonts w:eastAsiaTheme="minorEastAsia"/>
      <w:lang w:val="en-US"/>
    </w:rPr>
  </w:style>
  <w:style w:type="paragraph" w:styleId="Header">
    <w:name w:val="header"/>
    <w:basedOn w:val="Normal"/>
    <w:link w:val="HeaderChar"/>
    <w:uiPriority w:val="99"/>
    <w:unhideWhenUsed/>
    <w:rsid w:val="00AA5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03"/>
  </w:style>
  <w:style w:type="paragraph" w:styleId="Footer">
    <w:name w:val="footer"/>
    <w:basedOn w:val="Normal"/>
    <w:link w:val="FooterChar"/>
    <w:uiPriority w:val="99"/>
    <w:unhideWhenUsed/>
    <w:rsid w:val="00AA5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03"/>
  </w:style>
  <w:style w:type="paragraph" w:styleId="BalloonText">
    <w:name w:val="Balloon Text"/>
    <w:basedOn w:val="Normal"/>
    <w:link w:val="BalloonTextChar"/>
    <w:uiPriority w:val="99"/>
    <w:semiHidden/>
    <w:unhideWhenUsed/>
    <w:rsid w:val="00C41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13"/>
    <w:rPr>
      <w:rFonts w:ascii="Segoe UI" w:hAnsi="Segoe UI" w:cs="Segoe UI"/>
      <w:sz w:val="18"/>
      <w:szCs w:val="18"/>
    </w:rPr>
  </w:style>
  <w:style w:type="character" w:styleId="CommentReference">
    <w:name w:val="annotation reference"/>
    <w:basedOn w:val="DefaultParagraphFont"/>
    <w:uiPriority w:val="99"/>
    <w:semiHidden/>
    <w:unhideWhenUsed/>
    <w:rsid w:val="00B904D1"/>
    <w:rPr>
      <w:sz w:val="16"/>
      <w:szCs w:val="16"/>
    </w:rPr>
  </w:style>
  <w:style w:type="paragraph" w:styleId="CommentText">
    <w:name w:val="annotation text"/>
    <w:basedOn w:val="Normal"/>
    <w:link w:val="CommentTextChar"/>
    <w:uiPriority w:val="99"/>
    <w:semiHidden/>
    <w:unhideWhenUsed/>
    <w:rsid w:val="00B904D1"/>
    <w:pPr>
      <w:spacing w:line="240" w:lineRule="auto"/>
    </w:pPr>
    <w:rPr>
      <w:sz w:val="20"/>
      <w:szCs w:val="20"/>
    </w:rPr>
  </w:style>
  <w:style w:type="character" w:customStyle="1" w:styleId="CommentTextChar">
    <w:name w:val="Comment Text Char"/>
    <w:basedOn w:val="DefaultParagraphFont"/>
    <w:link w:val="CommentText"/>
    <w:uiPriority w:val="99"/>
    <w:semiHidden/>
    <w:rsid w:val="00B904D1"/>
    <w:rPr>
      <w:sz w:val="20"/>
      <w:szCs w:val="20"/>
    </w:rPr>
  </w:style>
  <w:style w:type="paragraph" w:styleId="CommentSubject">
    <w:name w:val="annotation subject"/>
    <w:basedOn w:val="CommentText"/>
    <w:next w:val="CommentText"/>
    <w:link w:val="CommentSubjectChar"/>
    <w:uiPriority w:val="99"/>
    <w:semiHidden/>
    <w:unhideWhenUsed/>
    <w:rsid w:val="00B904D1"/>
    <w:rPr>
      <w:b/>
      <w:bCs/>
    </w:rPr>
  </w:style>
  <w:style w:type="character" w:customStyle="1" w:styleId="CommentSubjectChar">
    <w:name w:val="Comment Subject Char"/>
    <w:basedOn w:val="CommentTextChar"/>
    <w:link w:val="CommentSubject"/>
    <w:uiPriority w:val="99"/>
    <w:semiHidden/>
    <w:rsid w:val="00B904D1"/>
    <w:rPr>
      <w:b/>
      <w:bCs/>
      <w:sz w:val="20"/>
      <w:szCs w:val="20"/>
    </w:rPr>
  </w:style>
  <w:style w:type="paragraph" w:styleId="Revision">
    <w:name w:val="Revision"/>
    <w:hidden/>
    <w:uiPriority w:val="99"/>
    <w:semiHidden/>
    <w:rsid w:val="002470EE"/>
    <w:pPr>
      <w:spacing w:after="0" w:line="240" w:lineRule="auto"/>
    </w:pPr>
  </w:style>
  <w:style w:type="paragraph" w:customStyle="1" w:styleId="Default">
    <w:name w:val="Default"/>
    <w:rsid w:val="004228F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2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1082">
      <w:bodyDiv w:val="1"/>
      <w:marLeft w:val="0"/>
      <w:marRight w:val="0"/>
      <w:marTop w:val="0"/>
      <w:marBottom w:val="0"/>
      <w:divBdr>
        <w:top w:val="none" w:sz="0" w:space="0" w:color="auto"/>
        <w:left w:val="none" w:sz="0" w:space="0" w:color="auto"/>
        <w:bottom w:val="none" w:sz="0" w:space="0" w:color="auto"/>
        <w:right w:val="none" w:sz="0" w:space="0" w:color="auto"/>
      </w:divBdr>
      <w:divsChild>
        <w:div w:id="1750346966">
          <w:marLeft w:val="0"/>
          <w:marRight w:val="0"/>
          <w:marTop w:val="0"/>
          <w:marBottom w:val="0"/>
          <w:divBdr>
            <w:top w:val="none" w:sz="0" w:space="0" w:color="auto"/>
            <w:left w:val="none" w:sz="0" w:space="0" w:color="auto"/>
            <w:bottom w:val="none" w:sz="0" w:space="0" w:color="auto"/>
            <w:right w:val="none" w:sz="0" w:space="0" w:color="auto"/>
          </w:divBdr>
          <w:divsChild>
            <w:div w:id="280844003">
              <w:marLeft w:val="0"/>
              <w:marRight w:val="0"/>
              <w:marTop w:val="0"/>
              <w:marBottom w:val="0"/>
              <w:divBdr>
                <w:top w:val="none" w:sz="0" w:space="0" w:color="auto"/>
                <w:left w:val="none" w:sz="0" w:space="0" w:color="auto"/>
                <w:bottom w:val="none" w:sz="0" w:space="0" w:color="auto"/>
                <w:right w:val="none" w:sz="0" w:space="0" w:color="auto"/>
              </w:divBdr>
              <w:divsChild>
                <w:div w:id="1172986847">
                  <w:marLeft w:val="0"/>
                  <w:marRight w:val="0"/>
                  <w:marTop w:val="0"/>
                  <w:marBottom w:val="0"/>
                  <w:divBdr>
                    <w:top w:val="none" w:sz="0" w:space="0" w:color="auto"/>
                    <w:left w:val="none" w:sz="0" w:space="0" w:color="auto"/>
                    <w:bottom w:val="none" w:sz="0" w:space="0" w:color="auto"/>
                    <w:right w:val="none" w:sz="0" w:space="0" w:color="auto"/>
                  </w:divBdr>
                  <w:divsChild>
                    <w:div w:id="283317775">
                      <w:marLeft w:val="75"/>
                      <w:marRight w:val="75"/>
                      <w:marTop w:val="45"/>
                      <w:marBottom w:val="45"/>
                      <w:divBdr>
                        <w:top w:val="none" w:sz="0" w:space="0" w:color="auto"/>
                        <w:left w:val="none" w:sz="0" w:space="0" w:color="auto"/>
                        <w:bottom w:val="none" w:sz="0" w:space="0" w:color="auto"/>
                        <w:right w:val="none" w:sz="0" w:space="0" w:color="auto"/>
                      </w:divBdr>
                      <w:divsChild>
                        <w:div w:id="768622483">
                          <w:marLeft w:val="0"/>
                          <w:marRight w:val="0"/>
                          <w:marTop w:val="0"/>
                          <w:marBottom w:val="0"/>
                          <w:divBdr>
                            <w:top w:val="none" w:sz="0" w:space="0" w:color="auto"/>
                            <w:left w:val="none" w:sz="0" w:space="0" w:color="auto"/>
                            <w:bottom w:val="none" w:sz="0" w:space="0" w:color="auto"/>
                            <w:right w:val="none" w:sz="0" w:space="0" w:color="auto"/>
                          </w:divBdr>
                          <w:divsChild>
                            <w:div w:id="1376388037">
                              <w:marLeft w:val="75"/>
                              <w:marRight w:val="75"/>
                              <w:marTop w:val="75"/>
                              <w:marBottom w:val="75"/>
                              <w:divBdr>
                                <w:top w:val="single" w:sz="6" w:space="4" w:color="DADADA"/>
                                <w:left w:val="single" w:sz="6" w:space="4" w:color="DADADA"/>
                                <w:bottom w:val="single" w:sz="6" w:space="4" w:color="DADADA"/>
                                <w:right w:val="single" w:sz="6" w:space="4" w:color="DADADA"/>
                              </w:divBdr>
                              <w:divsChild>
                                <w:div w:id="183059780">
                                  <w:marLeft w:val="0"/>
                                  <w:marRight w:val="0"/>
                                  <w:marTop w:val="0"/>
                                  <w:marBottom w:val="0"/>
                                  <w:divBdr>
                                    <w:top w:val="none" w:sz="0" w:space="0" w:color="auto"/>
                                    <w:left w:val="none" w:sz="0" w:space="0" w:color="auto"/>
                                    <w:bottom w:val="none" w:sz="0" w:space="0" w:color="auto"/>
                                    <w:right w:val="none" w:sz="0" w:space="0" w:color="auto"/>
                                  </w:divBdr>
                                  <w:divsChild>
                                    <w:div w:id="140276958">
                                      <w:marLeft w:val="0"/>
                                      <w:marRight w:val="0"/>
                                      <w:marTop w:val="0"/>
                                      <w:marBottom w:val="0"/>
                                      <w:divBdr>
                                        <w:top w:val="none" w:sz="0" w:space="0" w:color="auto"/>
                                        <w:left w:val="none" w:sz="0" w:space="0" w:color="auto"/>
                                        <w:bottom w:val="none" w:sz="0" w:space="0" w:color="auto"/>
                                        <w:right w:val="none" w:sz="0" w:space="0" w:color="auto"/>
                                      </w:divBdr>
                                      <w:divsChild>
                                        <w:div w:id="489716017">
                                          <w:marLeft w:val="0"/>
                                          <w:marRight w:val="0"/>
                                          <w:marTop w:val="0"/>
                                          <w:marBottom w:val="0"/>
                                          <w:divBdr>
                                            <w:top w:val="none" w:sz="0" w:space="0" w:color="auto"/>
                                            <w:left w:val="none" w:sz="0" w:space="0" w:color="auto"/>
                                            <w:bottom w:val="none" w:sz="0" w:space="0" w:color="auto"/>
                                            <w:right w:val="none" w:sz="0" w:space="0" w:color="auto"/>
                                          </w:divBdr>
                                          <w:divsChild>
                                            <w:div w:id="868223781">
                                              <w:marLeft w:val="0"/>
                                              <w:marRight w:val="0"/>
                                              <w:marTop w:val="0"/>
                                              <w:marBottom w:val="0"/>
                                              <w:divBdr>
                                                <w:top w:val="none" w:sz="0" w:space="0" w:color="auto"/>
                                                <w:left w:val="none" w:sz="0" w:space="0" w:color="auto"/>
                                                <w:bottom w:val="none" w:sz="0" w:space="0" w:color="auto"/>
                                                <w:right w:val="none" w:sz="0" w:space="0" w:color="auto"/>
                                              </w:divBdr>
                                              <w:divsChild>
                                                <w:div w:id="765270122">
                                                  <w:marLeft w:val="0"/>
                                                  <w:marRight w:val="0"/>
                                                  <w:marTop w:val="0"/>
                                                  <w:marBottom w:val="0"/>
                                                  <w:divBdr>
                                                    <w:top w:val="none" w:sz="0" w:space="0" w:color="auto"/>
                                                    <w:left w:val="none" w:sz="0" w:space="0" w:color="auto"/>
                                                    <w:bottom w:val="none" w:sz="0" w:space="0" w:color="auto"/>
                                                    <w:right w:val="none" w:sz="0" w:space="0" w:color="auto"/>
                                                  </w:divBdr>
                                                  <w:divsChild>
                                                    <w:div w:id="1562129122">
                                                      <w:marLeft w:val="0"/>
                                                      <w:marRight w:val="0"/>
                                                      <w:marTop w:val="0"/>
                                                      <w:marBottom w:val="0"/>
                                                      <w:divBdr>
                                                        <w:top w:val="none" w:sz="0" w:space="0" w:color="auto"/>
                                                        <w:left w:val="none" w:sz="0" w:space="0" w:color="auto"/>
                                                        <w:bottom w:val="none" w:sz="0" w:space="0" w:color="auto"/>
                                                        <w:right w:val="none" w:sz="0" w:space="0" w:color="auto"/>
                                                      </w:divBdr>
                                                      <w:divsChild>
                                                        <w:div w:id="535239194">
                                                          <w:marLeft w:val="0"/>
                                                          <w:marRight w:val="0"/>
                                                          <w:marTop w:val="0"/>
                                                          <w:marBottom w:val="0"/>
                                                          <w:divBdr>
                                                            <w:top w:val="none" w:sz="0" w:space="0" w:color="auto"/>
                                                            <w:left w:val="none" w:sz="0" w:space="0" w:color="auto"/>
                                                            <w:bottom w:val="none" w:sz="0" w:space="0" w:color="auto"/>
                                                            <w:right w:val="none" w:sz="0" w:space="0" w:color="auto"/>
                                                          </w:divBdr>
                                                          <w:divsChild>
                                                            <w:div w:id="112751184">
                                                              <w:marLeft w:val="0"/>
                                                              <w:marRight w:val="0"/>
                                                              <w:marTop w:val="0"/>
                                                              <w:marBottom w:val="0"/>
                                                              <w:divBdr>
                                                                <w:top w:val="none" w:sz="0" w:space="0" w:color="auto"/>
                                                                <w:left w:val="none" w:sz="0" w:space="0" w:color="auto"/>
                                                                <w:bottom w:val="none" w:sz="0" w:space="0" w:color="auto"/>
                                                                <w:right w:val="none" w:sz="0" w:space="0" w:color="auto"/>
                                                              </w:divBdr>
                                                              <w:divsChild>
                                                                <w:div w:id="202596112">
                                                                  <w:marLeft w:val="0"/>
                                                                  <w:marRight w:val="0"/>
                                                                  <w:marTop w:val="0"/>
                                                                  <w:marBottom w:val="0"/>
                                                                  <w:divBdr>
                                                                    <w:top w:val="none" w:sz="0" w:space="0" w:color="auto"/>
                                                                    <w:left w:val="none" w:sz="0" w:space="0" w:color="auto"/>
                                                                    <w:bottom w:val="none" w:sz="0" w:space="0" w:color="auto"/>
                                                                    <w:right w:val="none" w:sz="0" w:space="0" w:color="auto"/>
                                                                  </w:divBdr>
                                                                  <w:divsChild>
                                                                    <w:div w:id="1762527723">
                                                                      <w:marLeft w:val="0"/>
                                                                      <w:marRight w:val="0"/>
                                                                      <w:marTop w:val="0"/>
                                                                      <w:marBottom w:val="0"/>
                                                                      <w:divBdr>
                                                                        <w:top w:val="none" w:sz="0" w:space="0" w:color="auto"/>
                                                                        <w:left w:val="none" w:sz="0" w:space="0" w:color="auto"/>
                                                                        <w:bottom w:val="none" w:sz="0" w:space="0" w:color="auto"/>
                                                                        <w:right w:val="none" w:sz="0" w:space="0" w:color="auto"/>
                                                                      </w:divBdr>
                                                                      <w:divsChild>
                                                                        <w:div w:id="5649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017971">
      <w:bodyDiv w:val="1"/>
      <w:marLeft w:val="0"/>
      <w:marRight w:val="0"/>
      <w:marTop w:val="0"/>
      <w:marBottom w:val="0"/>
      <w:divBdr>
        <w:top w:val="none" w:sz="0" w:space="0" w:color="auto"/>
        <w:left w:val="none" w:sz="0" w:space="0" w:color="auto"/>
        <w:bottom w:val="none" w:sz="0" w:space="0" w:color="auto"/>
        <w:right w:val="none" w:sz="0" w:space="0" w:color="auto"/>
      </w:divBdr>
    </w:div>
    <w:div w:id="827404819">
      <w:bodyDiv w:val="1"/>
      <w:marLeft w:val="0"/>
      <w:marRight w:val="0"/>
      <w:marTop w:val="0"/>
      <w:marBottom w:val="0"/>
      <w:divBdr>
        <w:top w:val="none" w:sz="0" w:space="0" w:color="auto"/>
        <w:left w:val="none" w:sz="0" w:space="0" w:color="auto"/>
        <w:bottom w:val="none" w:sz="0" w:space="0" w:color="auto"/>
        <w:right w:val="none" w:sz="0" w:space="0" w:color="auto"/>
      </w:divBdr>
    </w:div>
    <w:div w:id="1010062502">
      <w:bodyDiv w:val="1"/>
      <w:marLeft w:val="0"/>
      <w:marRight w:val="0"/>
      <w:marTop w:val="0"/>
      <w:marBottom w:val="0"/>
      <w:divBdr>
        <w:top w:val="none" w:sz="0" w:space="0" w:color="auto"/>
        <w:left w:val="none" w:sz="0" w:space="0" w:color="auto"/>
        <w:bottom w:val="none" w:sz="0" w:space="0" w:color="auto"/>
        <w:right w:val="none" w:sz="0" w:space="0" w:color="auto"/>
      </w:divBdr>
    </w:div>
    <w:div w:id="1815488433">
      <w:bodyDiv w:val="1"/>
      <w:marLeft w:val="0"/>
      <w:marRight w:val="0"/>
      <w:marTop w:val="0"/>
      <w:marBottom w:val="0"/>
      <w:divBdr>
        <w:top w:val="none" w:sz="0" w:space="0" w:color="auto"/>
        <w:left w:val="none" w:sz="0" w:space="0" w:color="auto"/>
        <w:bottom w:val="none" w:sz="0" w:space="0" w:color="auto"/>
        <w:right w:val="none" w:sz="0" w:space="0" w:color="auto"/>
      </w:divBdr>
      <w:divsChild>
        <w:div w:id="1113548553">
          <w:marLeft w:val="0"/>
          <w:marRight w:val="0"/>
          <w:marTop w:val="0"/>
          <w:marBottom w:val="0"/>
          <w:divBdr>
            <w:top w:val="none" w:sz="0" w:space="0" w:color="auto"/>
            <w:left w:val="none" w:sz="0" w:space="0" w:color="auto"/>
            <w:bottom w:val="none" w:sz="0" w:space="0" w:color="auto"/>
            <w:right w:val="none" w:sz="0" w:space="0" w:color="auto"/>
          </w:divBdr>
          <w:divsChild>
            <w:div w:id="1046831292">
              <w:marLeft w:val="0"/>
              <w:marRight w:val="0"/>
              <w:marTop w:val="0"/>
              <w:marBottom w:val="0"/>
              <w:divBdr>
                <w:top w:val="none" w:sz="0" w:space="0" w:color="auto"/>
                <w:left w:val="none" w:sz="0" w:space="0" w:color="auto"/>
                <w:bottom w:val="none" w:sz="0" w:space="0" w:color="auto"/>
                <w:right w:val="none" w:sz="0" w:space="0" w:color="auto"/>
              </w:divBdr>
              <w:divsChild>
                <w:div w:id="457068648">
                  <w:marLeft w:val="0"/>
                  <w:marRight w:val="0"/>
                  <w:marTop w:val="0"/>
                  <w:marBottom w:val="0"/>
                  <w:divBdr>
                    <w:top w:val="none" w:sz="0" w:space="0" w:color="auto"/>
                    <w:left w:val="none" w:sz="0" w:space="0" w:color="auto"/>
                    <w:bottom w:val="none" w:sz="0" w:space="0" w:color="auto"/>
                    <w:right w:val="none" w:sz="0" w:space="0" w:color="auto"/>
                  </w:divBdr>
                  <w:divsChild>
                    <w:div w:id="395275305">
                      <w:marLeft w:val="75"/>
                      <w:marRight w:val="75"/>
                      <w:marTop w:val="45"/>
                      <w:marBottom w:val="45"/>
                      <w:divBdr>
                        <w:top w:val="none" w:sz="0" w:space="0" w:color="auto"/>
                        <w:left w:val="none" w:sz="0" w:space="0" w:color="auto"/>
                        <w:bottom w:val="none" w:sz="0" w:space="0" w:color="auto"/>
                        <w:right w:val="none" w:sz="0" w:space="0" w:color="auto"/>
                      </w:divBdr>
                      <w:divsChild>
                        <w:div w:id="406196579">
                          <w:marLeft w:val="0"/>
                          <w:marRight w:val="0"/>
                          <w:marTop w:val="0"/>
                          <w:marBottom w:val="0"/>
                          <w:divBdr>
                            <w:top w:val="none" w:sz="0" w:space="0" w:color="auto"/>
                            <w:left w:val="none" w:sz="0" w:space="0" w:color="auto"/>
                            <w:bottom w:val="none" w:sz="0" w:space="0" w:color="auto"/>
                            <w:right w:val="none" w:sz="0" w:space="0" w:color="auto"/>
                          </w:divBdr>
                          <w:divsChild>
                            <w:div w:id="1623146424">
                              <w:marLeft w:val="75"/>
                              <w:marRight w:val="75"/>
                              <w:marTop w:val="75"/>
                              <w:marBottom w:val="75"/>
                              <w:divBdr>
                                <w:top w:val="single" w:sz="6" w:space="4" w:color="DADADA"/>
                                <w:left w:val="single" w:sz="6" w:space="4" w:color="DADADA"/>
                                <w:bottom w:val="single" w:sz="6" w:space="4" w:color="DADADA"/>
                                <w:right w:val="single" w:sz="6" w:space="4" w:color="DADADA"/>
                              </w:divBdr>
                              <w:divsChild>
                                <w:div w:id="935141030">
                                  <w:marLeft w:val="0"/>
                                  <w:marRight w:val="0"/>
                                  <w:marTop w:val="0"/>
                                  <w:marBottom w:val="0"/>
                                  <w:divBdr>
                                    <w:top w:val="none" w:sz="0" w:space="0" w:color="auto"/>
                                    <w:left w:val="none" w:sz="0" w:space="0" w:color="auto"/>
                                    <w:bottom w:val="none" w:sz="0" w:space="0" w:color="auto"/>
                                    <w:right w:val="none" w:sz="0" w:space="0" w:color="auto"/>
                                  </w:divBdr>
                                  <w:divsChild>
                                    <w:div w:id="1558398041">
                                      <w:marLeft w:val="0"/>
                                      <w:marRight w:val="0"/>
                                      <w:marTop w:val="0"/>
                                      <w:marBottom w:val="0"/>
                                      <w:divBdr>
                                        <w:top w:val="none" w:sz="0" w:space="0" w:color="auto"/>
                                        <w:left w:val="none" w:sz="0" w:space="0" w:color="auto"/>
                                        <w:bottom w:val="none" w:sz="0" w:space="0" w:color="auto"/>
                                        <w:right w:val="none" w:sz="0" w:space="0" w:color="auto"/>
                                      </w:divBdr>
                                      <w:divsChild>
                                        <w:div w:id="497964440">
                                          <w:marLeft w:val="0"/>
                                          <w:marRight w:val="0"/>
                                          <w:marTop w:val="0"/>
                                          <w:marBottom w:val="0"/>
                                          <w:divBdr>
                                            <w:top w:val="none" w:sz="0" w:space="0" w:color="auto"/>
                                            <w:left w:val="none" w:sz="0" w:space="0" w:color="auto"/>
                                            <w:bottom w:val="none" w:sz="0" w:space="0" w:color="auto"/>
                                            <w:right w:val="none" w:sz="0" w:space="0" w:color="auto"/>
                                          </w:divBdr>
                                          <w:divsChild>
                                            <w:div w:id="1125660476">
                                              <w:marLeft w:val="0"/>
                                              <w:marRight w:val="0"/>
                                              <w:marTop w:val="0"/>
                                              <w:marBottom w:val="0"/>
                                              <w:divBdr>
                                                <w:top w:val="none" w:sz="0" w:space="0" w:color="auto"/>
                                                <w:left w:val="none" w:sz="0" w:space="0" w:color="auto"/>
                                                <w:bottom w:val="none" w:sz="0" w:space="0" w:color="auto"/>
                                                <w:right w:val="none" w:sz="0" w:space="0" w:color="auto"/>
                                              </w:divBdr>
                                              <w:divsChild>
                                                <w:div w:id="1018119358">
                                                  <w:marLeft w:val="0"/>
                                                  <w:marRight w:val="0"/>
                                                  <w:marTop w:val="0"/>
                                                  <w:marBottom w:val="0"/>
                                                  <w:divBdr>
                                                    <w:top w:val="none" w:sz="0" w:space="0" w:color="auto"/>
                                                    <w:left w:val="none" w:sz="0" w:space="0" w:color="auto"/>
                                                    <w:bottom w:val="none" w:sz="0" w:space="0" w:color="auto"/>
                                                    <w:right w:val="none" w:sz="0" w:space="0" w:color="auto"/>
                                                  </w:divBdr>
                                                  <w:divsChild>
                                                    <w:div w:id="874316868">
                                                      <w:marLeft w:val="0"/>
                                                      <w:marRight w:val="0"/>
                                                      <w:marTop w:val="0"/>
                                                      <w:marBottom w:val="0"/>
                                                      <w:divBdr>
                                                        <w:top w:val="none" w:sz="0" w:space="0" w:color="auto"/>
                                                        <w:left w:val="none" w:sz="0" w:space="0" w:color="auto"/>
                                                        <w:bottom w:val="none" w:sz="0" w:space="0" w:color="auto"/>
                                                        <w:right w:val="none" w:sz="0" w:space="0" w:color="auto"/>
                                                      </w:divBdr>
                                                      <w:divsChild>
                                                        <w:div w:id="1965648271">
                                                          <w:marLeft w:val="0"/>
                                                          <w:marRight w:val="0"/>
                                                          <w:marTop w:val="0"/>
                                                          <w:marBottom w:val="0"/>
                                                          <w:divBdr>
                                                            <w:top w:val="none" w:sz="0" w:space="0" w:color="auto"/>
                                                            <w:left w:val="none" w:sz="0" w:space="0" w:color="auto"/>
                                                            <w:bottom w:val="none" w:sz="0" w:space="0" w:color="auto"/>
                                                            <w:right w:val="none" w:sz="0" w:space="0" w:color="auto"/>
                                                          </w:divBdr>
                                                          <w:divsChild>
                                                            <w:div w:id="64844908">
                                                              <w:marLeft w:val="0"/>
                                                              <w:marRight w:val="0"/>
                                                              <w:marTop w:val="0"/>
                                                              <w:marBottom w:val="0"/>
                                                              <w:divBdr>
                                                                <w:top w:val="none" w:sz="0" w:space="0" w:color="auto"/>
                                                                <w:left w:val="none" w:sz="0" w:space="0" w:color="auto"/>
                                                                <w:bottom w:val="none" w:sz="0" w:space="0" w:color="auto"/>
                                                                <w:right w:val="none" w:sz="0" w:space="0" w:color="auto"/>
                                                              </w:divBdr>
                                                              <w:divsChild>
                                                                <w:div w:id="1582594370">
                                                                  <w:marLeft w:val="0"/>
                                                                  <w:marRight w:val="0"/>
                                                                  <w:marTop w:val="0"/>
                                                                  <w:marBottom w:val="0"/>
                                                                  <w:divBdr>
                                                                    <w:top w:val="none" w:sz="0" w:space="0" w:color="auto"/>
                                                                    <w:left w:val="none" w:sz="0" w:space="0" w:color="auto"/>
                                                                    <w:bottom w:val="none" w:sz="0" w:space="0" w:color="auto"/>
                                                                    <w:right w:val="none" w:sz="0" w:space="0" w:color="auto"/>
                                                                  </w:divBdr>
                                                                  <w:divsChild>
                                                                    <w:div w:id="188838565">
                                                                      <w:marLeft w:val="0"/>
                                                                      <w:marRight w:val="0"/>
                                                                      <w:marTop w:val="0"/>
                                                                      <w:marBottom w:val="0"/>
                                                                      <w:divBdr>
                                                                        <w:top w:val="none" w:sz="0" w:space="0" w:color="auto"/>
                                                                        <w:left w:val="none" w:sz="0" w:space="0" w:color="auto"/>
                                                                        <w:bottom w:val="none" w:sz="0" w:space="0" w:color="auto"/>
                                                                        <w:right w:val="none" w:sz="0" w:space="0" w:color="auto"/>
                                                                      </w:divBdr>
                                                                      <w:divsChild>
                                                                        <w:div w:id="21069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95984">
      <w:bodyDiv w:val="1"/>
      <w:marLeft w:val="0"/>
      <w:marRight w:val="0"/>
      <w:marTop w:val="0"/>
      <w:marBottom w:val="0"/>
      <w:divBdr>
        <w:top w:val="none" w:sz="0" w:space="0" w:color="auto"/>
        <w:left w:val="none" w:sz="0" w:space="0" w:color="auto"/>
        <w:bottom w:val="none" w:sz="0" w:space="0" w:color="auto"/>
        <w:right w:val="none" w:sz="0" w:space="0" w:color="auto"/>
      </w:divBdr>
      <w:divsChild>
        <w:div w:id="172653617">
          <w:marLeft w:val="0"/>
          <w:marRight w:val="0"/>
          <w:marTop w:val="0"/>
          <w:marBottom w:val="0"/>
          <w:divBdr>
            <w:top w:val="none" w:sz="0" w:space="0" w:color="auto"/>
            <w:left w:val="none" w:sz="0" w:space="0" w:color="auto"/>
            <w:bottom w:val="none" w:sz="0" w:space="0" w:color="auto"/>
            <w:right w:val="none" w:sz="0" w:space="0" w:color="auto"/>
          </w:divBdr>
          <w:divsChild>
            <w:div w:id="1324744991">
              <w:marLeft w:val="0"/>
              <w:marRight w:val="0"/>
              <w:marTop w:val="0"/>
              <w:marBottom w:val="0"/>
              <w:divBdr>
                <w:top w:val="none" w:sz="0" w:space="0" w:color="auto"/>
                <w:left w:val="none" w:sz="0" w:space="0" w:color="auto"/>
                <w:bottom w:val="none" w:sz="0" w:space="0" w:color="auto"/>
                <w:right w:val="none" w:sz="0" w:space="0" w:color="auto"/>
              </w:divBdr>
              <w:divsChild>
                <w:div w:id="1016998346">
                  <w:marLeft w:val="0"/>
                  <w:marRight w:val="0"/>
                  <w:marTop w:val="0"/>
                  <w:marBottom w:val="0"/>
                  <w:divBdr>
                    <w:top w:val="none" w:sz="0" w:space="0" w:color="auto"/>
                    <w:left w:val="none" w:sz="0" w:space="0" w:color="auto"/>
                    <w:bottom w:val="none" w:sz="0" w:space="0" w:color="auto"/>
                    <w:right w:val="none" w:sz="0" w:space="0" w:color="auto"/>
                  </w:divBdr>
                  <w:divsChild>
                    <w:div w:id="804809070">
                      <w:marLeft w:val="75"/>
                      <w:marRight w:val="75"/>
                      <w:marTop w:val="45"/>
                      <w:marBottom w:val="45"/>
                      <w:divBdr>
                        <w:top w:val="none" w:sz="0" w:space="0" w:color="auto"/>
                        <w:left w:val="none" w:sz="0" w:space="0" w:color="auto"/>
                        <w:bottom w:val="none" w:sz="0" w:space="0" w:color="auto"/>
                        <w:right w:val="none" w:sz="0" w:space="0" w:color="auto"/>
                      </w:divBdr>
                      <w:divsChild>
                        <w:div w:id="1932161056">
                          <w:marLeft w:val="0"/>
                          <w:marRight w:val="0"/>
                          <w:marTop w:val="0"/>
                          <w:marBottom w:val="0"/>
                          <w:divBdr>
                            <w:top w:val="none" w:sz="0" w:space="0" w:color="auto"/>
                            <w:left w:val="none" w:sz="0" w:space="0" w:color="auto"/>
                            <w:bottom w:val="none" w:sz="0" w:space="0" w:color="auto"/>
                            <w:right w:val="none" w:sz="0" w:space="0" w:color="auto"/>
                          </w:divBdr>
                          <w:divsChild>
                            <w:div w:id="1758212626">
                              <w:marLeft w:val="75"/>
                              <w:marRight w:val="75"/>
                              <w:marTop w:val="75"/>
                              <w:marBottom w:val="75"/>
                              <w:divBdr>
                                <w:top w:val="single" w:sz="6" w:space="4" w:color="DADADA"/>
                                <w:left w:val="single" w:sz="6" w:space="4" w:color="DADADA"/>
                                <w:bottom w:val="single" w:sz="6" w:space="4" w:color="DADADA"/>
                                <w:right w:val="single" w:sz="6" w:space="4" w:color="DADADA"/>
                              </w:divBdr>
                              <w:divsChild>
                                <w:div w:id="1614365123">
                                  <w:marLeft w:val="0"/>
                                  <w:marRight w:val="0"/>
                                  <w:marTop w:val="0"/>
                                  <w:marBottom w:val="0"/>
                                  <w:divBdr>
                                    <w:top w:val="none" w:sz="0" w:space="0" w:color="auto"/>
                                    <w:left w:val="none" w:sz="0" w:space="0" w:color="auto"/>
                                    <w:bottom w:val="none" w:sz="0" w:space="0" w:color="auto"/>
                                    <w:right w:val="none" w:sz="0" w:space="0" w:color="auto"/>
                                  </w:divBdr>
                                  <w:divsChild>
                                    <w:div w:id="194851949">
                                      <w:marLeft w:val="0"/>
                                      <w:marRight w:val="0"/>
                                      <w:marTop w:val="0"/>
                                      <w:marBottom w:val="0"/>
                                      <w:divBdr>
                                        <w:top w:val="none" w:sz="0" w:space="0" w:color="auto"/>
                                        <w:left w:val="none" w:sz="0" w:space="0" w:color="auto"/>
                                        <w:bottom w:val="none" w:sz="0" w:space="0" w:color="auto"/>
                                        <w:right w:val="none" w:sz="0" w:space="0" w:color="auto"/>
                                      </w:divBdr>
                                      <w:divsChild>
                                        <w:div w:id="1654598933">
                                          <w:marLeft w:val="0"/>
                                          <w:marRight w:val="0"/>
                                          <w:marTop w:val="0"/>
                                          <w:marBottom w:val="0"/>
                                          <w:divBdr>
                                            <w:top w:val="none" w:sz="0" w:space="0" w:color="auto"/>
                                            <w:left w:val="none" w:sz="0" w:space="0" w:color="auto"/>
                                            <w:bottom w:val="none" w:sz="0" w:space="0" w:color="auto"/>
                                            <w:right w:val="none" w:sz="0" w:space="0" w:color="auto"/>
                                          </w:divBdr>
                                          <w:divsChild>
                                            <w:div w:id="1969358494">
                                              <w:marLeft w:val="0"/>
                                              <w:marRight w:val="0"/>
                                              <w:marTop w:val="0"/>
                                              <w:marBottom w:val="0"/>
                                              <w:divBdr>
                                                <w:top w:val="none" w:sz="0" w:space="0" w:color="auto"/>
                                                <w:left w:val="none" w:sz="0" w:space="0" w:color="auto"/>
                                                <w:bottom w:val="none" w:sz="0" w:space="0" w:color="auto"/>
                                                <w:right w:val="none" w:sz="0" w:space="0" w:color="auto"/>
                                              </w:divBdr>
                                              <w:divsChild>
                                                <w:div w:id="1068958149">
                                                  <w:marLeft w:val="0"/>
                                                  <w:marRight w:val="0"/>
                                                  <w:marTop w:val="0"/>
                                                  <w:marBottom w:val="0"/>
                                                  <w:divBdr>
                                                    <w:top w:val="none" w:sz="0" w:space="0" w:color="auto"/>
                                                    <w:left w:val="none" w:sz="0" w:space="0" w:color="auto"/>
                                                    <w:bottom w:val="none" w:sz="0" w:space="0" w:color="auto"/>
                                                    <w:right w:val="none" w:sz="0" w:space="0" w:color="auto"/>
                                                  </w:divBdr>
                                                  <w:divsChild>
                                                    <w:div w:id="836725495">
                                                      <w:marLeft w:val="0"/>
                                                      <w:marRight w:val="0"/>
                                                      <w:marTop w:val="0"/>
                                                      <w:marBottom w:val="0"/>
                                                      <w:divBdr>
                                                        <w:top w:val="none" w:sz="0" w:space="0" w:color="auto"/>
                                                        <w:left w:val="none" w:sz="0" w:space="0" w:color="auto"/>
                                                        <w:bottom w:val="none" w:sz="0" w:space="0" w:color="auto"/>
                                                        <w:right w:val="none" w:sz="0" w:space="0" w:color="auto"/>
                                                      </w:divBdr>
                                                      <w:divsChild>
                                                        <w:div w:id="799688263">
                                                          <w:marLeft w:val="0"/>
                                                          <w:marRight w:val="0"/>
                                                          <w:marTop w:val="0"/>
                                                          <w:marBottom w:val="0"/>
                                                          <w:divBdr>
                                                            <w:top w:val="none" w:sz="0" w:space="0" w:color="auto"/>
                                                            <w:left w:val="none" w:sz="0" w:space="0" w:color="auto"/>
                                                            <w:bottom w:val="none" w:sz="0" w:space="0" w:color="auto"/>
                                                            <w:right w:val="none" w:sz="0" w:space="0" w:color="auto"/>
                                                          </w:divBdr>
                                                          <w:divsChild>
                                                            <w:div w:id="945163573">
                                                              <w:marLeft w:val="0"/>
                                                              <w:marRight w:val="0"/>
                                                              <w:marTop w:val="0"/>
                                                              <w:marBottom w:val="0"/>
                                                              <w:divBdr>
                                                                <w:top w:val="none" w:sz="0" w:space="0" w:color="auto"/>
                                                                <w:left w:val="none" w:sz="0" w:space="0" w:color="auto"/>
                                                                <w:bottom w:val="none" w:sz="0" w:space="0" w:color="auto"/>
                                                                <w:right w:val="none" w:sz="0" w:space="0" w:color="auto"/>
                                                              </w:divBdr>
                                                              <w:divsChild>
                                                                <w:div w:id="1348409737">
                                                                  <w:marLeft w:val="0"/>
                                                                  <w:marRight w:val="0"/>
                                                                  <w:marTop w:val="0"/>
                                                                  <w:marBottom w:val="0"/>
                                                                  <w:divBdr>
                                                                    <w:top w:val="none" w:sz="0" w:space="0" w:color="auto"/>
                                                                    <w:left w:val="none" w:sz="0" w:space="0" w:color="auto"/>
                                                                    <w:bottom w:val="none" w:sz="0" w:space="0" w:color="auto"/>
                                                                    <w:right w:val="none" w:sz="0" w:space="0" w:color="auto"/>
                                                                  </w:divBdr>
                                                                  <w:divsChild>
                                                                    <w:div w:id="406879456">
                                                                      <w:marLeft w:val="0"/>
                                                                      <w:marRight w:val="0"/>
                                                                      <w:marTop w:val="0"/>
                                                                      <w:marBottom w:val="0"/>
                                                                      <w:divBdr>
                                                                        <w:top w:val="none" w:sz="0" w:space="0" w:color="auto"/>
                                                                        <w:left w:val="none" w:sz="0" w:space="0" w:color="auto"/>
                                                                        <w:bottom w:val="none" w:sz="0" w:space="0" w:color="auto"/>
                                                                        <w:right w:val="none" w:sz="0" w:space="0" w:color="auto"/>
                                                                      </w:divBdr>
                                                                      <w:divsChild>
                                                                        <w:div w:id="1325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microsoft.com/office/2016/09/relationships/commentsIds" Target="commentsIds.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oleObject" Target="file:///\\vrtfsca02\performance$\Charlie%20Elia\Monthly%20Performance%20report\July\Graphs%20for%20reportJuly.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3.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vrtfsca02\performance$\Charlie%20Elia\Monthly%20Performance%20report\July\Graphs%20for%20reportJuly.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Incident Numbers</a:t>
            </a:r>
          </a:p>
        </c:rich>
      </c:tx>
      <c:layout/>
      <c:overlay val="0"/>
      <c:spPr>
        <a:noFill/>
        <a:ln>
          <a:noFill/>
        </a:ln>
        <a:effectLst/>
      </c:spPr>
    </c:title>
    <c:autoTitleDeleted val="0"/>
    <c:plotArea>
      <c:layout/>
      <c:barChart>
        <c:barDir val="col"/>
        <c:grouping val="clustered"/>
        <c:varyColors val="0"/>
        <c:ser>
          <c:idx val="0"/>
          <c:order val="0"/>
          <c:tx>
            <c:strRef>
              <c:f>'Incident Numbers'!$D$4</c:f>
              <c:strCache>
                <c:ptCount val="1"/>
                <c:pt idx="0">
                  <c:v>Incidents</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C665-485F-B4FF-F51B2E413A04}"/>
                </c:ext>
              </c:extLst>
            </c:dLbl>
            <c:dLbl>
              <c:idx val="1"/>
              <c:delete val="1"/>
              <c:extLst>
                <c:ext xmlns:c15="http://schemas.microsoft.com/office/drawing/2012/chart" uri="{CE6537A1-D6FC-4f65-9D91-7224C49458BB}"/>
                <c:ext xmlns:c16="http://schemas.microsoft.com/office/drawing/2014/chart" uri="{C3380CC4-5D6E-409C-BE32-E72D297353CC}">
                  <c16:uniqueId val="{00000001-C665-485F-B4FF-F51B2E413A04}"/>
                </c:ext>
              </c:extLst>
            </c:dLbl>
            <c:dLbl>
              <c:idx val="2"/>
              <c:delete val="1"/>
              <c:extLst>
                <c:ext xmlns:c15="http://schemas.microsoft.com/office/drawing/2012/chart" uri="{CE6537A1-D6FC-4f65-9D91-7224C49458BB}"/>
                <c:ext xmlns:c16="http://schemas.microsoft.com/office/drawing/2014/chart" uri="{C3380CC4-5D6E-409C-BE32-E72D297353CC}">
                  <c16:uniqueId val="{00000002-C665-485F-B4FF-F51B2E413A04}"/>
                </c:ext>
              </c:extLst>
            </c:dLbl>
            <c:dLbl>
              <c:idx val="3"/>
              <c:delete val="1"/>
              <c:extLst>
                <c:ext xmlns:c15="http://schemas.microsoft.com/office/drawing/2012/chart" uri="{CE6537A1-D6FC-4f65-9D91-7224C49458BB}"/>
                <c:ext xmlns:c16="http://schemas.microsoft.com/office/drawing/2014/chart" uri="{C3380CC4-5D6E-409C-BE32-E72D297353CC}">
                  <c16:uniqueId val="{00000003-C665-485F-B4FF-F51B2E413A04}"/>
                </c:ext>
              </c:extLst>
            </c:dLbl>
            <c:dLbl>
              <c:idx val="4"/>
              <c:delete val="1"/>
              <c:extLst>
                <c:ext xmlns:c15="http://schemas.microsoft.com/office/drawing/2012/chart" uri="{CE6537A1-D6FC-4f65-9D91-7224C49458BB}"/>
                <c:ext xmlns:c16="http://schemas.microsoft.com/office/drawing/2014/chart" uri="{C3380CC4-5D6E-409C-BE32-E72D297353CC}">
                  <c16:uniqueId val="{00000004-C665-485F-B4FF-F51B2E413A04}"/>
                </c:ext>
              </c:extLst>
            </c:dLbl>
            <c:dLbl>
              <c:idx val="5"/>
              <c:delete val="1"/>
              <c:extLst>
                <c:ext xmlns:c15="http://schemas.microsoft.com/office/drawing/2012/chart" uri="{CE6537A1-D6FC-4f65-9D91-7224C49458BB}"/>
                <c:ext xmlns:c16="http://schemas.microsoft.com/office/drawing/2014/chart" uri="{C3380CC4-5D6E-409C-BE32-E72D297353CC}">
                  <c16:uniqueId val="{00000005-C665-485F-B4FF-F51B2E413A04}"/>
                </c:ext>
              </c:extLst>
            </c:dLbl>
            <c:dLbl>
              <c:idx val="6"/>
              <c:delete val="1"/>
              <c:extLst>
                <c:ext xmlns:c15="http://schemas.microsoft.com/office/drawing/2012/chart" uri="{CE6537A1-D6FC-4f65-9D91-7224C49458BB}"/>
                <c:ext xmlns:c16="http://schemas.microsoft.com/office/drawing/2014/chart" uri="{C3380CC4-5D6E-409C-BE32-E72D297353CC}">
                  <c16:uniqueId val="{00000006-C665-485F-B4FF-F51B2E413A04}"/>
                </c:ext>
              </c:extLst>
            </c:dLbl>
            <c:dLbl>
              <c:idx val="7"/>
              <c:delete val="1"/>
              <c:extLst>
                <c:ext xmlns:c15="http://schemas.microsoft.com/office/drawing/2012/chart" uri="{CE6537A1-D6FC-4f65-9D91-7224C49458BB}"/>
                <c:ext xmlns:c16="http://schemas.microsoft.com/office/drawing/2014/chart" uri="{C3380CC4-5D6E-409C-BE32-E72D297353CC}">
                  <c16:uniqueId val="{00000007-C665-485F-B4FF-F51B2E413A04}"/>
                </c:ext>
              </c:extLst>
            </c:dLbl>
            <c:dLbl>
              <c:idx val="8"/>
              <c:delete val="1"/>
              <c:extLst>
                <c:ext xmlns:c15="http://schemas.microsoft.com/office/drawing/2012/chart" uri="{CE6537A1-D6FC-4f65-9D91-7224C49458BB}"/>
                <c:ext xmlns:c16="http://schemas.microsoft.com/office/drawing/2014/chart" uri="{C3380CC4-5D6E-409C-BE32-E72D297353CC}">
                  <c16:uniqueId val="{00000008-C665-485F-B4FF-F51B2E413A04}"/>
                </c:ext>
              </c:extLst>
            </c:dLbl>
            <c:dLbl>
              <c:idx val="9"/>
              <c:delete val="1"/>
              <c:extLst>
                <c:ext xmlns:c15="http://schemas.microsoft.com/office/drawing/2012/chart" uri="{CE6537A1-D6FC-4f65-9D91-7224C49458BB}"/>
                <c:ext xmlns:c16="http://schemas.microsoft.com/office/drawing/2014/chart" uri="{C3380CC4-5D6E-409C-BE32-E72D297353CC}">
                  <c16:uniqueId val="{00000009-C665-485F-B4FF-F51B2E413A04}"/>
                </c:ext>
              </c:extLst>
            </c:dLbl>
            <c:dLbl>
              <c:idx val="10"/>
              <c:delete val="1"/>
              <c:extLst>
                <c:ext xmlns:c15="http://schemas.microsoft.com/office/drawing/2012/chart" uri="{CE6537A1-D6FC-4f65-9D91-7224C49458BB}"/>
                <c:ext xmlns:c16="http://schemas.microsoft.com/office/drawing/2014/chart" uri="{C3380CC4-5D6E-409C-BE32-E72D297353CC}">
                  <c16:uniqueId val="{0000000A-C665-485F-B4FF-F51B2E413A04}"/>
                </c:ext>
              </c:extLst>
            </c:dLbl>
            <c:dLbl>
              <c:idx val="11"/>
              <c:delete val="1"/>
              <c:extLst>
                <c:ext xmlns:c15="http://schemas.microsoft.com/office/drawing/2012/chart" uri="{CE6537A1-D6FC-4f65-9D91-7224C49458BB}"/>
                <c:ext xmlns:c16="http://schemas.microsoft.com/office/drawing/2014/chart" uri="{C3380CC4-5D6E-409C-BE32-E72D297353CC}">
                  <c16:uniqueId val="{0000000B-C665-485F-B4FF-F51B2E413A04}"/>
                </c:ext>
              </c:extLst>
            </c:dLbl>
            <c:dLbl>
              <c:idx val="12"/>
              <c:delete val="1"/>
              <c:extLst>
                <c:ext xmlns:c15="http://schemas.microsoft.com/office/drawing/2012/chart" uri="{CE6537A1-D6FC-4f65-9D91-7224C49458BB}"/>
                <c:ext xmlns:c16="http://schemas.microsoft.com/office/drawing/2014/chart" uri="{C3380CC4-5D6E-409C-BE32-E72D297353CC}">
                  <c16:uniqueId val="{0000000C-C665-485F-B4FF-F51B2E413A04}"/>
                </c:ext>
              </c:extLst>
            </c:dLbl>
            <c:dLbl>
              <c:idx val="13"/>
              <c:delete val="1"/>
              <c:extLst>
                <c:ext xmlns:c15="http://schemas.microsoft.com/office/drawing/2012/chart" uri="{CE6537A1-D6FC-4f65-9D91-7224C49458BB}"/>
                <c:ext xmlns:c16="http://schemas.microsoft.com/office/drawing/2014/chart" uri="{C3380CC4-5D6E-409C-BE32-E72D297353CC}">
                  <c16:uniqueId val="{0000000D-C665-485F-B4FF-F51B2E413A04}"/>
                </c:ext>
              </c:extLst>
            </c:dLbl>
            <c:dLbl>
              <c:idx val="14"/>
              <c:delete val="1"/>
              <c:extLst>
                <c:ext xmlns:c15="http://schemas.microsoft.com/office/drawing/2012/chart" uri="{CE6537A1-D6FC-4f65-9D91-7224C49458BB}"/>
                <c:ext xmlns:c16="http://schemas.microsoft.com/office/drawing/2014/chart" uri="{C3380CC4-5D6E-409C-BE32-E72D297353CC}">
                  <c16:uniqueId val="{0000000E-C665-485F-B4FF-F51B2E413A04}"/>
                </c:ext>
              </c:extLst>
            </c:dLbl>
            <c:dLbl>
              <c:idx val="15"/>
              <c:delete val="1"/>
              <c:extLst>
                <c:ext xmlns:c15="http://schemas.microsoft.com/office/drawing/2012/chart" uri="{CE6537A1-D6FC-4f65-9D91-7224C49458BB}"/>
                <c:ext xmlns:c16="http://schemas.microsoft.com/office/drawing/2014/chart" uri="{C3380CC4-5D6E-409C-BE32-E72D297353CC}">
                  <c16:uniqueId val="{0000000F-C665-485F-B4FF-F51B2E413A04}"/>
                </c:ext>
              </c:extLst>
            </c:dLbl>
            <c:dLbl>
              <c:idx val="16"/>
              <c:delete val="1"/>
              <c:extLst>
                <c:ext xmlns:c15="http://schemas.microsoft.com/office/drawing/2012/chart" uri="{CE6537A1-D6FC-4f65-9D91-7224C49458BB}"/>
                <c:ext xmlns:c16="http://schemas.microsoft.com/office/drawing/2014/chart" uri="{C3380CC4-5D6E-409C-BE32-E72D297353CC}">
                  <c16:uniqueId val="{00000010-C665-485F-B4FF-F51B2E413A04}"/>
                </c:ext>
              </c:extLst>
            </c:dLbl>
            <c:dLbl>
              <c:idx val="17"/>
              <c:delete val="1"/>
              <c:extLst>
                <c:ext xmlns:c15="http://schemas.microsoft.com/office/drawing/2012/chart" uri="{CE6537A1-D6FC-4f65-9D91-7224C49458BB}"/>
                <c:ext xmlns:c16="http://schemas.microsoft.com/office/drawing/2014/chart" uri="{C3380CC4-5D6E-409C-BE32-E72D297353CC}">
                  <c16:uniqueId val="{00000011-C665-485F-B4FF-F51B2E413A04}"/>
                </c:ext>
              </c:extLst>
            </c:dLbl>
            <c:dLbl>
              <c:idx val="18"/>
              <c:delete val="1"/>
              <c:extLst>
                <c:ext xmlns:c15="http://schemas.microsoft.com/office/drawing/2012/chart" uri="{CE6537A1-D6FC-4f65-9D91-7224C49458BB}"/>
                <c:ext xmlns:c16="http://schemas.microsoft.com/office/drawing/2014/chart" uri="{C3380CC4-5D6E-409C-BE32-E72D297353CC}">
                  <c16:uniqueId val="{00000012-C665-485F-B4FF-F51B2E413A04}"/>
                </c:ext>
              </c:extLst>
            </c:dLbl>
            <c:dLbl>
              <c:idx val="19"/>
              <c:delete val="1"/>
              <c:extLst>
                <c:ext xmlns:c15="http://schemas.microsoft.com/office/drawing/2012/chart" uri="{CE6537A1-D6FC-4f65-9D91-7224C49458BB}"/>
                <c:ext xmlns:c16="http://schemas.microsoft.com/office/drawing/2014/chart" uri="{C3380CC4-5D6E-409C-BE32-E72D297353CC}">
                  <c16:uniqueId val="{00000013-C665-485F-B4FF-F51B2E413A04}"/>
                </c:ext>
              </c:extLst>
            </c:dLbl>
            <c:dLbl>
              <c:idx val="20"/>
              <c:delete val="1"/>
              <c:extLst>
                <c:ext xmlns:c15="http://schemas.microsoft.com/office/drawing/2012/chart" uri="{CE6537A1-D6FC-4f65-9D91-7224C49458BB}"/>
                <c:ext xmlns:c16="http://schemas.microsoft.com/office/drawing/2014/chart" uri="{C3380CC4-5D6E-409C-BE32-E72D297353CC}">
                  <c16:uniqueId val="{00000014-C665-485F-B4FF-F51B2E413A04}"/>
                </c:ext>
              </c:extLst>
            </c:dLbl>
            <c:dLbl>
              <c:idx val="21"/>
              <c:delete val="1"/>
              <c:extLst>
                <c:ext xmlns:c15="http://schemas.microsoft.com/office/drawing/2012/chart" uri="{CE6537A1-D6FC-4f65-9D91-7224C49458BB}"/>
                <c:ext xmlns:c16="http://schemas.microsoft.com/office/drawing/2014/chart" uri="{C3380CC4-5D6E-409C-BE32-E72D297353CC}">
                  <c16:uniqueId val="{00000015-C665-485F-B4FF-F51B2E413A04}"/>
                </c:ext>
              </c:extLst>
            </c:dLbl>
            <c:dLbl>
              <c:idx val="22"/>
              <c:delete val="1"/>
              <c:extLst>
                <c:ext xmlns:c15="http://schemas.microsoft.com/office/drawing/2012/chart" uri="{CE6537A1-D6FC-4f65-9D91-7224C49458BB}"/>
                <c:ext xmlns:c16="http://schemas.microsoft.com/office/drawing/2014/chart" uri="{C3380CC4-5D6E-409C-BE32-E72D297353CC}">
                  <c16:uniqueId val="{00000016-C665-485F-B4FF-F51B2E413A04}"/>
                </c:ext>
              </c:extLst>
            </c:dLbl>
            <c:dLbl>
              <c:idx val="23"/>
              <c:delete val="1"/>
              <c:extLst>
                <c:ext xmlns:c15="http://schemas.microsoft.com/office/drawing/2012/chart" uri="{CE6537A1-D6FC-4f65-9D91-7224C49458BB}"/>
                <c:ext xmlns:c16="http://schemas.microsoft.com/office/drawing/2014/chart" uri="{C3380CC4-5D6E-409C-BE32-E72D297353CC}">
                  <c16:uniqueId val="{00000017-C665-485F-B4FF-F51B2E413A04}"/>
                </c:ext>
              </c:extLst>
            </c:dLbl>
            <c:dLbl>
              <c:idx val="24"/>
              <c:delete val="1"/>
              <c:extLst>
                <c:ext xmlns:c15="http://schemas.microsoft.com/office/drawing/2012/chart" uri="{CE6537A1-D6FC-4f65-9D91-7224C49458BB}"/>
                <c:ext xmlns:c16="http://schemas.microsoft.com/office/drawing/2014/chart" uri="{C3380CC4-5D6E-409C-BE32-E72D297353CC}">
                  <c16:uniqueId val="{00000018-C665-485F-B4FF-F51B2E413A04}"/>
                </c:ext>
              </c:extLst>
            </c:dLbl>
            <c:dLbl>
              <c:idx val="25"/>
              <c:delete val="1"/>
              <c:extLst>
                <c:ext xmlns:c15="http://schemas.microsoft.com/office/drawing/2012/chart" uri="{CE6537A1-D6FC-4f65-9D91-7224C49458BB}"/>
                <c:ext xmlns:c16="http://schemas.microsoft.com/office/drawing/2014/chart" uri="{C3380CC4-5D6E-409C-BE32-E72D297353CC}">
                  <c16:uniqueId val="{00000019-C665-485F-B4FF-F51B2E413A04}"/>
                </c:ext>
              </c:extLst>
            </c:dLbl>
            <c:dLbl>
              <c:idx val="26"/>
              <c:delete val="1"/>
              <c:extLst>
                <c:ext xmlns:c15="http://schemas.microsoft.com/office/drawing/2012/chart" uri="{CE6537A1-D6FC-4f65-9D91-7224C49458BB}"/>
                <c:ext xmlns:c16="http://schemas.microsoft.com/office/drawing/2014/chart" uri="{C3380CC4-5D6E-409C-BE32-E72D297353CC}">
                  <c16:uniqueId val="{0000001A-C665-485F-B4FF-F51B2E413A04}"/>
                </c:ext>
              </c:extLst>
            </c:dLbl>
            <c:dLbl>
              <c:idx val="27"/>
              <c:delete val="1"/>
              <c:extLst>
                <c:ext xmlns:c15="http://schemas.microsoft.com/office/drawing/2012/chart" uri="{CE6537A1-D6FC-4f65-9D91-7224C49458BB}"/>
                <c:ext xmlns:c16="http://schemas.microsoft.com/office/drawing/2014/chart" uri="{C3380CC4-5D6E-409C-BE32-E72D297353CC}">
                  <c16:uniqueId val="{0000001B-C665-485F-B4FF-F51B2E413A04}"/>
                </c:ext>
              </c:extLst>
            </c:dLbl>
            <c:dLbl>
              <c:idx val="28"/>
              <c:delete val="1"/>
              <c:extLst>
                <c:ext xmlns:c15="http://schemas.microsoft.com/office/drawing/2012/chart" uri="{CE6537A1-D6FC-4f65-9D91-7224C49458BB}"/>
                <c:ext xmlns:c16="http://schemas.microsoft.com/office/drawing/2014/chart" uri="{C3380CC4-5D6E-409C-BE32-E72D297353CC}">
                  <c16:uniqueId val="{0000001C-C665-485F-B4FF-F51B2E413A04}"/>
                </c:ext>
              </c:extLst>
            </c:dLbl>
            <c:dLbl>
              <c:idx val="29"/>
              <c:delete val="1"/>
              <c:extLst>
                <c:ext xmlns:c15="http://schemas.microsoft.com/office/drawing/2012/chart" uri="{CE6537A1-D6FC-4f65-9D91-7224C49458BB}"/>
                <c:ext xmlns:c16="http://schemas.microsoft.com/office/drawing/2014/chart" uri="{C3380CC4-5D6E-409C-BE32-E72D297353CC}">
                  <c16:uniqueId val="{0000001D-C665-485F-B4FF-F51B2E413A04}"/>
                </c:ext>
              </c:extLst>
            </c:dLbl>
            <c:dLbl>
              <c:idx val="30"/>
              <c:delete val="1"/>
              <c:extLst>
                <c:ext xmlns:c15="http://schemas.microsoft.com/office/drawing/2012/chart" uri="{CE6537A1-D6FC-4f65-9D91-7224C49458BB}"/>
                <c:ext xmlns:c16="http://schemas.microsoft.com/office/drawing/2014/chart" uri="{C3380CC4-5D6E-409C-BE32-E72D297353CC}">
                  <c16:uniqueId val="{0000001E-C665-485F-B4FF-F51B2E413A04}"/>
                </c:ext>
              </c:extLst>
            </c:dLbl>
            <c:dLbl>
              <c:idx val="31"/>
              <c:delete val="1"/>
              <c:extLst>
                <c:ext xmlns:c15="http://schemas.microsoft.com/office/drawing/2012/chart" uri="{CE6537A1-D6FC-4f65-9D91-7224C49458BB}"/>
                <c:ext xmlns:c16="http://schemas.microsoft.com/office/drawing/2014/chart" uri="{C3380CC4-5D6E-409C-BE32-E72D297353CC}">
                  <c16:uniqueId val="{0000001F-C665-485F-B4FF-F51B2E413A04}"/>
                </c:ext>
              </c:extLst>
            </c:dLbl>
            <c:dLbl>
              <c:idx val="32"/>
              <c:layout>
                <c:manualLayout>
                  <c:x val="3.5273368606700646E-3"/>
                  <c:y val="0.108527131782945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C665-485F-B4FF-F51B2E413A04}"/>
                </c:ext>
              </c:extLst>
            </c:dLbl>
            <c:dLbl>
              <c:idx val="33"/>
              <c:layout>
                <c:manualLayout>
                  <c:x val="2.8612303290413829E-3"/>
                  <c:y val="8.988764044943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C665-485F-B4FF-F51B2E413A04}"/>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Ref>
              <c:f>'Incident Numbers'!$C$12:$C$47</c:f>
              <c:numCache>
                <c:formatCode>mmm\-yy</c:formatCode>
                <c:ptCount val="36"/>
                <c:pt idx="0">
                  <c:v>42217</c:v>
                </c:pt>
                <c:pt idx="1">
                  <c:v>42248</c:v>
                </c:pt>
                <c:pt idx="2">
                  <c:v>42278</c:v>
                </c:pt>
                <c:pt idx="3">
                  <c:v>42309</c:v>
                </c:pt>
                <c:pt idx="4">
                  <c:v>42339</c:v>
                </c:pt>
                <c:pt idx="5">
                  <c:v>42370</c:v>
                </c:pt>
                <c:pt idx="6">
                  <c:v>42401</c:v>
                </c:pt>
                <c:pt idx="7">
                  <c:v>42430</c:v>
                </c:pt>
                <c:pt idx="8">
                  <c:v>42461</c:v>
                </c:pt>
                <c:pt idx="9">
                  <c:v>42491</c:v>
                </c:pt>
                <c:pt idx="10">
                  <c:v>42522</c:v>
                </c:pt>
                <c:pt idx="11">
                  <c:v>42552</c:v>
                </c:pt>
                <c:pt idx="12">
                  <c:v>42583</c:v>
                </c:pt>
                <c:pt idx="13">
                  <c:v>42614</c:v>
                </c:pt>
                <c:pt idx="14">
                  <c:v>42644</c:v>
                </c:pt>
                <c:pt idx="15">
                  <c:v>42675</c:v>
                </c:pt>
                <c:pt idx="16">
                  <c:v>42705</c:v>
                </c:pt>
                <c:pt idx="17">
                  <c:v>42736</c:v>
                </c:pt>
                <c:pt idx="18">
                  <c:v>42767</c:v>
                </c:pt>
                <c:pt idx="19">
                  <c:v>42795</c:v>
                </c:pt>
                <c:pt idx="20">
                  <c:v>42826</c:v>
                </c:pt>
                <c:pt idx="21">
                  <c:v>42856</c:v>
                </c:pt>
                <c:pt idx="22">
                  <c:v>42887</c:v>
                </c:pt>
                <c:pt idx="23">
                  <c:v>42917</c:v>
                </c:pt>
                <c:pt idx="24">
                  <c:v>42948</c:v>
                </c:pt>
                <c:pt idx="25">
                  <c:v>42979</c:v>
                </c:pt>
                <c:pt idx="26">
                  <c:v>43009</c:v>
                </c:pt>
                <c:pt idx="27">
                  <c:v>43040</c:v>
                </c:pt>
                <c:pt idx="28">
                  <c:v>43070</c:v>
                </c:pt>
                <c:pt idx="29">
                  <c:v>43101</c:v>
                </c:pt>
                <c:pt idx="30">
                  <c:v>43132</c:v>
                </c:pt>
                <c:pt idx="31">
                  <c:v>43160</c:v>
                </c:pt>
                <c:pt idx="32">
                  <c:v>43191</c:v>
                </c:pt>
                <c:pt idx="33">
                  <c:v>43221</c:v>
                </c:pt>
                <c:pt idx="34">
                  <c:v>43252</c:v>
                </c:pt>
                <c:pt idx="35">
                  <c:v>43282</c:v>
                </c:pt>
              </c:numCache>
            </c:numRef>
          </c:cat>
          <c:val>
            <c:numRef>
              <c:f>'Incident Numbers'!$D$12:$D$47</c:f>
              <c:numCache>
                <c:formatCode>General</c:formatCode>
                <c:ptCount val="36"/>
                <c:pt idx="0">
                  <c:v>1380</c:v>
                </c:pt>
                <c:pt idx="1">
                  <c:v>1122</c:v>
                </c:pt>
                <c:pt idx="2">
                  <c:v>1218</c:v>
                </c:pt>
                <c:pt idx="3">
                  <c:v>1110</c:v>
                </c:pt>
                <c:pt idx="4">
                  <c:v>1053</c:v>
                </c:pt>
                <c:pt idx="5">
                  <c:v>1053</c:v>
                </c:pt>
                <c:pt idx="6">
                  <c:v>1009</c:v>
                </c:pt>
                <c:pt idx="7">
                  <c:v>1219</c:v>
                </c:pt>
                <c:pt idx="8">
                  <c:v>1095</c:v>
                </c:pt>
                <c:pt idx="9">
                  <c:v>1305</c:v>
                </c:pt>
                <c:pt idx="10">
                  <c:v>1289</c:v>
                </c:pt>
                <c:pt idx="11">
                  <c:v>1450</c:v>
                </c:pt>
                <c:pt idx="12">
                  <c:v>1753</c:v>
                </c:pt>
                <c:pt idx="13">
                  <c:v>1570</c:v>
                </c:pt>
                <c:pt idx="14">
                  <c:v>1384</c:v>
                </c:pt>
                <c:pt idx="15">
                  <c:v>1257</c:v>
                </c:pt>
                <c:pt idx="16">
                  <c:v>1175</c:v>
                </c:pt>
                <c:pt idx="17">
                  <c:v>1103</c:v>
                </c:pt>
                <c:pt idx="18">
                  <c:v>1126</c:v>
                </c:pt>
                <c:pt idx="19">
                  <c:v>1209</c:v>
                </c:pt>
                <c:pt idx="20">
                  <c:v>1511</c:v>
                </c:pt>
                <c:pt idx="21">
                  <c:v>1335</c:v>
                </c:pt>
                <c:pt idx="22">
                  <c:v>1519</c:v>
                </c:pt>
                <c:pt idx="23">
                  <c:v>1586</c:v>
                </c:pt>
                <c:pt idx="24">
                  <c:v>1365</c:v>
                </c:pt>
                <c:pt idx="25">
                  <c:v>1151</c:v>
                </c:pt>
                <c:pt idx="26">
                  <c:v>1270</c:v>
                </c:pt>
                <c:pt idx="27">
                  <c:v>1248</c:v>
                </c:pt>
                <c:pt idx="28">
                  <c:v>1124</c:v>
                </c:pt>
                <c:pt idx="29">
                  <c:v>1174</c:v>
                </c:pt>
                <c:pt idx="30">
                  <c:v>1040</c:v>
                </c:pt>
                <c:pt idx="31">
                  <c:v>1214</c:v>
                </c:pt>
                <c:pt idx="32">
                  <c:v>1081</c:v>
                </c:pt>
                <c:pt idx="33">
                  <c:v>1236</c:v>
                </c:pt>
                <c:pt idx="34">
                  <c:v>1379</c:v>
                </c:pt>
                <c:pt idx="35">
                  <c:v>1829</c:v>
                </c:pt>
              </c:numCache>
            </c:numRef>
          </c:val>
          <c:extLst>
            <c:ext xmlns:c16="http://schemas.microsoft.com/office/drawing/2014/chart" uri="{C3380CC4-5D6E-409C-BE32-E72D297353CC}">
              <c16:uniqueId val="{00000022-C665-485F-B4FF-F51B2E413A04}"/>
            </c:ext>
          </c:extLst>
        </c:ser>
        <c:ser>
          <c:idx val="1"/>
          <c:order val="1"/>
          <c:tx>
            <c:strRef>
              <c:f>'Incident Numbers'!$E$4</c:f>
              <c:strCache>
                <c:ptCount val="1"/>
                <c:pt idx="0">
                  <c:v>Last Year</c:v>
                </c:pt>
              </c:strCache>
            </c:strRef>
          </c:tx>
          <c:spPr>
            <a:solidFill>
              <a:schemeClr val="bg1">
                <a:lumMod val="65000"/>
              </a:schemeClr>
            </a:solidFill>
            <a:ln>
              <a:noFill/>
            </a:ln>
            <a:effectLst/>
          </c:spPr>
          <c:invertIfNegative val="0"/>
          <c:cat>
            <c:numRef>
              <c:f>'Incident Numbers'!$C$12:$C$47</c:f>
              <c:numCache>
                <c:formatCode>mmm\-yy</c:formatCode>
                <c:ptCount val="36"/>
                <c:pt idx="0">
                  <c:v>42217</c:v>
                </c:pt>
                <c:pt idx="1">
                  <c:v>42248</c:v>
                </c:pt>
                <c:pt idx="2">
                  <c:v>42278</c:v>
                </c:pt>
                <c:pt idx="3">
                  <c:v>42309</c:v>
                </c:pt>
                <c:pt idx="4">
                  <c:v>42339</c:v>
                </c:pt>
                <c:pt idx="5">
                  <c:v>42370</c:v>
                </c:pt>
                <c:pt idx="6">
                  <c:v>42401</c:v>
                </c:pt>
                <c:pt idx="7">
                  <c:v>42430</c:v>
                </c:pt>
                <c:pt idx="8">
                  <c:v>42461</c:v>
                </c:pt>
                <c:pt idx="9">
                  <c:v>42491</c:v>
                </c:pt>
                <c:pt idx="10">
                  <c:v>42522</c:v>
                </c:pt>
                <c:pt idx="11">
                  <c:v>42552</c:v>
                </c:pt>
                <c:pt idx="12">
                  <c:v>42583</c:v>
                </c:pt>
                <c:pt idx="13">
                  <c:v>42614</c:v>
                </c:pt>
                <c:pt idx="14">
                  <c:v>42644</c:v>
                </c:pt>
                <c:pt idx="15">
                  <c:v>42675</c:v>
                </c:pt>
                <c:pt idx="16">
                  <c:v>42705</c:v>
                </c:pt>
                <c:pt idx="17">
                  <c:v>42736</c:v>
                </c:pt>
                <c:pt idx="18">
                  <c:v>42767</c:v>
                </c:pt>
                <c:pt idx="19">
                  <c:v>42795</c:v>
                </c:pt>
                <c:pt idx="20">
                  <c:v>42826</c:v>
                </c:pt>
                <c:pt idx="21">
                  <c:v>42856</c:v>
                </c:pt>
                <c:pt idx="22">
                  <c:v>42887</c:v>
                </c:pt>
                <c:pt idx="23">
                  <c:v>42917</c:v>
                </c:pt>
                <c:pt idx="24">
                  <c:v>42948</c:v>
                </c:pt>
                <c:pt idx="25">
                  <c:v>42979</c:v>
                </c:pt>
                <c:pt idx="26">
                  <c:v>43009</c:v>
                </c:pt>
                <c:pt idx="27">
                  <c:v>43040</c:v>
                </c:pt>
                <c:pt idx="28">
                  <c:v>43070</c:v>
                </c:pt>
                <c:pt idx="29">
                  <c:v>43101</c:v>
                </c:pt>
                <c:pt idx="30">
                  <c:v>43132</c:v>
                </c:pt>
                <c:pt idx="31">
                  <c:v>43160</c:v>
                </c:pt>
                <c:pt idx="32">
                  <c:v>43191</c:v>
                </c:pt>
                <c:pt idx="33">
                  <c:v>43221</c:v>
                </c:pt>
                <c:pt idx="34">
                  <c:v>43252</c:v>
                </c:pt>
                <c:pt idx="35">
                  <c:v>43282</c:v>
                </c:pt>
              </c:numCache>
            </c:numRef>
          </c:cat>
          <c:val>
            <c:numRef>
              <c:f>'Incident Numbers'!$E$12:$E$47</c:f>
              <c:numCache>
                <c:formatCode>General</c:formatCode>
                <c:ptCount val="36"/>
                <c:pt idx="17">
                  <c:v>1053</c:v>
                </c:pt>
                <c:pt idx="18">
                  <c:v>1009</c:v>
                </c:pt>
                <c:pt idx="19">
                  <c:v>1219</c:v>
                </c:pt>
                <c:pt idx="20">
                  <c:v>1095</c:v>
                </c:pt>
                <c:pt idx="21">
                  <c:v>1305</c:v>
                </c:pt>
                <c:pt idx="22">
                  <c:v>1289</c:v>
                </c:pt>
                <c:pt idx="23">
                  <c:v>1450</c:v>
                </c:pt>
                <c:pt idx="24">
                  <c:v>1753</c:v>
                </c:pt>
                <c:pt idx="25">
                  <c:v>1570</c:v>
                </c:pt>
                <c:pt idx="26">
                  <c:v>1384</c:v>
                </c:pt>
                <c:pt idx="27">
                  <c:v>1257</c:v>
                </c:pt>
                <c:pt idx="28">
                  <c:v>1175</c:v>
                </c:pt>
                <c:pt idx="29">
                  <c:v>1103</c:v>
                </c:pt>
                <c:pt idx="30">
                  <c:v>1126</c:v>
                </c:pt>
                <c:pt idx="31">
                  <c:v>1219</c:v>
                </c:pt>
                <c:pt idx="32">
                  <c:v>1095</c:v>
                </c:pt>
                <c:pt idx="33">
                  <c:v>1335</c:v>
                </c:pt>
                <c:pt idx="34">
                  <c:v>1289</c:v>
                </c:pt>
                <c:pt idx="35">
                  <c:v>1450</c:v>
                </c:pt>
              </c:numCache>
            </c:numRef>
          </c:val>
          <c:extLst>
            <c:ext xmlns:c16="http://schemas.microsoft.com/office/drawing/2014/chart" uri="{C3380CC4-5D6E-409C-BE32-E72D297353CC}">
              <c16:uniqueId val="{00000023-C665-485F-B4FF-F51B2E413A04}"/>
            </c:ext>
          </c:extLst>
        </c:ser>
        <c:dLbls>
          <c:showLegendKey val="0"/>
          <c:showVal val="0"/>
          <c:showCatName val="0"/>
          <c:showSerName val="0"/>
          <c:showPercent val="0"/>
          <c:showBubbleSize val="0"/>
        </c:dLbls>
        <c:gapWidth val="219"/>
        <c:overlap val="-27"/>
        <c:axId val="45967872"/>
        <c:axId val="40422784"/>
      </c:barChart>
      <c:lineChart>
        <c:grouping val="standard"/>
        <c:varyColors val="0"/>
        <c:ser>
          <c:idx val="2"/>
          <c:order val="2"/>
          <c:tx>
            <c:strRef>
              <c:f>'Incident Numbers'!$F$4</c:f>
              <c:strCache>
                <c:ptCount val="1"/>
                <c:pt idx="0">
                  <c:v>Average</c:v>
                </c:pt>
              </c:strCache>
            </c:strRef>
          </c:tx>
          <c:spPr>
            <a:ln w="28575" cap="rnd">
              <a:solidFill>
                <a:schemeClr val="accent2"/>
              </a:solidFill>
              <a:round/>
            </a:ln>
            <a:effectLst/>
          </c:spPr>
          <c:marker>
            <c:symbol val="none"/>
          </c:marker>
          <c:cat>
            <c:numRef>
              <c:f>'Incident Numbers'!$C$12:$C$47</c:f>
              <c:numCache>
                <c:formatCode>mmm\-yy</c:formatCode>
                <c:ptCount val="36"/>
                <c:pt idx="0">
                  <c:v>42217</c:v>
                </c:pt>
                <c:pt idx="1">
                  <c:v>42248</c:v>
                </c:pt>
                <c:pt idx="2">
                  <c:v>42278</c:v>
                </c:pt>
                <c:pt idx="3">
                  <c:v>42309</c:v>
                </c:pt>
                <c:pt idx="4">
                  <c:v>42339</c:v>
                </c:pt>
                <c:pt idx="5">
                  <c:v>42370</c:v>
                </c:pt>
                <c:pt idx="6">
                  <c:v>42401</c:v>
                </c:pt>
                <c:pt idx="7">
                  <c:v>42430</c:v>
                </c:pt>
                <c:pt idx="8">
                  <c:v>42461</c:v>
                </c:pt>
                <c:pt idx="9">
                  <c:v>42491</c:v>
                </c:pt>
                <c:pt idx="10">
                  <c:v>42522</c:v>
                </c:pt>
                <c:pt idx="11">
                  <c:v>42552</c:v>
                </c:pt>
                <c:pt idx="12">
                  <c:v>42583</c:v>
                </c:pt>
                <c:pt idx="13">
                  <c:v>42614</c:v>
                </c:pt>
                <c:pt idx="14">
                  <c:v>42644</c:v>
                </c:pt>
                <c:pt idx="15">
                  <c:v>42675</c:v>
                </c:pt>
                <c:pt idx="16">
                  <c:v>42705</c:v>
                </c:pt>
                <c:pt idx="17">
                  <c:v>42736</c:v>
                </c:pt>
                <c:pt idx="18">
                  <c:v>42767</c:v>
                </c:pt>
                <c:pt idx="19">
                  <c:v>42795</c:v>
                </c:pt>
                <c:pt idx="20">
                  <c:v>42826</c:v>
                </c:pt>
                <c:pt idx="21">
                  <c:v>42856</c:v>
                </c:pt>
                <c:pt idx="22">
                  <c:v>42887</c:v>
                </c:pt>
                <c:pt idx="23">
                  <c:v>42917</c:v>
                </c:pt>
                <c:pt idx="24">
                  <c:v>42948</c:v>
                </c:pt>
                <c:pt idx="25">
                  <c:v>42979</c:v>
                </c:pt>
                <c:pt idx="26">
                  <c:v>43009</c:v>
                </c:pt>
                <c:pt idx="27">
                  <c:v>43040</c:v>
                </c:pt>
                <c:pt idx="28">
                  <c:v>43070</c:v>
                </c:pt>
                <c:pt idx="29">
                  <c:v>43101</c:v>
                </c:pt>
                <c:pt idx="30">
                  <c:v>43132</c:v>
                </c:pt>
                <c:pt idx="31">
                  <c:v>43160</c:v>
                </c:pt>
                <c:pt idx="32">
                  <c:v>43191</c:v>
                </c:pt>
                <c:pt idx="33">
                  <c:v>43221</c:v>
                </c:pt>
                <c:pt idx="34">
                  <c:v>43252</c:v>
                </c:pt>
                <c:pt idx="35">
                  <c:v>43282</c:v>
                </c:pt>
              </c:numCache>
            </c:numRef>
          </c:cat>
          <c:val>
            <c:numRef>
              <c:f>'Incident Numbers'!$F$12:$F$47</c:f>
              <c:numCache>
                <c:formatCode>General</c:formatCode>
                <c:ptCount val="36"/>
                <c:pt idx="0">
                  <c:v>1266</c:v>
                </c:pt>
                <c:pt idx="1">
                  <c:v>1266</c:v>
                </c:pt>
                <c:pt idx="2">
                  <c:v>1266</c:v>
                </c:pt>
                <c:pt idx="3">
                  <c:v>1266</c:v>
                </c:pt>
                <c:pt idx="4">
                  <c:v>1266</c:v>
                </c:pt>
                <c:pt idx="5">
                  <c:v>1266</c:v>
                </c:pt>
                <c:pt idx="6">
                  <c:v>1266</c:v>
                </c:pt>
                <c:pt idx="7">
                  <c:v>1266</c:v>
                </c:pt>
                <c:pt idx="8">
                  <c:v>1266</c:v>
                </c:pt>
                <c:pt idx="9">
                  <c:v>1266</c:v>
                </c:pt>
                <c:pt idx="10">
                  <c:v>1266</c:v>
                </c:pt>
                <c:pt idx="11">
                  <c:v>1266</c:v>
                </c:pt>
                <c:pt idx="12">
                  <c:v>1266</c:v>
                </c:pt>
                <c:pt idx="13">
                  <c:v>1266</c:v>
                </c:pt>
                <c:pt idx="14">
                  <c:v>1266</c:v>
                </c:pt>
                <c:pt idx="15">
                  <c:v>1266</c:v>
                </c:pt>
                <c:pt idx="16">
                  <c:v>1266</c:v>
                </c:pt>
                <c:pt idx="17">
                  <c:v>1266</c:v>
                </c:pt>
                <c:pt idx="18">
                  <c:v>1266</c:v>
                </c:pt>
                <c:pt idx="19">
                  <c:v>1266</c:v>
                </c:pt>
                <c:pt idx="20">
                  <c:v>1266</c:v>
                </c:pt>
                <c:pt idx="21">
                  <c:v>1266</c:v>
                </c:pt>
                <c:pt idx="22">
                  <c:v>1266</c:v>
                </c:pt>
                <c:pt idx="23">
                  <c:v>1266</c:v>
                </c:pt>
                <c:pt idx="24">
                  <c:v>1266</c:v>
                </c:pt>
                <c:pt idx="25">
                  <c:v>1266</c:v>
                </c:pt>
                <c:pt idx="26">
                  <c:v>1266</c:v>
                </c:pt>
                <c:pt idx="27">
                  <c:v>1266</c:v>
                </c:pt>
                <c:pt idx="28">
                  <c:v>1266</c:v>
                </c:pt>
                <c:pt idx="29">
                  <c:v>1266</c:v>
                </c:pt>
                <c:pt idx="30">
                  <c:v>1266</c:v>
                </c:pt>
                <c:pt idx="31">
                  <c:v>1266</c:v>
                </c:pt>
                <c:pt idx="32">
                  <c:v>1266</c:v>
                </c:pt>
                <c:pt idx="33">
                  <c:v>1266</c:v>
                </c:pt>
                <c:pt idx="34">
                  <c:v>1266</c:v>
                </c:pt>
                <c:pt idx="35">
                  <c:v>1266</c:v>
                </c:pt>
              </c:numCache>
            </c:numRef>
          </c:val>
          <c:smooth val="0"/>
          <c:extLst>
            <c:ext xmlns:c16="http://schemas.microsoft.com/office/drawing/2014/chart" uri="{C3380CC4-5D6E-409C-BE32-E72D297353CC}">
              <c16:uniqueId val="{00000024-C665-485F-B4FF-F51B2E413A04}"/>
            </c:ext>
          </c:extLst>
        </c:ser>
        <c:dLbls>
          <c:showLegendKey val="0"/>
          <c:showVal val="0"/>
          <c:showCatName val="0"/>
          <c:showSerName val="0"/>
          <c:showPercent val="0"/>
          <c:showBubbleSize val="0"/>
        </c:dLbls>
        <c:marker val="1"/>
        <c:smooth val="0"/>
        <c:axId val="45967872"/>
        <c:axId val="40422784"/>
      </c:lineChart>
      <c:dateAx>
        <c:axId val="459678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48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22784"/>
        <c:crosses val="autoZero"/>
        <c:auto val="1"/>
        <c:lblOffset val="100"/>
        <c:baseTimeUnit val="months"/>
      </c:dateAx>
      <c:valAx>
        <c:axId val="40422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Incidents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67872"/>
        <c:crosses val="autoZero"/>
        <c:crossBetween val="between"/>
      </c:valAx>
      <c:spPr>
        <a:noFill/>
        <a:ln>
          <a:noFill/>
        </a:ln>
        <a:effectLst/>
      </c:spPr>
    </c:plotArea>
    <c:legend>
      <c:legendPos val="b"/>
      <c:legendEntry>
        <c:idx val="3"/>
        <c:delete val="1"/>
      </c:legendEntry>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Primary Fires</a:t>
            </a:r>
          </a:p>
        </c:rich>
      </c:tx>
      <c:layout/>
      <c:overlay val="0"/>
      <c:spPr>
        <a:noFill/>
        <a:ln>
          <a:noFill/>
        </a:ln>
        <a:effectLst/>
      </c:spPr>
    </c:title>
    <c:autoTitleDeleted val="0"/>
    <c:plotArea>
      <c:layout/>
      <c:barChart>
        <c:barDir val="col"/>
        <c:grouping val="clustered"/>
        <c:varyColors val="0"/>
        <c:ser>
          <c:idx val="0"/>
          <c:order val="0"/>
          <c:tx>
            <c:strRef>
              <c:f>'Primary Fires'!$B$1</c:f>
              <c:strCache>
                <c:ptCount val="1"/>
                <c:pt idx="0">
                  <c:v>Previous Year</c:v>
                </c:pt>
              </c:strCache>
            </c:strRef>
          </c:tx>
          <c:spPr>
            <a:solidFill>
              <a:schemeClr val="bg2">
                <a:lumMod val="90000"/>
              </a:schemeClr>
            </a:solidFill>
            <a:ln>
              <a:noFill/>
            </a:ln>
            <a:effectLst/>
          </c:spPr>
          <c:invertIfNegative val="0"/>
          <c:cat>
            <c:numRef>
              <c:f>'Primary Fires'!$A$8:$A$44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'Primary Fires'!$B$8:$B$44</c:f>
              <c:numCache>
                <c:formatCode>General</c:formatCode>
                <c:ptCount val="37"/>
                <c:pt idx="18">
                  <c:v>171</c:v>
                </c:pt>
                <c:pt idx="19">
                  <c:v>214</c:v>
                </c:pt>
                <c:pt idx="20">
                  <c:v>203</c:v>
                </c:pt>
                <c:pt idx="21">
                  <c:v>161</c:v>
                </c:pt>
                <c:pt idx="22">
                  <c:v>205</c:v>
                </c:pt>
                <c:pt idx="23">
                  <c:v>193</c:v>
                </c:pt>
                <c:pt idx="24">
                  <c:v>248</c:v>
                </c:pt>
                <c:pt idx="25">
                  <c:v>279</c:v>
                </c:pt>
                <c:pt idx="26">
                  <c:v>254</c:v>
                </c:pt>
                <c:pt idx="27">
                  <c:v>223</c:v>
                </c:pt>
                <c:pt idx="28">
                  <c:v>214</c:v>
                </c:pt>
                <c:pt idx="29">
                  <c:v>180</c:v>
                </c:pt>
                <c:pt idx="30">
                  <c:v>190</c:v>
                </c:pt>
                <c:pt idx="31">
                  <c:v>214</c:v>
                </c:pt>
                <c:pt idx="32">
                  <c:v>194</c:v>
                </c:pt>
                <c:pt idx="33">
                  <c:v>230</c:v>
                </c:pt>
                <c:pt idx="34">
                  <c:v>196</c:v>
                </c:pt>
                <c:pt idx="35">
                  <c:v>216</c:v>
                </c:pt>
                <c:pt idx="36">
                  <c:v>225</c:v>
                </c:pt>
              </c:numCache>
            </c:numRef>
          </c:val>
          <c:extLst>
            <c:ext xmlns:c16="http://schemas.microsoft.com/office/drawing/2014/chart" uri="{C3380CC4-5D6E-409C-BE32-E72D297353CC}">
              <c16:uniqueId val="{00000000-F4AE-4D27-91D2-33CCC72E9B3B}"/>
            </c:ext>
          </c:extLst>
        </c:ser>
        <c:ser>
          <c:idx val="1"/>
          <c:order val="1"/>
          <c:tx>
            <c:strRef>
              <c:f>'Primary Fires'!$C$1</c:f>
              <c:strCache>
                <c:ptCount val="1"/>
                <c:pt idx="0">
                  <c:v>Primary Fires</c:v>
                </c:pt>
              </c:strCache>
            </c:strRef>
          </c:tx>
          <c:spPr>
            <a:solidFill>
              <a:schemeClr val="accent5"/>
            </a:solidFill>
            <a:ln>
              <a:noFill/>
            </a:ln>
            <a:effectLst/>
          </c:spPr>
          <c:invertIfNegative val="0"/>
          <c:dLbls>
            <c:dLbl>
              <c:idx val="34"/>
              <c:layout>
                <c:manualLayout>
                  <c:x val="4.4943825526416728E-3"/>
                  <c:y val="0.1025641025641025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4AE-4D27-91D2-33CCC72E9B3B}"/>
                </c:ext>
              </c:extLst>
            </c:dLbl>
            <c:dLbl>
              <c:idx val="3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4AE-4D27-91D2-33CCC72E9B3B}"/>
                </c:ext>
              </c:extLst>
            </c:dLbl>
            <c:dLbl>
              <c:idx val="3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4AE-4D27-91D2-33CCC72E9B3B}"/>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15:showLeaderLines val="1"/>
                <c15:leaderLines>
                  <c:spPr>
                    <a:ln w="9525" cap="flat" cmpd="sng" algn="ctr">
                      <a:solidFill>
                        <a:schemeClr val="tx1">
                          <a:lumMod val="35000"/>
                          <a:lumOff val="65000"/>
                        </a:schemeClr>
                      </a:solidFill>
                      <a:round/>
                    </a:ln>
                    <a:effectLst/>
                  </c:spPr>
                </c15:leaderLines>
              </c:ext>
            </c:extLst>
          </c:dLbls>
          <c:cat>
            <c:numRef>
              <c:f>'Primary Fires'!$A$8:$A$44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'Primary Fires'!$C$8:$C$44</c:f>
              <c:numCache>
                <c:formatCode>General</c:formatCode>
                <c:ptCount val="37"/>
                <c:pt idx="0">
                  <c:v>234</c:v>
                </c:pt>
                <c:pt idx="1">
                  <c:v>232</c:v>
                </c:pt>
                <c:pt idx="2">
                  <c:v>170</c:v>
                </c:pt>
                <c:pt idx="3">
                  <c:v>186</c:v>
                </c:pt>
                <c:pt idx="4">
                  <c:v>203</c:v>
                </c:pt>
                <c:pt idx="5">
                  <c:v>185</c:v>
                </c:pt>
                <c:pt idx="6">
                  <c:v>171</c:v>
                </c:pt>
                <c:pt idx="7">
                  <c:v>214</c:v>
                </c:pt>
                <c:pt idx="8">
                  <c:v>203</c:v>
                </c:pt>
                <c:pt idx="9">
                  <c:v>161</c:v>
                </c:pt>
                <c:pt idx="10">
                  <c:v>205</c:v>
                </c:pt>
                <c:pt idx="11">
                  <c:v>193</c:v>
                </c:pt>
                <c:pt idx="12">
                  <c:v>248</c:v>
                </c:pt>
                <c:pt idx="13">
                  <c:v>279</c:v>
                </c:pt>
                <c:pt idx="14">
                  <c:v>254</c:v>
                </c:pt>
                <c:pt idx="15">
                  <c:v>223</c:v>
                </c:pt>
                <c:pt idx="16">
                  <c:v>214</c:v>
                </c:pt>
                <c:pt idx="17">
                  <c:v>180</c:v>
                </c:pt>
                <c:pt idx="18">
                  <c:v>190</c:v>
                </c:pt>
                <c:pt idx="19">
                  <c:v>191</c:v>
                </c:pt>
                <c:pt idx="20">
                  <c:v>194</c:v>
                </c:pt>
                <c:pt idx="21">
                  <c:v>230</c:v>
                </c:pt>
                <c:pt idx="22">
                  <c:v>196</c:v>
                </c:pt>
                <c:pt idx="23">
                  <c:v>216</c:v>
                </c:pt>
                <c:pt idx="24">
                  <c:v>225</c:v>
                </c:pt>
                <c:pt idx="25">
                  <c:v>230</c:v>
                </c:pt>
                <c:pt idx="26">
                  <c:v>161</c:v>
                </c:pt>
                <c:pt idx="27">
                  <c:v>197</c:v>
                </c:pt>
                <c:pt idx="28">
                  <c:v>172</c:v>
                </c:pt>
                <c:pt idx="29">
                  <c:v>170</c:v>
                </c:pt>
                <c:pt idx="30">
                  <c:v>175</c:v>
                </c:pt>
                <c:pt idx="31">
                  <c:v>175</c:v>
                </c:pt>
                <c:pt idx="32">
                  <c:v>191</c:v>
                </c:pt>
                <c:pt idx="33">
                  <c:v>180</c:v>
                </c:pt>
                <c:pt idx="34">
                  <c:v>180</c:v>
                </c:pt>
                <c:pt idx="35">
                  <c:v>222</c:v>
                </c:pt>
                <c:pt idx="36">
                  <c:v>282</c:v>
                </c:pt>
              </c:numCache>
            </c:numRef>
          </c:val>
          <c:extLst>
            <c:ext xmlns:c16="http://schemas.microsoft.com/office/drawing/2014/chart" uri="{C3380CC4-5D6E-409C-BE32-E72D297353CC}">
              <c16:uniqueId val="{00000004-F4AE-4D27-91D2-33CCC72E9B3B}"/>
            </c:ext>
          </c:extLst>
        </c:ser>
        <c:dLbls>
          <c:showLegendKey val="0"/>
          <c:showVal val="0"/>
          <c:showCatName val="0"/>
          <c:showSerName val="0"/>
          <c:showPercent val="0"/>
          <c:showBubbleSize val="0"/>
        </c:dLbls>
        <c:gapWidth val="219"/>
        <c:overlap val="-27"/>
        <c:axId val="49089536"/>
        <c:axId val="48699008"/>
      </c:barChart>
      <c:lineChart>
        <c:grouping val="standard"/>
        <c:varyColors val="0"/>
        <c:ser>
          <c:idx val="2"/>
          <c:order val="2"/>
          <c:tx>
            <c:strRef>
              <c:f>'Primary Fires'!$D$1</c:f>
              <c:strCache>
                <c:ptCount val="1"/>
                <c:pt idx="0">
                  <c:v>Average</c:v>
                </c:pt>
              </c:strCache>
            </c:strRef>
          </c:tx>
          <c:spPr>
            <a:ln w="28575" cap="rnd">
              <a:solidFill>
                <a:schemeClr val="accent2"/>
              </a:solidFill>
              <a:round/>
            </a:ln>
            <a:effectLst/>
          </c:spPr>
          <c:marker>
            <c:symbol val="none"/>
          </c:marker>
          <c:cat>
            <c:numRef>
              <c:f>'Primary Fires'!$A$8:$A$44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'Primary Fires'!$D$8:$D$44</c:f>
              <c:numCache>
                <c:formatCode>General</c:formatCode>
                <c:ptCount val="37"/>
                <c:pt idx="0">
                  <c:v>200</c:v>
                </c:pt>
                <c:pt idx="1">
                  <c:v>200</c:v>
                </c:pt>
                <c:pt idx="2">
                  <c:v>200</c:v>
                </c:pt>
                <c:pt idx="3">
                  <c:v>200</c:v>
                </c:pt>
                <c:pt idx="4">
                  <c:v>200</c:v>
                </c:pt>
                <c:pt idx="5">
                  <c:v>200</c:v>
                </c:pt>
                <c:pt idx="6">
                  <c:v>200</c:v>
                </c:pt>
                <c:pt idx="7">
                  <c:v>200</c:v>
                </c:pt>
                <c:pt idx="8">
                  <c:v>200</c:v>
                </c:pt>
                <c:pt idx="9">
                  <c:v>200</c:v>
                </c:pt>
                <c:pt idx="10">
                  <c:v>200</c:v>
                </c:pt>
                <c:pt idx="11">
                  <c:v>200</c:v>
                </c:pt>
                <c:pt idx="12">
                  <c:v>200</c:v>
                </c:pt>
                <c:pt idx="13">
                  <c:v>200</c:v>
                </c:pt>
                <c:pt idx="14">
                  <c:v>200</c:v>
                </c:pt>
                <c:pt idx="15">
                  <c:v>200</c:v>
                </c:pt>
                <c:pt idx="16">
                  <c:v>200</c:v>
                </c:pt>
                <c:pt idx="17">
                  <c:v>200</c:v>
                </c:pt>
                <c:pt idx="18">
                  <c:v>200</c:v>
                </c:pt>
                <c:pt idx="19">
                  <c:v>200</c:v>
                </c:pt>
                <c:pt idx="20">
                  <c:v>200</c:v>
                </c:pt>
                <c:pt idx="21">
                  <c:v>200</c:v>
                </c:pt>
                <c:pt idx="22">
                  <c:v>200</c:v>
                </c:pt>
                <c:pt idx="23">
                  <c:v>200</c:v>
                </c:pt>
                <c:pt idx="24">
                  <c:v>200</c:v>
                </c:pt>
                <c:pt idx="25">
                  <c:v>200</c:v>
                </c:pt>
                <c:pt idx="26">
                  <c:v>200</c:v>
                </c:pt>
                <c:pt idx="27">
                  <c:v>200</c:v>
                </c:pt>
                <c:pt idx="28">
                  <c:v>200</c:v>
                </c:pt>
                <c:pt idx="29">
                  <c:v>200</c:v>
                </c:pt>
                <c:pt idx="30">
                  <c:v>200</c:v>
                </c:pt>
                <c:pt idx="31">
                  <c:v>200</c:v>
                </c:pt>
                <c:pt idx="32">
                  <c:v>200</c:v>
                </c:pt>
                <c:pt idx="33">
                  <c:v>200</c:v>
                </c:pt>
                <c:pt idx="34">
                  <c:v>200</c:v>
                </c:pt>
                <c:pt idx="35">
                  <c:v>200</c:v>
                </c:pt>
                <c:pt idx="36">
                  <c:v>200</c:v>
                </c:pt>
              </c:numCache>
            </c:numRef>
          </c:val>
          <c:smooth val="0"/>
          <c:extLst>
            <c:ext xmlns:c16="http://schemas.microsoft.com/office/drawing/2014/chart" uri="{C3380CC4-5D6E-409C-BE32-E72D297353CC}">
              <c16:uniqueId val="{00000005-F4AE-4D27-91D2-33CCC72E9B3B}"/>
            </c:ext>
          </c:extLst>
        </c:ser>
        <c:dLbls>
          <c:showLegendKey val="0"/>
          <c:showVal val="0"/>
          <c:showCatName val="0"/>
          <c:showSerName val="0"/>
          <c:showPercent val="0"/>
          <c:showBubbleSize val="0"/>
        </c:dLbls>
        <c:marker val="1"/>
        <c:smooth val="0"/>
        <c:axId val="49089536"/>
        <c:axId val="48699008"/>
      </c:lineChart>
      <c:dateAx>
        <c:axId val="490895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40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99008"/>
        <c:crosses val="autoZero"/>
        <c:auto val="1"/>
        <c:lblOffset val="100"/>
        <c:baseTimeUnit val="months"/>
      </c:dateAx>
      <c:valAx>
        <c:axId val="4869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Primary</a:t>
                </a:r>
                <a:r>
                  <a:rPr lang="en-GB" baseline="0"/>
                  <a:t> Fires</a:t>
                </a:r>
                <a:endParaRPr lang="en-GB"/>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9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Secondary</a:t>
            </a:r>
            <a:r>
              <a:rPr lang="en-GB" baseline="0"/>
              <a:t> Fires</a:t>
            </a:r>
            <a:endParaRPr lang="en-GB"/>
          </a:p>
        </c:rich>
      </c:tx>
      <c:layout/>
      <c:overlay val="0"/>
      <c:spPr>
        <a:noFill/>
        <a:ln>
          <a:noFill/>
        </a:ln>
        <a:effectLst/>
      </c:spPr>
    </c:title>
    <c:autoTitleDeleted val="0"/>
    <c:plotArea>
      <c:layout/>
      <c:barChart>
        <c:barDir val="col"/>
        <c:grouping val="clustered"/>
        <c:varyColors val="0"/>
        <c:ser>
          <c:idx val="0"/>
          <c:order val="0"/>
          <c:tx>
            <c:strRef>
              <c:f>'Secondary Fires'!$B$1</c:f>
              <c:strCache>
                <c:ptCount val="1"/>
                <c:pt idx="0">
                  <c:v>Previous Year</c:v>
                </c:pt>
              </c:strCache>
            </c:strRef>
          </c:tx>
          <c:spPr>
            <a:solidFill>
              <a:schemeClr val="bg2">
                <a:lumMod val="90000"/>
              </a:schemeClr>
            </a:solidFill>
            <a:ln>
              <a:noFill/>
            </a:ln>
            <a:effectLst/>
          </c:spPr>
          <c:invertIfNegative val="0"/>
          <c:cat>
            <c:numRef>
              <c:f>'Secondary Fires'!$A$8:$A$44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'Secondary Fires'!$B$8:$B$44</c:f>
              <c:numCache>
                <c:formatCode>General</c:formatCode>
                <c:ptCount val="37"/>
                <c:pt idx="18">
                  <c:v>71</c:v>
                </c:pt>
                <c:pt idx="19">
                  <c:v>90</c:v>
                </c:pt>
                <c:pt idx="20">
                  <c:v>119</c:v>
                </c:pt>
                <c:pt idx="21">
                  <c:v>142</c:v>
                </c:pt>
                <c:pt idx="22">
                  <c:v>222</c:v>
                </c:pt>
                <c:pt idx="23">
                  <c:v>120</c:v>
                </c:pt>
                <c:pt idx="24">
                  <c:v>240</c:v>
                </c:pt>
                <c:pt idx="25">
                  <c:v>454</c:v>
                </c:pt>
                <c:pt idx="26">
                  <c:v>336</c:v>
                </c:pt>
                <c:pt idx="27">
                  <c:v>263</c:v>
                </c:pt>
                <c:pt idx="28">
                  <c:v>131</c:v>
                </c:pt>
                <c:pt idx="29">
                  <c:v>100</c:v>
                </c:pt>
                <c:pt idx="30">
                  <c:v>92</c:v>
                </c:pt>
                <c:pt idx="31">
                  <c:v>91</c:v>
                </c:pt>
                <c:pt idx="32">
                  <c:v>181</c:v>
                </c:pt>
                <c:pt idx="33">
                  <c:v>403</c:v>
                </c:pt>
                <c:pt idx="34">
                  <c:v>278</c:v>
                </c:pt>
                <c:pt idx="35">
                  <c:v>312</c:v>
                </c:pt>
                <c:pt idx="36">
                  <c:v>291</c:v>
                </c:pt>
              </c:numCache>
            </c:numRef>
          </c:val>
          <c:extLst>
            <c:ext xmlns:c16="http://schemas.microsoft.com/office/drawing/2014/chart" uri="{C3380CC4-5D6E-409C-BE32-E72D297353CC}">
              <c16:uniqueId val="{00000000-57B2-4FA3-9403-780D3B140EFD}"/>
            </c:ext>
          </c:extLst>
        </c:ser>
        <c:ser>
          <c:idx val="1"/>
          <c:order val="1"/>
          <c:tx>
            <c:strRef>
              <c:f>'Secondary Fires'!$C$1</c:f>
              <c:strCache>
                <c:ptCount val="1"/>
                <c:pt idx="0">
                  <c:v>Secondary</c:v>
                </c:pt>
              </c:strCache>
            </c:strRef>
          </c:tx>
          <c:spPr>
            <a:solidFill>
              <a:schemeClr val="accent5"/>
            </a:solidFill>
            <a:ln>
              <a:noFill/>
            </a:ln>
            <a:effectLst/>
          </c:spPr>
          <c:invertIfNegative val="0"/>
          <c:dLbls>
            <c:dLbl>
              <c:idx val="33"/>
              <c:layout>
                <c:manualLayout>
                  <c:x val="1.6280018366937256E-3"/>
                  <c:y val="7.97720797720797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B2-4FA3-9403-780D3B140EFD}"/>
                </c:ext>
              </c:extLst>
            </c:dLbl>
            <c:dLbl>
              <c:idx val="34"/>
              <c:layout>
                <c:manualLayout>
                  <c:x val="-2.3877084441391E-16"/>
                  <c:y val="7.97720797720797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B2-4FA3-9403-780D3B140EFD}"/>
                </c:ext>
              </c:extLst>
            </c:dLbl>
            <c:dLbl>
              <c:idx val="3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B2-4FA3-9403-780D3B140EFD}"/>
                </c:ext>
              </c:extLst>
            </c:dLbl>
            <c:dLbl>
              <c:idx val="3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B2-4FA3-9403-780D3B140EFD}"/>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15:showLeaderLines val="1"/>
                <c15:leaderLines>
                  <c:spPr>
                    <a:ln w="9525" cap="flat" cmpd="sng" algn="ctr">
                      <a:solidFill>
                        <a:schemeClr val="tx1">
                          <a:lumMod val="35000"/>
                          <a:lumOff val="65000"/>
                        </a:schemeClr>
                      </a:solidFill>
                      <a:round/>
                    </a:ln>
                    <a:effectLst/>
                  </c:spPr>
                </c15:leaderLines>
              </c:ext>
            </c:extLst>
          </c:dLbls>
          <c:cat>
            <c:numRef>
              <c:f>'Secondary Fires'!$A$8:$A$44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'Secondary Fires'!$C$8:$C$44</c:f>
              <c:numCache>
                <c:formatCode>General</c:formatCode>
                <c:ptCount val="37"/>
                <c:pt idx="0">
                  <c:v>335</c:v>
                </c:pt>
                <c:pt idx="1">
                  <c:v>295</c:v>
                </c:pt>
                <c:pt idx="2">
                  <c:v>145</c:v>
                </c:pt>
                <c:pt idx="3">
                  <c:v>155</c:v>
                </c:pt>
                <c:pt idx="4">
                  <c:v>102</c:v>
                </c:pt>
                <c:pt idx="5">
                  <c:v>69</c:v>
                </c:pt>
                <c:pt idx="6">
                  <c:v>71</c:v>
                </c:pt>
                <c:pt idx="7">
                  <c:v>90</c:v>
                </c:pt>
                <c:pt idx="8">
                  <c:v>119</c:v>
                </c:pt>
                <c:pt idx="9">
                  <c:v>142</c:v>
                </c:pt>
                <c:pt idx="10">
                  <c:v>222</c:v>
                </c:pt>
                <c:pt idx="11">
                  <c:v>120</c:v>
                </c:pt>
                <c:pt idx="12">
                  <c:v>240</c:v>
                </c:pt>
                <c:pt idx="13">
                  <c:v>454</c:v>
                </c:pt>
                <c:pt idx="14">
                  <c:v>336</c:v>
                </c:pt>
                <c:pt idx="15">
                  <c:v>263</c:v>
                </c:pt>
                <c:pt idx="16">
                  <c:v>131</c:v>
                </c:pt>
                <c:pt idx="17">
                  <c:v>100</c:v>
                </c:pt>
                <c:pt idx="18">
                  <c:v>92</c:v>
                </c:pt>
                <c:pt idx="19">
                  <c:v>91</c:v>
                </c:pt>
                <c:pt idx="20">
                  <c:v>181</c:v>
                </c:pt>
                <c:pt idx="21">
                  <c:v>403</c:v>
                </c:pt>
                <c:pt idx="22">
                  <c:v>278</c:v>
                </c:pt>
                <c:pt idx="23">
                  <c:v>312</c:v>
                </c:pt>
                <c:pt idx="24">
                  <c:v>291</c:v>
                </c:pt>
                <c:pt idx="25">
                  <c:v>207</c:v>
                </c:pt>
                <c:pt idx="26">
                  <c:v>125</c:v>
                </c:pt>
                <c:pt idx="27">
                  <c:v>208</c:v>
                </c:pt>
                <c:pt idx="28">
                  <c:v>178</c:v>
                </c:pt>
                <c:pt idx="29">
                  <c:v>78</c:v>
                </c:pt>
                <c:pt idx="30">
                  <c:v>92</c:v>
                </c:pt>
                <c:pt idx="31">
                  <c:v>94</c:v>
                </c:pt>
                <c:pt idx="32">
                  <c:v>82</c:v>
                </c:pt>
                <c:pt idx="33">
                  <c:v>106</c:v>
                </c:pt>
                <c:pt idx="34">
                  <c:v>199</c:v>
                </c:pt>
                <c:pt idx="35">
                  <c:v>281</c:v>
                </c:pt>
                <c:pt idx="36">
                  <c:v>543</c:v>
                </c:pt>
              </c:numCache>
            </c:numRef>
          </c:val>
          <c:extLst>
            <c:ext xmlns:c16="http://schemas.microsoft.com/office/drawing/2014/chart" uri="{C3380CC4-5D6E-409C-BE32-E72D297353CC}">
              <c16:uniqueId val="{00000005-57B2-4FA3-9403-780D3B140EFD}"/>
            </c:ext>
          </c:extLst>
        </c:ser>
        <c:dLbls>
          <c:showLegendKey val="0"/>
          <c:showVal val="0"/>
          <c:showCatName val="0"/>
          <c:showSerName val="0"/>
          <c:showPercent val="0"/>
          <c:showBubbleSize val="0"/>
        </c:dLbls>
        <c:gapWidth val="219"/>
        <c:overlap val="-27"/>
        <c:axId val="49575936"/>
        <c:axId val="48700736"/>
      </c:barChart>
      <c:lineChart>
        <c:grouping val="standard"/>
        <c:varyColors val="0"/>
        <c:ser>
          <c:idx val="2"/>
          <c:order val="2"/>
          <c:tx>
            <c:strRef>
              <c:f>'Secondary Fires'!$D$1</c:f>
              <c:strCache>
                <c:ptCount val="1"/>
                <c:pt idx="0">
                  <c:v>Average</c:v>
                </c:pt>
              </c:strCache>
            </c:strRef>
          </c:tx>
          <c:spPr>
            <a:ln w="28575" cap="rnd">
              <a:solidFill>
                <a:schemeClr val="accent2"/>
              </a:solidFill>
              <a:round/>
            </a:ln>
            <a:effectLst/>
          </c:spPr>
          <c:marker>
            <c:symbol val="none"/>
          </c:marker>
          <c:cat>
            <c:numRef>
              <c:f>'Secondary Fires'!$A$8:$A$44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'Secondary Fires'!$D$8:$D$44</c:f>
              <c:numCache>
                <c:formatCode>General</c:formatCode>
                <c:ptCount val="37"/>
                <c:pt idx="0">
                  <c:v>186</c:v>
                </c:pt>
                <c:pt idx="1">
                  <c:v>186</c:v>
                </c:pt>
                <c:pt idx="2">
                  <c:v>186</c:v>
                </c:pt>
                <c:pt idx="3">
                  <c:v>186</c:v>
                </c:pt>
                <c:pt idx="4">
                  <c:v>186</c:v>
                </c:pt>
                <c:pt idx="5">
                  <c:v>186</c:v>
                </c:pt>
                <c:pt idx="6">
                  <c:v>186</c:v>
                </c:pt>
                <c:pt idx="7">
                  <c:v>186</c:v>
                </c:pt>
                <c:pt idx="8">
                  <c:v>186</c:v>
                </c:pt>
                <c:pt idx="9">
                  <c:v>186</c:v>
                </c:pt>
                <c:pt idx="10">
                  <c:v>186</c:v>
                </c:pt>
                <c:pt idx="11">
                  <c:v>186</c:v>
                </c:pt>
                <c:pt idx="12">
                  <c:v>186</c:v>
                </c:pt>
                <c:pt idx="13">
                  <c:v>186</c:v>
                </c:pt>
                <c:pt idx="14">
                  <c:v>186</c:v>
                </c:pt>
                <c:pt idx="15">
                  <c:v>186</c:v>
                </c:pt>
                <c:pt idx="16">
                  <c:v>186</c:v>
                </c:pt>
                <c:pt idx="17">
                  <c:v>186</c:v>
                </c:pt>
                <c:pt idx="18">
                  <c:v>186</c:v>
                </c:pt>
                <c:pt idx="19">
                  <c:v>186</c:v>
                </c:pt>
                <c:pt idx="20">
                  <c:v>186</c:v>
                </c:pt>
                <c:pt idx="21">
                  <c:v>186</c:v>
                </c:pt>
                <c:pt idx="22">
                  <c:v>186</c:v>
                </c:pt>
                <c:pt idx="23">
                  <c:v>186</c:v>
                </c:pt>
                <c:pt idx="24">
                  <c:v>186</c:v>
                </c:pt>
                <c:pt idx="25">
                  <c:v>186</c:v>
                </c:pt>
                <c:pt idx="26">
                  <c:v>186</c:v>
                </c:pt>
                <c:pt idx="27">
                  <c:v>186</c:v>
                </c:pt>
                <c:pt idx="28">
                  <c:v>186</c:v>
                </c:pt>
                <c:pt idx="29">
                  <c:v>186</c:v>
                </c:pt>
                <c:pt idx="30">
                  <c:v>186</c:v>
                </c:pt>
                <c:pt idx="31">
                  <c:v>186</c:v>
                </c:pt>
                <c:pt idx="32">
                  <c:v>186</c:v>
                </c:pt>
                <c:pt idx="33">
                  <c:v>186</c:v>
                </c:pt>
                <c:pt idx="34">
                  <c:v>186</c:v>
                </c:pt>
                <c:pt idx="35">
                  <c:v>186</c:v>
                </c:pt>
                <c:pt idx="36">
                  <c:v>186</c:v>
                </c:pt>
              </c:numCache>
            </c:numRef>
          </c:val>
          <c:smooth val="0"/>
          <c:extLst>
            <c:ext xmlns:c16="http://schemas.microsoft.com/office/drawing/2014/chart" uri="{C3380CC4-5D6E-409C-BE32-E72D297353CC}">
              <c16:uniqueId val="{00000006-57B2-4FA3-9403-780D3B140EFD}"/>
            </c:ext>
          </c:extLst>
        </c:ser>
        <c:dLbls>
          <c:showLegendKey val="0"/>
          <c:showVal val="0"/>
          <c:showCatName val="0"/>
          <c:showSerName val="0"/>
          <c:showPercent val="0"/>
          <c:showBubbleSize val="0"/>
        </c:dLbls>
        <c:marker val="1"/>
        <c:smooth val="0"/>
        <c:axId val="49575936"/>
        <c:axId val="48700736"/>
      </c:lineChart>
      <c:dateAx>
        <c:axId val="495759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39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700736"/>
        <c:crosses val="autoZero"/>
        <c:auto val="1"/>
        <c:lblOffset val="100"/>
        <c:baseTimeUnit val="months"/>
      </c:dateAx>
      <c:valAx>
        <c:axId val="4870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Secondary Fires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5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Accidental Dwelling Fires</a:t>
            </a:r>
          </a:p>
        </c:rich>
      </c:tx>
      <c:layout/>
      <c:overlay val="0"/>
      <c:spPr>
        <a:noFill/>
        <a:ln>
          <a:noFill/>
        </a:ln>
        <a:effectLst/>
      </c:spPr>
    </c:title>
    <c:autoTitleDeleted val="0"/>
    <c:plotArea>
      <c:layout/>
      <c:barChart>
        <c:barDir val="col"/>
        <c:grouping val="clustered"/>
        <c:varyColors val="0"/>
        <c:ser>
          <c:idx val="0"/>
          <c:order val="0"/>
          <c:tx>
            <c:strRef>
              <c:f>'ADF''s'!$B$1</c:f>
              <c:strCache>
                <c:ptCount val="1"/>
                <c:pt idx="0">
                  <c:v>Accidental Dwelling Fires</c:v>
                </c:pt>
              </c:strCache>
            </c:strRef>
          </c:tx>
          <c:spPr>
            <a:solidFill>
              <a:srgbClr val="4472C4"/>
            </a:solidFill>
            <a:ln>
              <a:noFill/>
            </a:ln>
            <a:effectLst/>
          </c:spPr>
          <c:invertIfNegative val="0"/>
          <c:dLbls>
            <c:dLbl>
              <c:idx val="2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1CB-48C6-977F-C648760D635F}"/>
                </c:ext>
              </c:extLst>
            </c:dLbl>
            <c:dLbl>
              <c:idx val="2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1CB-48C6-977F-C648760D635F}"/>
                </c:ext>
              </c:extLst>
            </c:dLbl>
            <c:dLbl>
              <c:idx val="28"/>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1CB-48C6-977F-C648760D635F}"/>
                </c:ext>
              </c:extLst>
            </c:dLbl>
            <c:dLbl>
              <c:idx val="2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1CB-48C6-977F-C648760D635F}"/>
                </c:ext>
              </c:extLst>
            </c:dLbl>
            <c:dLbl>
              <c:idx val="3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1CB-48C6-977F-C648760D635F}"/>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'ADF''s'!$A$2:$A$32</c:f>
              <c:numCache>
                <c:formatCode>mmm\-yy</c:formatCode>
                <c:ptCount val="31"/>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numCache>
            </c:numRef>
          </c:cat>
          <c:val>
            <c:numRef>
              <c:f>'ADF''s'!$B$2:$B$32</c:f>
              <c:numCache>
                <c:formatCode>General</c:formatCode>
                <c:ptCount val="31"/>
                <c:pt idx="0">
                  <c:v>66</c:v>
                </c:pt>
                <c:pt idx="1">
                  <c:v>92</c:v>
                </c:pt>
                <c:pt idx="2">
                  <c:v>80</c:v>
                </c:pt>
                <c:pt idx="3">
                  <c:v>48</c:v>
                </c:pt>
                <c:pt idx="4">
                  <c:v>74</c:v>
                </c:pt>
                <c:pt idx="5">
                  <c:v>76</c:v>
                </c:pt>
                <c:pt idx="6">
                  <c:v>71</c:v>
                </c:pt>
                <c:pt idx="7">
                  <c:v>54</c:v>
                </c:pt>
                <c:pt idx="8">
                  <c:v>72</c:v>
                </c:pt>
                <c:pt idx="9">
                  <c:v>75</c:v>
                </c:pt>
                <c:pt idx="10">
                  <c:v>85</c:v>
                </c:pt>
                <c:pt idx="11">
                  <c:v>75</c:v>
                </c:pt>
                <c:pt idx="12">
                  <c:v>78</c:v>
                </c:pt>
                <c:pt idx="13">
                  <c:v>62</c:v>
                </c:pt>
                <c:pt idx="14">
                  <c:v>52</c:v>
                </c:pt>
                <c:pt idx="15">
                  <c:v>57</c:v>
                </c:pt>
                <c:pt idx="16">
                  <c:v>66</c:v>
                </c:pt>
                <c:pt idx="17">
                  <c:v>65</c:v>
                </c:pt>
                <c:pt idx="18">
                  <c:v>77</c:v>
                </c:pt>
                <c:pt idx="19">
                  <c:v>81</c:v>
                </c:pt>
                <c:pt idx="20">
                  <c:v>56</c:v>
                </c:pt>
                <c:pt idx="21">
                  <c:v>67</c:v>
                </c:pt>
                <c:pt idx="22">
                  <c:v>70</c:v>
                </c:pt>
                <c:pt idx="23">
                  <c:v>71</c:v>
                </c:pt>
                <c:pt idx="24">
                  <c:v>70</c:v>
                </c:pt>
                <c:pt idx="25">
                  <c:v>65</c:v>
                </c:pt>
                <c:pt idx="26">
                  <c:v>67</c:v>
                </c:pt>
                <c:pt idx="27">
                  <c:v>67</c:v>
                </c:pt>
                <c:pt idx="28">
                  <c:v>71</c:v>
                </c:pt>
                <c:pt idx="29">
                  <c:v>67</c:v>
                </c:pt>
                <c:pt idx="30">
                  <c:v>55</c:v>
                </c:pt>
              </c:numCache>
            </c:numRef>
          </c:val>
          <c:extLst>
            <c:ext xmlns:c16="http://schemas.microsoft.com/office/drawing/2014/chart" uri="{C3380CC4-5D6E-409C-BE32-E72D297353CC}">
              <c16:uniqueId val="{00000005-D1CB-48C6-977F-C648760D635F}"/>
            </c:ext>
          </c:extLst>
        </c:ser>
        <c:dLbls>
          <c:showLegendKey val="0"/>
          <c:showVal val="0"/>
          <c:showCatName val="0"/>
          <c:showSerName val="0"/>
          <c:showPercent val="0"/>
          <c:showBubbleSize val="0"/>
        </c:dLbls>
        <c:gapWidth val="150"/>
        <c:axId val="49576960"/>
        <c:axId val="48699584"/>
      </c:barChart>
      <c:lineChart>
        <c:grouping val="standard"/>
        <c:varyColors val="0"/>
        <c:ser>
          <c:idx val="1"/>
          <c:order val="1"/>
          <c:tx>
            <c:strRef>
              <c:f>'ADF''s'!$C$1</c:f>
              <c:strCache>
                <c:ptCount val="1"/>
                <c:pt idx="0">
                  <c:v>Average</c:v>
                </c:pt>
              </c:strCache>
            </c:strRef>
          </c:tx>
          <c:spPr>
            <a:ln w="28575" cap="rnd">
              <a:solidFill>
                <a:schemeClr val="accent2"/>
              </a:solidFill>
              <a:round/>
            </a:ln>
            <a:effectLst/>
          </c:spPr>
          <c:marker>
            <c:symbol val="none"/>
          </c:marker>
          <c:cat>
            <c:numRef>
              <c:f>'ADF''s'!$A$2:$A$32</c:f>
              <c:numCache>
                <c:formatCode>mmm\-yy</c:formatCode>
                <c:ptCount val="31"/>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numCache>
            </c:numRef>
          </c:cat>
          <c:val>
            <c:numRef>
              <c:f>'ADF''s'!$C$2:$C$32</c:f>
              <c:numCache>
                <c:formatCode>General</c:formatCode>
                <c:ptCount val="31"/>
                <c:pt idx="0">
                  <c:v>69</c:v>
                </c:pt>
                <c:pt idx="1">
                  <c:v>69</c:v>
                </c:pt>
                <c:pt idx="2">
                  <c:v>69</c:v>
                </c:pt>
                <c:pt idx="3">
                  <c:v>69</c:v>
                </c:pt>
                <c:pt idx="4">
                  <c:v>69</c:v>
                </c:pt>
                <c:pt idx="5">
                  <c:v>69</c:v>
                </c:pt>
                <c:pt idx="6">
                  <c:v>69</c:v>
                </c:pt>
                <c:pt idx="7">
                  <c:v>69</c:v>
                </c:pt>
                <c:pt idx="8">
                  <c:v>69</c:v>
                </c:pt>
                <c:pt idx="9">
                  <c:v>69</c:v>
                </c:pt>
                <c:pt idx="10">
                  <c:v>69</c:v>
                </c:pt>
                <c:pt idx="11">
                  <c:v>69</c:v>
                </c:pt>
                <c:pt idx="12">
                  <c:v>69</c:v>
                </c:pt>
                <c:pt idx="13">
                  <c:v>69</c:v>
                </c:pt>
                <c:pt idx="14">
                  <c:v>69</c:v>
                </c:pt>
                <c:pt idx="15">
                  <c:v>69</c:v>
                </c:pt>
                <c:pt idx="16">
                  <c:v>69</c:v>
                </c:pt>
                <c:pt idx="17">
                  <c:v>69</c:v>
                </c:pt>
                <c:pt idx="18">
                  <c:v>69</c:v>
                </c:pt>
                <c:pt idx="19">
                  <c:v>69</c:v>
                </c:pt>
                <c:pt idx="20">
                  <c:v>69</c:v>
                </c:pt>
                <c:pt idx="21">
                  <c:v>69</c:v>
                </c:pt>
                <c:pt idx="22">
                  <c:v>69</c:v>
                </c:pt>
                <c:pt idx="23">
                  <c:v>69</c:v>
                </c:pt>
                <c:pt idx="24">
                  <c:v>69</c:v>
                </c:pt>
                <c:pt idx="25">
                  <c:v>69</c:v>
                </c:pt>
                <c:pt idx="26">
                  <c:v>69</c:v>
                </c:pt>
                <c:pt idx="27">
                  <c:v>69</c:v>
                </c:pt>
                <c:pt idx="28">
                  <c:v>69</c:v>
                </c:pt>
                <c:pt idx="29">
                  <c:v>69</c:v>
                </c:pt>
                <c:pt idx="30">
                  <c:v>69</c:v>
                </c:pt>
              </c:numCache>
            </c:numRef>
          </c:val>
          <c:smooth val="0"/>
          <c:extLst>
            <c:ext xmlns:c16="http://schemas.microsoft.com/office/drawing/2014/chart" uri="{C3380CC4-5D6E-409C-BE32-E72D297353CC}">
              <c16:uniqueId val="{00000006-D1CB-48C6-977F-C648760D635F}"/>
            </c:ext>
          </c:extLst>
        </c:ser>
        <c:dLbls>
          <c:showLegendKey val="0"/>
          <c:showVal val="0"/>
          <c:showCatName val="0"/>
          <c:showSerName val="0"/>
          <c:showPercent val="0"/>
          <c:showBubbleSize val="0"/>
        </c:dLbls>
        <c:marker val="1"/>
        <c:smooth val="0"/>
        <c:axId val="49576960"/>
        <c:axId val="48699584"/>
      </c:lineChart>
      <c:dateAx>
        <c:axId val="4957696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99584"/>
        <c:crosses val="autoZero"/>
        <c:auto val="1"/>
        <c:lblOffset val="100"/>
        <c:baseTimeUnit val="months"/>
      </c:dateAx>
      <c:valAx>
        <c:axId val="48699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Accidental Dwelling Fires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76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False Alarms</a:t>
            </a:r>
          </a:p>
        </c:rich>
      </c:tx>
      <c:layout/>
      <c:overlay val="0"/>
      <c:spPr>
        <a:noFill/>
        <a:ln>
          <a:noFill/>
        </a:ln>
        <a:effectLst/>
      </c:spPr>
    </c:title>
    <c:autoTitleDeleted val="0"/>
    <c:plotArea>
      <c:layout/>
      <c:barChart>
        <c:barDir val="col"/>
        <c:grouping val="clustered"/>
        <c:varyColors val="0"/>
        <c:ser>
          <c:idx val="0"/>
          <c:order val="0"/>
          <c:tx>
            <c:strRef>
              <c:f>'false alarms'!$B$1</c:f>
              <c:strCache>
                <c:ptCount val="1"/>
                <c:pt idx="0">
                  <c:v>Last Year</c:v>
                </c:pt>
              </c:strCache>
            </c:strRef>
          </c:tx>
          <c:spPr>
            <a:solidFill>
              <a:schemeClr val="bg2">
                <a:lumMod val="90000"/>
              </a:schemeClr>
            </a:solidFill>
            <a:ln>
              <a:noFill/>
            </a:ln>
            <a:effectLst/>
          </c:spPr>
          <c:invertIfNegative val="0"/>
          <c:cat>
            <c:numRef>
              <c:f>'false alarms'!$A$8:$A$44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'false alarms'!$B$8:$B$44</c:f>
              <c:numCache>
                <c:formatCode>General</c:formatCode>
                <c:ptCount val="37"/>
                <c:pt idx="18">
                  <c:v>463</c:v>
                </c:pt>
                <c:pt idx="19">
                  <c:v>415</c:v>
                </c:pt>
                <c:pt idx="20">
                  <c:v>463</c:v>
                </c:pt>
                <c:pt idx="21">
                  <c:v>449</c:v>
                </c:pt>
                <c:pt idx="22">
                  <c:v>500</c:v>
                </c:pt>
                <c:pt idx="23">
                  <c:v>477</c:v>
                </c:pt>
                <c:pt idx="24">
                  <c:v>562</c:v>
                </c:pt>
                <c:pt idx="25">
                  <c:v>599</c:v>
                </c:pt>
                <c:pt idx="26">
                  <c:v>602</c:v>
                </c:pt>
                <c:pt idx="27">
                  <c:v>538</c:v>
                </c:pt>
                <c:pt idx="28">
                  <c:v>517</c:v>
                </c:pt>
                <c:pt idx="29">
                  <c:v>467</c:v>
                </c:pt>
                <c:pt idx="30">
                  <c:v>448</c:v>
                </c:pt>
                <c:pt idx="31">
                  <c:v>440</c:v>
                </c:pt>
                <c:pt idx="32">
                  <c:v>474</c:v>
                </c:pt>
                <c:pt idx="33">
                  <c:v>507</c:v>
                </c:pt>
                <c:pt idx="34">
                  <c:v>466</c:v>
                </c:pt>
                <c:pt idx="35">
                  <c:v>641</c:v>
                </c:pt>
                <c:pt idx="36">
                  <c:v>548</c:v>
                </c:pt>
              </c:numCache>
            </c:numRef>
          </c:val>
          <c:extLst>
            <c:ext xmlns:c16="http://schemas.microsoft.com/office/drawing/2014/chart" uri="{C3380CC4-5D6E-409C-BE32-E72D297353CC}">
              <c16:uniqueId val="{00000000-AC44-408E-B73F-FC1D80783C02}"/>
            </c:ext>
          </c:extLst>
        </c:ser>
        <c:ser>
          <c:idx val="1"/>
          <c:order val="1"/>
          <c:tx>
            <c:strRef>
              <c:f>'false alarms'!$C$1</c:f>
              <c:strCache>
                <c:ptCount val="1"/>
                <c:pt idx="0">
                  <c:v>False Alarms</c:v>
                </c:pt>
              </c:strCache>
            </c:strRef>
          </c:tx>
          <c:spPr>
            <a:solidFill>
              <a:schemeClr val="accent5"/>
            </a:solidFill>
            <a:ln>
              <a:noFill/>
            </a:ln>
            <a:effectLst/>
          </c:spPr>
          <c:invertIfNegative val="0"/>
          <c:dLbls>
            <c:dLbl>
              <c:idx val="3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44-408E-B73F-FC1D80783C02}"/>
                </c:ext>
              </c:extLst>
            </c:dLbl>
            <c:dLbl>
              <c:idx val="3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C44-408E-B73F-FC1D80783C02}"/>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15:showLeaderLines val="1"/>
                <c15:leaderLines>
                  <c:spPr>
                    <a:ln w="9525" cap="flat" cmpd="sng" algn="ctr">
                      <a:solidFill>
                        <a:schemeClr val="tx1">
                          <a:lumMod val="35000"/>
                          <a:lumOff val="65000"/>
                        </a:schemeClr>
                      </a:solidFill>
                      <a:round/>
                    </a:ln>
                    <a:effectLst/>
                  </c:spPr>
                </c15:leaderLines>
              </c:ext>
            </c:extLst>
          </c:dLbls>
          <c:cat>
            <c:numRef>
              <c:f>'false alarms'!$A$8:$A$44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'false alarms'!$C$8:$C$44</c:f>
              <c:numCache>
                <c:formatCode>General</c:formatCode>
                <c:ptCount val="37"/>
                <c:pt idx="0">
                  <c:v>578</c:v>
                </c:pt>
                <c:pt idx="1">
                  <c:v>562</c:v>
                </c:pt>
                <c:pt idx="2">
                  <c:v>556</c:v>
                </c:pt>
                <c:pt idx="3">
                  <c:v>549</c:v>
                </c:pt>
                <c:pt idx="4">
                  <c:v>503</c:v>
                </c:pt>
                <c:pt idx="5">
                  <c:v>464</c:v>
                </c:pt>
                <c:pt idx="6">
                  <c:v>463</c:v>
                </c:pt>
                <c:pt idx="7">
                  <c:v>415</c:v>
                </c:pt>
                <c:pt idx="8">
                  <c:v>463</c:v>
                </c:pt>
                <c:pt idx="9">
                  <c:v>449</c:v>
                </c:pt>
                <c:pt idx="10">
                  <c:v>500</c:v>
                </c:pt>
                <c:pt idx="11">
                  <c:v>477</c:v>
                </c:pt>
                <c:pt idx="12">
                  <c:v>562</c:v>
                </c:pt>
                <c:pt idx="13">
                  <c:v>599</c:v>
                </c:pt>
                <c:pt idx="14">
                  <c:v>602</c:v>
                </c:pt>
                <c:pt idx="15">
                  <c:v>538</c:v>
                </c:pt>
                <c:pt idx="16">
                  <c:v>517</c:v>
                </c:pt>
                <c:pt idx="17">
                  <c:v>467</c:v>
                </c:pt>
                <c:pt idx="18">
                  <c:v>448</c:v>
                </c:pt>
                <c:pt idx="19">
                  <c:v>440</c:v>
                </c:pt>
                <c:pt idx="20">
                  <c:v>474</c:v>
                </c:pt>
                <c:pt idx="21">
                  <c:v>507</c:v>
                </c:pt>
                <c:pt idx="22">
                  <c:v>466</c:v>
                </c:pt>
                <c:pt idx="23">
                  <c:v>601</c:v>
                </c:pt>
                <c:pt idx="24">
                  <c:v>641</c:v>
                </c:pt>
                <c:pt idx="25">
                  <c:v>548</c:v>
                </c:pt>
                <c:pt idx="26">
                  <c:v>508</c:v>
                </c:pt>
                <c:pt idx="27">
                  <c:v>538</c:v>
                </c:pt>
                <c:pt idx="28">
                  <c:v>590</c:v>
                </c:pt>
                <c:pt idx="29">
                  <c:v>496</c:v>
                </c:pt>
                <c:pt idx="30">
                  <c:v>460</c:v>
                </c:pt>
                <c:pt idx="31">
                  <c:v>432</c:v>
                </c:pt>
                <c:pt idx="32">
                  <c:v>516</c:v>
                </c:pt>
                <c:pt idx="33">
                  <c:v>429</c:v>
                </c:pt>
                <c:pt idx="34">
                  <c:v>538</c:v>
                </c:pt>
                <c:pt idx="35">
                  <c:v>537</c:v>
                </c:pt>
                <c:pt idx="36">
                  <c:v>642</c:v>
                </c:pt>
              </c:numCache>
            </c:numRef>
          </c:val>
          <c:extLst>
            <c:ext xmlns:c16="http://schemas.microsoft.com/office/drawing/2014/chart" uri="{C3380CC4-5D6E-409C-BE32-E72D297353CC}">
              <c16:uniqueId val="{00000003-AC44-408E-B73F-FC1D80783C02}"/>
            </c:ext>
          </c:extLst>
        </c:ser>
        <c:dLbls>
          <c:showLegendKey val="0"/>
          <c:showVal val="0"/>
          <c:showCatName val="0"/>
          <c:showSerName val="0"/>
          <c:showPercent val="0"/>
          <c:showBubbleSize val="0"/>
        </c:dLbls>
        <c:gapWidth val="219"/>
        <c:overlap val="-27"/>
        <c:axId val="49374720"/>
        <c:axId val="49210496"/>
      </c:barChart>
      <c:lineChart>
        <c:grouping val="standard"/>
        <c:varyColors val="0"/>
        <c:ser>
          <c:idx val="2"/>
          <c:order val="2"/>
          <c:tx>
            <c:strRef>
              <c:f>'false alarms'!$D$1</c:f>
              <c:strCache>
                <c:ptCount val="1"/>
                <c:pt idx="0">
                  <c:v>Average</c:v>
                </c:pt>
              </c:strCache>
            </c:strRef>
          </c:tx>
          <c:spPr>
            <a:ln w="28575" cap="rnd">
              <a:solidFill>
                <a:schemeClr val="accent2"/>
              </a:solidFill>
              <a:round/>
            </a:ln>
            <a:effectLst/>
          </c:spPr>
          <c:marker>
            <c:symbol val="none"/>
          </c:marker>
          <c:cat>
            <c:numRef>
              <c:f>'false alarms'!$A$8:$A$44</c:f>
              <c:numCache>
                <c:formatCode>mmm\-yy</c:formatCode>
                <c:ptCount val="37"/>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numCache>
            </c:numRef>
          </c:cat>
          <c:val>
            <c:numRef>
              <c:f>'false alarms'!$D$8:$D$44</c:f>
              <c:numCache>
                <c:formatCode>General</c:formatCode>
                <c:ptCount val="37"/>
                <c:pt idx="0">
                  <c:v>502</c:v>
                </c:pt>
                <c:pt idx="1">
                  <c:v>502</c:v>
                </c:pt>
                <c:pt idx="2">
                  <c:v>502</c:v>
                </c:pt>
                <c:pt idx="3">
                  <c:v>502</c:v>
                </c:pt>
                <c:pt idx="4">
                  <c:v>502</c:v>
                </c:pt>
                <c:pt idx="5">
                  <c:v>502</c:v>
                </c:pt>
                <c:pt idx="6">
                  <c:v>502</c:v>
                </c:pt>
                <c:pt idx="7">
                  <c:v>502</c:v>
                </c:pt>
                <c:pt idx="8">
                  <c:v>502</c:v>
                </c:pt>
                <c:pt idx="9">
                  <c:v>502</c:v>
                </c:pt>
                <c:pt idx="10">
                  <c:v>502</c:v>
                </c:pt>
                <c:pt idx="11">
                  <c:v>502</c:v>
                </c:pt>
                <c:pt idx="12">
                  <c:v>502</c:v>
                </c:pt>
                <c:pt idx="13">
                  <c:v>502</c:v>
                </c:pt>
                <c:pt idx="14">
                  <c:v>502</c:v>
                </c:pt>
                <c:pt idx="15">
                  <c:v>502</c:v>
                </c:pt>
                <c:pt idx="16">
                  <c:v>502</c:v>
                </c:pt>
                <c:pt idx="17">
                  <c:v>502</c:v>
                </c:pt>
                <c:pt idx="18">
                  <c:v>502</c:v>
                </c:pt>
                <c:pt idx="19">
                  <c:v>502</c:v>
                </c:pt>
                <c:pt idx="20">
                  <c:v>502</c:v>
                </c:pt>
                <c:pt idx="21">
                  <c:v>502</c:v>
                </c:pt>
                <c:pt idx="22">
                  <c:v>502</c:v>
                </c:pt>
                <c:pt idx="23">
                  <c:v>502</c:v>
                </c:pt>
                <c:pt idx="24">
                  <c:v>502</c:v>
                </c:pt>
                <c:pt idx="25">
                  <c:v>502</c:v>
                </c:pt>
                <c:pt idx="26">
                  <c:v>502</c:v>
                </c:pt>
                <c:pt idx="27">
                  <c:v>502</c:v>
                </c:pt>
                <c:pt idx="28">
                  <c:v>502</c:v>
                </c:pt>
                <c:pt idx="29">
                  <c:v>502</c:v>
                </c:pt>
                <c:pt idx="30">
                  <c:v>502</c:v>
                </c:pt>
                <c:pt idx="31">
                  <c:v>502</c:v>
                </c:pt>
                <c:pt idx="32">
                  <c:v>502</c:v>
                </c:pt>
                <c:pt idx="33">
                  <c:v>502</c:v>
                </c:pt>
                <c:pt idx="34">
                  <c:v>502</c:v>
                </c:pt>
                <c:pt idx="35">
                  <c:v>502</c:v>
                </c:pt>
                <c:pt idx="36">
                  <c:v>502</c:v>
                </c:pt>
              </c:numCache>
            </c:numRef>
          </c:val>
          <c:smooth val="0"/>
          <c:extLst>
            <c:ext xmlns:c16="http://schemas.microsoft.com/office/drawing/2014/chart" uri="{C3380CC4-5D6E-409C-BE32-E72D297353CC}">
              <c16:uniqueId val="{00000004-AC44-408E-B73F-FC1D80783C02}"/>
            </c:ext>
          </c:extLst>
        </c:ser>
        <c:dLbls>
          <c:showLegendKey val="0"/>
          <c:showVal val="0"/>
          <c:showCatName val="0"/>
          <c:showSerName val="0"/>
          <c:showPercent val="0"/>
          <c:showBubbleSize val="0"/>
        </c:dLbls>
        <c:marker val="1"/>
        <c:smooth val="0"/>
        <c:axId val="49374720"/>
        <c:axId val="49210496"/>
      </c:lineChart>
      <c:dateAx>
        <c:axId val="493747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10496"/>
        <c:crosses val="autoZero"/>
        <c:auto val="1"/>
        <c:lblOffset val="100"/>
        <c:baseTimeUnit val="months"/>
      </c:dateAx>
      <c:valAx>
        <c:axId val="49210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False Alarms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74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RTC's by Station</a:t>
            </a:r>
          </a:p>
        </c:rich>
      </c:tx>
      <c:layout/>
      <c:overlay val="0"/>
      <c:spPr>
        <a:noFill/>
        <a:ln>
          <a:noFill/>
        </a:ln>
        <a:effectLst/>
      </c:spPr>
    </c:title>
    <c:autoTitleDeleted val="0"/>
    <c:plotArea>
      <c:layout/>
      <c:barChart>
        <c:barDir val="col"/>
        <c:grouping val="clustered"/>
        <c:varyColors val="0"/>
        <c:ser>
          <c:idx val="0"/>
          <c:order val="0"/>
          <c:tx>
            <c:strRef>
              <c:f>'RTC''s'!$B$1</c:f>
              <c:strCache>
                <c:ptCount val="1"/>
                <c:pt idx="0">
                  <c:v>June</c:v>
                </c:pt>
              </c:strCache>
            </c:strRef>
          </c:tx>
          <c:spPr>
            <a:solidFill>
              <a:schemeClr val="accent5"/>
            </a:solidFill>
            <a:ln>
              <a:noFill/>
            </a:ln>
            <a:effectLst/>
          </c:spPr>
          <c:invertIfNegative val="0"/>
          <c:cat>
            <c:strRef>
              <c:f>'RTC''s'!$A$2:$A$31</c:f>
              <c:strCache>
                <c:ptCount val="30"/>
                <c:pt idx="0">
                  <c:v>Rayleigh Weir</c:v>
                </c:pt>
                <c:pt idx="1">
                  <c:v>Grays</c:v>
                </c:pt>
                <c:pt idx="2">
                  <c:v>Stansted</c:v>
                </c:pt>
                <c:pt idx="3">
                  <c:v>Southend</c:v>
                </c:pt>
                <c:pt idx="4">
                  <c:v>Braintree</c:v>
                </c:pt>
                <c:pt idx="5">
                  <c:v>Harlow Central</c:v>
                </c:pt>
                <c:pt idx="6">
                  <c:v>Colchester</c:v>
                </c:pt>
                <c:pt idx="7">
                  <c:v>Basildon</c:v>
                </c:pt>
                <c:pt idx="8">
                  <c:v>Chelmsford</c:v>
                </c:pt>
                <c:pt idx="9">
                  <c:v>Brentwood</c:v>
                </c:pt>
                <c:pt idx="10">
                  <c:v>Clacton</c:v>
                </c:pt>
                <c:pt idx="11">
                  <c:v>Epping</c:v>
                </c:pt>
                <c:pt idx="12">
                  <c:v>Loughton</c:v>
                </c:pt>
                <c:pt idx="13">
                  <c:v>Maldon</c:v>
                </c:pt>
                <c:pt idx="14">
                  <c:v>Leigh</c:v>
                </c:pt>
                <c:pt idx="15">
                  <c:v>Saffron Walden</c:v>
                </c:pt>
                <c:pt idx="16">
                  <c:v>South Woodham</c:v>
                </c:pt>
                <c:pt idx="17">
                  <c:v>Waltham Abbey</c:v>
                </c:pt>
                <c:pt idx="18">
                  <c:v>Dunmow</c:v>
                </c:pt>
                <c:pt idx="19">
                  <c:v>Rochford</c:v>
                </c:pt>
                <c:pt idx="20">
                  <c:v>Weeley</c:v>
                </c:pt>
                <c:pt idx="21">
                  <c:v>Tiptree</c:v>
                </c:pt>
                <c:pt idx="22">
                  <c:v>Great Baddow</c:v>
                </c:pt>
                <c:pt idx="23">
                  <c:v>Dovercourt</c:v>
                </c:pt>
                <c:pt idx="24">
                  <c:v>Corringham</c:v>
                </c:pt>
                <c:pt idx="25">
                  <c:v>Witham</c:v>
                </c:pt>
                <c:pt idx="26">
                  <c:v>Wickford</c:v>
                </c:pt>
                <c:pt idx="27">
                  <c:v>Frinton</c:v>
                </c:pt>
                <c:pt idx="28">
                  <c:v>Billericay</c:v>
                </c:pt>
                <c:pt idx="29">
                  <c:v>Hawkwell</c:v>
                </c:pt>
              </c:strCache>
            </c:strRef>
          </c:cat>
          <c:val>
            <c:numRef>
              <c:f>'RTC''s'!$B$2:$B$31</c:f>
              <c:numCache>
                <c:formatCode>General</c:formatCode>
                <c:ptCount val="30"/>
                <c:pt idx="0">
                  <c:v>8</c:v>
                </c:pt>
                <c:pt idx="1">
                  <c:v>7</c:v>
                </c:pt>
                <c:pt idx="2">
                  <c:v>6</c:v>
                </c:pt>
                <c:pt idx="3">
                  <c:v>6</c:v>
                </c:pt>
                <c:pt idx="4">
                  <c:v>6</c:v>
                </c:pt>
                <c:pt idx="5">
                  <c:v>6</c:v>
                </c:pt>
                <c:pt idx="6">
                  <c:v>5</c:v>
                </c:pt>
                <c:pt idx="7">
                  <c:v>5</c:v>
                </c:pt>
                <c:pt idx="8">
                  <c:v>4</c:v>
                </c:pt>
                <c:pt idx="9">
                  <c:v>4</c:v>
                </c:pt>
                <c:pt idx="10">
                  <c:v>4</c:v>
                </c:pt>
                <c:pt idx="11">
                  <c:v>4</c:v>
                </c:pt>
                <c:pt idx="12">
                  <c:v>4</c:v>
                </c:pt>
                <c:pt idx="13">
                  <c:v>3</c:v>
                </c:pt>
                <c:pt idx="14">
                  <c:v>3</c:v>
                </c:pt>
                <c:pt idx="15">
                  <c:v>2</c:v>
                </c:pt>
                <c:pt idx="16">
                  <c:v>2</c:v>
                </c:pt>
                <c:pt idx="17">
                  <c:v>2</c:v>
                </c:pt>
                <c:pt idx="18">
                  <c:v>2</c:v>
                </c:pt>
                <c:pt idx="19">
                  <c:v>2</c:v>
                </c:pt>
                <c:pt idx="20">
                  <c:v>1</c:v>
                </c:pt>
                <c:pt idx="21">
                  <c:v>1</c:v>
                </c:pt>
                <c:pt idx="22">
                  <c:v>1</c:v>
                </c:pt>
                <c:pt idx="23">
                  <c:v>1</c:v>
                </c:pt>
                <c:pt idx="24">
                  <c:v>1</c:v>
                </c:pt>
                <c:pt idx="25">
                  <c:v>1</c:v>
                </c:pt>
                <c:pt idx="26">
                  <c:v>1</c:v>
                </c:pt>
                <c:pt idx="27">
                  <c:v>1</c:v>
                </c:pt>
                <c:pt idx="28">
                  <c:v>1</c:v>
                </c:pt>
                <c:pt idx="29">
                  <c:v>1</c:v>
                </c:pt>
              </c:numCache>
            </c:numRef>
          </c:val>
          <c:extLst>
            <c:ext xmlns:c16="http://schemas.microsoft.com/office/drawing/2014/chart" uri="{C3380CC4-5D6E-409C-BE32-E72D297353CC}">
              <c16:uniqueId val="{00000000-3084-4496-AA47-9AC2F212D404}"/>
            </c:ext>
          </c:extLst>
        </c:ser>
        <c:dLbls>
          <c:showLegendKey val="0"/>
          <c:showVal val="0"/>
          <c:showCatName val="0"/>
          <c:showSerName val="0"/>
          <c:showPercent val="0"/>
          <c:showBubbleSize val="0"/>
        </c:dLbls>
        <c:gapWidth val="219"/>
        <c:overlap val="-27"/>
        <c:axId val="49958912"/>
        <c:axId val="49213376"/>
      </c:barChart>
      <c:catAx>
        <c:axId val="4995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13376"/>
        <c:crosses val="autoZero"/>
        <c:auto val="1"/>
        <c:lblAlgn val="ctr"/>
        <c:lblOffset val="100"/>
        <c:noMultiLvlLbl val="0"/>
      </c:catAx>
      <c:valAx>
        <c:axId val="4921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5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Accidents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Sheet1!$A$2:$A$7</c:f>
              <c:strCache>
                <c:ptCount val="6"/>
                <c:pt idx="0">
                  <c:v>FEB</c:v>
                </c:pt>
                <c:pt idx="1">
                  <c:v>MAR</c:v>
                </c:pt>
                <c:pt idx="2">
                  <c:v>APR</c:v>
                </c:pt>
                <c:pt idx="3">
                  <c:v>MAY</c:v>
                </c:pt>
                <c:pt idx="4">
                  <c:v>JUN</c:v>
                </c:pt>
                <c:pt idx="5">
                  <c:v>JUL</c:v>
                </c:pt>
              </c:strCache>
            </c:strRef>
          </c:cat>
          <c:val>
            <c:numRef>
              <c:f>Sheet1!$B$2:$B$7</c:f>
              <c:numCache>
                <c:formatCode>General</c:formatCode>
                <c:ptCount val="6"/>
                <c:pt idx="0">
                  <c:v>17</c:v>
                </c:pt>
                <c:pt idx="1">
                  <c:v>9</c:v>
                </c:pt>
                <c:pt idx="2">
                  <c:v>8</c:v>
                </c:pt>
                <c:pt idx="3">
                  <c:v>13</c:v>
                </c:pt>
                <c:pt idx="4">
                  <c:v>11</c:v>
                </c:pt>
                <c:pt idx="5">
                  <c:v>17</c:v>
                </c:pt>
              </c:numCache>
            </c:numRef>
          </c:val>
          <c:extLst>
            <c:ext xmlns:c16="http://schemas.microsoft.com/office/drawing/2014/chart" uri="{C3380CC4-5D6E-409C-BE32-E72D297353CC}">
              <c16:uniqueId val="{00000000-55AD-4FB0-BB91-F71A3CA31693}"/>
            </c:ext>
          </c:extLst>
        </c:ser>
        <c:dLbls>
          <c:showLegendKey val="0"/>
          <c:showVal val="0"/>
          <c:showCatName val="0"/>
          <c:showSerName val="0"/>
          <c:showPercent val="0"/>
          <c:showBubbleSize val="0"/>
        </c:dLbls>
        <c:gapWidth val="219"/>
        <c:overlap val="-27"/>
        <c:axId val="49376256"/>
        <c:axId val="49213952"/>
      </c:barChart>
      <c:catAx>
        <c:axId val="4937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13952"/>
        <c:crosses val="autoZero"/>
        <c:auto val="1"/>
        <c:lblAlgn val="ctr"/>
        <c:lblOffset val="100"/>
        <c:noMultiLvlLbl val="0"/>
      </c:catAx>
      <c:valAx>
        <c:axId val="4921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762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Hazards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Sheet1!$A$14:$A$19</c:f>
              <c:strCache>
                <c:ptCount val="6"/>
                <c:pt idx="0">
                  <c:v>FEB</c:v>
                </c:pt>
                <c:pt idx="1">
                  <c:v>MAR</c:v>
                </c:pt>
                <c:pt idx="2">
                  <c:v>APR</c:v>
                </c:pt>
                <c:pt idx="3">
                  <c:v>MAY</c:v>
                </c:pt>
                <c:pt idx="4">
                  <c:v>JUN</c:v>
                </c:pt>
                <c:pt idx="5">
                  <c:v>JUL</c:v>
                </c:pt>
              </c:strCache>
            </c:strRef>
          </c:cat>
          <c:val>
            <c:numRef>
              <c:f>Sheet1!$B$14:$B$19</c:f>
              <c:numCache>
                <c:formatCode>General</c:formatCode>
                <c:ptCount val="6"/>
                <c:pt idx="0">
                  <c:v>7</c:v>
                </c:pt>
                <c:pt idx="1">
                  <c:v>6</c:v>
                </c:pt>
                <c:pt idx="2">
                  <c:v>9</c:v>
                </c:pt>
                <c:pt idx="3">
                  <c:v>7</c:v>
                </c:pt>
                <c:pt idx="4">
                  <c:v>12</c:v>
                </c:pt>
                <c:pt idx="5">
                  <c:v>5</c:v>
                </c:pt>
              </c:numCache>
            </c:numRef>
          </c:val>
          <c:extLst>
            <c:ext xmlns:c16="http://schemas.microsoft.com/office/drawing/2014/chart" uri="{C3380CC4-5D6E-409C-BE32-E72D297353CC}">
              <c16:uniqueId val="{00000000-9B18-4966-98E2-FC7AF948EEB4}"/>
            </c:ext>
          </c:extLst>
        </c:ser>
        <c:dLbls>
          <c:showLegendKey val="0"/>
          <c:showVal val="0"/>
          <c:showCatName val="0"/>
          <c:showSerName val="0"/>
          <c:showPercent val="0"/>
          <c:showBubbleSize val="0"/>
        </c:dLbls>
        <c:gapWidth val="219"/>
        <c:overlap val="-27"/>
        <c:axId val="49960448"/>
        <c:axId val="49215680"/>
      </c:barChart>
      <c:catAx>
        <c:axId val="4996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15680"/>
        <c:crosses val="autoZero"/>
        <c:auto val="1"/>
        <c:lblAlgn val="ctr"/>
        <c:lblOffset val="100"/>
        <c:noMultiLvlLbl val="0"/>
      </c:catAx>
      <c:valAx>
        <c:axId val="4921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604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Near Miss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Sheet1!$H$2:$H$7</c:f>
              <c:strCache>
                <c:ptCount val="6"/>
                <c:pt idx="0">
                  <c:v>FEB</c:v>
                </c:pt>
                <c:pt idx="1">
                  <c:v>MAR</c:v>
                </c:pt>
                <c:pt idx="2">
                  <c:v>APR</c:v>
                </c:pt>
                <c:pt idx="3">
                  <c:v>MAY</c:v>
                </c:pt>
                <c:pt idx="4">
                  <c:v>JUN</c:v>
                </c:pt>
                <c:pt idx="5">
                  <c:v>JUL</c:v>
                </c:pt>
              </c:strCache>
            </c:strRef>
          </c:cat>
          <c:val>
            <c:numRef>
              <c:f>Sheet1!$I$2:$I$7</c:f>
              <c:numCache>
                <c:formatCode>General</c:formatCode>
                <c:ptCount val="6"/>
                <c:pt idx="0">
                  <c:v>1</c:v>
                </c:pt>
                <c:pt idx="1">
                  <c:v>7</c:v>
                </c:pt>
                <c:pt idx="2">
                  <c:v>7</c:v>
                </c:pt>
                <c:pt idx="3">
                  <c:v>9</c:v>
                </c:pt>
                <c:pt idx="4">
                  <c:v>3</c:v>
                </c:pt>
                <c:pt idx="5">
                  <c:v>5</c:v>
                </c:pt>
              </c:numCache>
            </c:numRef>
          </c:val>
          <c:extLst>
            <c:ext xmlns:c16="http://schemas.microsoft.com/office/drawing/2014/chart" uri="{C3380CC4-5D6E-409C-BE32-E72D297353CC}">
              <c16:uniqueId val="{00000000-8A78-465D-9594-B511AFABE1BE}"/>
            </c:ext>
          </c:extLst>
        </c:ser>
        <c:dLbls>
          <c:showLegendKey val="0"/>
          <c:showVal val="0"/>
          <c:showCatName val="0"/>
          <c:showSerName val="0"/>
          <c:showPercent val="0"/>
          <c:showBubbleSize val="0"/>
        </c:dLbls>
        <c:gapWidth val="219"/>
        <c:overlap val="-27"/>
        <c:axId val="49960960"/>
        <c:axId val="48710208"/>
      </c:barChart>
      <c:catAx>
        <c:axId val="4996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10208"/>
        <c:crosses val="autoZero"/>
        <c:auto val="1"/>
        <c:lblAlgn val="ctr"/>
        <c:lblOffset val="100"/>
        <c:noMultiLvlLbl val="0"/>
      </c:catAx>
      <c:valAx>
        <c:axId val="4871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609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Attack on FSP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Sheet1!$H$12:$H$17</c:f>
              <c:strCache>
                <c:ptCount val="6"/>
                <c:pt idx="0">
                  <c:v>FEB</c:v>
                </c:pt>
                <c:pt idx="1">
                  <c:v>MAR</c:v>
                </c:pt>
                <c:pt idx="2">
                  <c:v>APR</c:v>
                </c:pt>
                <c:pt idx="3">
                  <c:v>MAY</c:v>
                </c:pt>
                <c:pt idx="4">
                  <c:v>JUN</c:v>
                </c:pt>
                <c:pt idx="5">
                  <c:v>JUL</c:v>
                </c:pt>
              </c:strCache>
            </c:strRef>
          </c:cat>
          <c:val>
            <c:numRef>
              <c:f>Sheet1!$I$12:$I$17</c:f>
              <c:numCache>
                <c:formatCode>General</c:formatCode>
                <c:ptCount val="6"/>
                <c:pt idx="0">
                  <c:v>1</c:v>
                </c:pt>
                <c:pt idx="1">
                  <c:v>1</c:v>
                </c:pt>
                <c:pt idx="2">
                  <c:v>1</c:v>
                </c:pt>
                <c:pt idx="3">
                  <c:v>3</c:v>
                </c:pt>
                <c:pt idx="4">
                  <c:v>1</c:v>
                </c:pt>
                <c:pt idx="5">
                  <c:v>1</c:v>
                </c:pt>
              </c:numCache>
            </c:numRef>
          </c:val>
          <c:extLst>
            <c:ext xmlns:c16="http://schemas.microsoft.com/office/drawing/2014/chart" uri="{C3380CC4-5D6E-409C-BE32-E72D297353CC}">
              <c16:uniqueId val="{00000000-3CD8-4B9C-B03E-2013B27D5A13}"/>
            </c:ext>
          </c:extLst>
        </c:ser>
        <c:dLbls>
          <c:showLegendKey val="0"/>
          <c:showVal val="0"/>
          <c:showCatName val="0"/>
          <c:showSerName val="0"/>
          <c:showPercent val="0"/>
          <c:showBubbleSize val="0"/>
        </c:dLbls>
        <c:gapWidth val="219"/>
        <c:overlap val="-27"/>
        <c:axId val="49776640"/>
        <c:axId val="48711360"/>
      </c:barChart>
      <c:catAx>
        <c:axId val="4977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11360"/>
        <c:crosses val="autoZero"/>
        <c:auto val="1"/>
        <c:lblAlgn val="ctr"/>
        <c:lblOffset val="100"/>
        <c:noMultiLvlLbl val="0"/>
      </c:catAx>
      <c:valAx>
        <c:axId val="4871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766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RTC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Sheet1!$A$25:$A$30</c:f>
              <c:strCache>
                <c:ptCount val="6"/>
                <c:pt idx="0">
                  <c:v>FEB</c:v>
                </c:pt>
                <c:pt idx="1">
                  <c:v>MAR</c:v>
                </c:pt>
                <c:pt idx="2">
                  <c:v>APR</c:v>
                </c:pt>
                <c:pt idx="3">
                  <c:v>MAY</c:v>
                </c:pt>
                <c:pt idx="4">
                  <c:v>JUN</c:v>
                </c:pt>
                <c:pt idx="5">
                  <c:v>JUL</c:v>
                </c:pt>
              </c:strCache>
            </c:strRef>
          </c:cat>
          <c:val>
            <c:numRef>
              <c:f>Sheet1!$B$25:$B$30</c:f>
              <c:numCache>
                <c:formatCode>General</c:formatCode>
                <c:ptCount val="6"/>
                <c:pt idx="0">
                  <c:v>4</c:v>
                </c:pt>
                <c:pt idx="1">
                  <c:v>10</c:v>
                </c:pt>
                <c:pt idx="2">
                  <c:v>8</c:v>
                </c:pt>
                <c:pt idx="3">
                  <c:v>7</c:v>
                </c:pt>
                <c:pt idx="4">
                  <c:v>5</c:v>
                </c:pt>
                <c:pt idx="5">
                  <c:v>9</c:v>
                </c:pt>
              </c:numCache>
            </c:numRef>
          </c:val>
          <c:extLst>
            <c:ext xmlns:c16="http://schemas.microsoft.com/office/drawing/2014/chart" uri="{C3380CC4-5D6E-409C-BE32-E72D297353CC}">
              <c16:uniqueId val="{00000000-4ECD-4B6C-BBBC-AC4D13DBA789}"/>
            </c:ext>
          </c:extLst>
        </c:ser>
        <c:dLbls>
          <c:showLegendKey val="0"/>
          <c:showVal val="0"/>
          <c:showCatName val="0"/>
          <c:showSerName val="0"/>
          <c:showPercent val="0"/>
          <c:showBubbleSize val="0"/>
        </c:dLbls>
        <c:gapWidth val="219"/>
        <c:overlap val="-27"/>
        <c:axId val="49774592"/>
        <c:axId val="48713088"/>
      </c:barChart>
      <c:catAx>
        <c:axId val="497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13088"/>
        <c:crosses val="autoZero"/>
        <c:auto val="1"/>
        <c:lblAlgn val="ctr"/>
        <c:lblOffset val="100"/>
        <c:noMultiLvlLbl val="0"/>
      </c:catAx>
      <c:valAx>
        <c:axId val="4871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745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Incident</a:t>
            </a:r>
            <a:r>
              <a:rPr lang="en-GB" baseline="0"/>
              <a:t> attendance</a:t>
            </a:r>
            <a:r>
              <a:rPr lang="en-GB"/>
              <a:t> per</a:t>
            </a:r>
            <a:r>
              <a:rPr lang="en-GB" baseline="0"/>
              <a:t> Station</a:t>
            </a:r>
            <a:endParaRPr lang="en-GB"/>
          </a:p>
        </c:rich>
      </c:tx>
      <c:layout/>
      <c:overlay val="0"/>
      <c:spPr>
        <a:noFill/>
        <a:ln>
          <a:noFill/>
        </a:ln>
        <a:effectLst/>
      </c:spPr>
    </c:title>
    <c:autoTitleDeleted val="0"/>
    <c:plotArea>
      <c:layout/>
      <c:barChart>
        <c:barDir val="col"/>
        <c:grouping val="clustered"/>
        <c:varyColors val="0"/>
        <c:ser>
          <c:idx val="0"/>
          <c:order val="0"/>
          <c:tx>
            <c:strRef>
              <c:f>'incidents per station'!$B$2</c:f>
              <c:strCache>
                <c:ptCount val="1"/>
                <c:pt idx="0">
                  <c:v>June</c:v>
                </c:pt>
              </c:strCache>
            </c:strRef>
          </c:tx>
          <c:spPr>
            <a:solidFill>
              <a:schemeClr val="bg1">
                <a:lumMod val="75000"/>
              </a:schemeClr>
            </a:solidFill>
            <a:ln>
              <a:noFill/>
            </a:ln>
            <a:effectLst/>
          </c:spPr>
          <c:invertIfNegative val="0"/>
          <c:cat>
            <c:strRef>
              <c:f>'incidents per station'!$A$3:$A$52</c:f>
              <c:strCache>
                <c:ptCount val="50"/>
                <c:pt idx="0">
                  <c:v>Colchester</c:v>
                </c:pt>
                <c:pt idx="1">
                  <c:v>Grays</c:v>
                </c:pt>
                <c:pt idx="2">
                  <c:v>Basildon</c:v>
                </c:pt>
                <c:pt idx="3">
                  <c:v>Harlow Central</c:v>
                </c:pt>
                <c:pt idx="4">
                  <c:v>Southend</c:v>
                </c:pt>
                <c:pt idx="5">
                  <c:v>Chelmsford</c:v>
                </c:pt>
                <c:pt idx="6">
                  <c:v>Clacton</c:v>
                </c:pt>
                <c:pt idx="7">
                  <c:v>Brentwood</c:v>
                </c:pt>
                <c:pt idx="8">
                  <c:v>Rayleigh Weir</c:v>
                </c:pt>
                <c:pt idx="9">
                  <c:v>Orsett</c:v>
                </c:pt>
                <c:pt idx="10">
                  <c:v>Leigh</c:v>
                </c:pt>
                <c:pt idx="11">
                  <c:v>Loughton</c:v>
                </c:pt>
                <c:pt idx="12">
                  <c:v>Braintree</c:v>
                </c:pt>
                <c:pt idx="13">
                  <c:v>Witham</c:v>
                </c:pt>
                <c:pt idx="14">
                  <c:v>Epping</c:v>
                </c:pt>
                <c:pt idx="15">
                  <c:v>Saffron Walden</c:v>
                </c:pt>
                <c:pt idx="16">
                  <c:v>Halstead</c:v>
                </c:pt>
                <c:pt idx="17">
                  <c:v>Maldon</c:v>
                </c:pt>
                <c:pt idx="18">
                  <c:v>Great Baddow</c:v>
                </c:pt>
                <c:pt idx="19">
                  <c:v>Dovercourt</c:v>
                </c:pt>
                <c:pt idx="20">
                  <c:v>Corringham</c:v>
                </c:pt>
                <c:pt idx="21">
                  <c:v>Billericay</c:v>
                </c:pt>
                <c:pt idx="22">
                  <c:v>South Woodham</c:v>
                </c:pt>
                <c:pt idx="23">
                  <c:v>Waltham Abbey</c:v>
                </c:pt>
                <c:pt idx="24">
                  <c:v>Hawkwell</c:v>
                </c:pt>
                <c:pt idx="25">
                  <c:v>Dunmow</c:v>
                </c:pt>
                <c:pt idx="26">
                  <c:v>Tiptree</c:v>
                </c:pt>
                <c:pt idx="27">
                  <c:v>Stansted</c:v>
                </c:pt>
                <c:pt idx="28">
                  <c:v>Coggeshall</c:v>
                </c:pt>
                <c:pt idx="29">
                  <c:v>Manningtree</c:v>
                </c:pt>
                <c:pt idx="30">
                  <c:v>Wivenhoe</c:v>
                </c:pt>
                <c:pt idx="31">
                  <c:v>Frinton</c:v>
                </c:pt>
                <c:pt idx="32">
                  <c:v>Rochford</c:v>
                </c:pt>
                <c:pt idx="33">
                  <c:v>Tillingham</c:v>
                </c:pt>
                <c:pt idx="34">
                  <c:v>Canvey</c:v>
                </c:pt>
                <c:pt idx="35">
                  <c:v>Shoeburyness</c:v>
                </c:pt>
                <c:pt idx="36">
                  <c:v>Weeley</c:v>
                </c:pt>
                <c:pt idx="37">
                  <c:v>Old Harlow</c:v>
                </c:pt>
                <c:pt idx="38">
                  <c:v>Wickford</c:v>
                </c:pt>
                <c:pt idx="39">
                  <c:v>Brightlingsea</c:v>
                </c:pt>
                <c:pt idx="40">
                  <c:v>Ongar</c:v>
                </c:pt>
                <c:pt idx="41">
                  <c:v>Burnham</c:v>
                </c:pt>
                <c:pt idx="42">
                  <c:v>Thaxted</c:v>
                </c:pt>
                <c:pt idx="43">
                  <c:v>West Mersea</c:v>
                </c:pt>
                <c:pt idx="44">
                  <c:v>Newport</c:v>
                </c:pt>
                <c:pt idx="45">
                  <c:v>Tollesbury</c:v>
                </c:pt>
                <c:pt idx="46">
                  <c:v>Wethersfield</c:v>
                </c:pt>
                <c:pt idx="47">
                  <c:v>Sible Hedingham</c:v>
                </c:pt>
                <c:pt idx="48">
                  <c:v>Ingatestone</c:v>
                </c:pt>
                <c:pt idx="49">
                  <c:v>Leaden Roding</c:v>
                </c:pt>
              </c:strCache>
            </c:strRef>
          </c:cat>
          <c:val>
            <c:numRef>
              <c:f>'incidents per station'!$B$3:$B$52</c:f>
              <c:numCache>
                <c:formatCode>General</c:formatCode>
                <c:ptCount val="50"/>
                <c:pt idx="0">
                  <c:v>155</c:v>
                </c:pt>
                <c:pt idx="1">
                  <c:v>153</c:v>
                </c:pt>
                <c:pt idx="2">
                  <c:v>164</c:v>
                </c:pt>
                <c:pt idx="3">
                  <c:v>170</c:v>
                </c:pt>
                <c:pt idx="4">
                  <c:v>171</c:v>
                </c:pt>
                <c:pt idx="5">
                  <c:v>135</c:v>
                </c:pt>
                <c:pt idx="6">
                  <c:v>103</c:v>
                </c:pt>
                <c:pt idx="7">
                  <c:v>72</c:v>
                </c:pt>
                <c:pt idx="8">
                  <c:v>81</c:v>
                </c:pt>
                <c:pt idx="9">
                  <c:v>84</c:v>
                </c:pt>
                <c:pt idx="10">
                  <c:v>67</c:v>
                </c:pt>
                <c:pt idx="11">
                  <c:v>50</c:v>
                </c:pt>
                <c:pt idx="12">
                  <c:v>70</c:v>
                </c:pt>
                <c:pt idx="13">
                  <c:v>45</c:v>
                </c:pt>
                <c:pt idx="14">
                  <c:v>25</c:v>
                </c:pt>
                <c:pt idx="15">
                  <c:v>31</c:v>
                </c:pt>
                <c:pt idx="16">
                  <c:v>41</c:v>
                </c:pt>
                <c:pt idx="17">
                  <c:v>24</c:v>
                </c:pt>
                <c:pt idx="18">
                  <c:v>40</c:v>
                </c:pt>
                <c:pt idx="19">
                  <c:v>23</c:v>
                </c:pt>
                <c:pt idx="20">
                  <c:v>22</c:v>
                </c:pt>
                <c:pt idx="21">
                  <c:v>16</c:v>
                </c:pt>
                <c:pt idx="22">
                  <c:v>29</c:v>
                </c:pt>
                <c:pt idx="23">
                  <c:v>27</c:v>
                </c:pt>
                <c:pt idx="24">
                  <c:v>26</c:v>
                </c:pt>
                <c:pt idx="25">
                  <c:v>20</c:v>
                </c:pt>
                <c:pt idx="26">
                  <c:v>13</c:v>
                </c:pt>
                <c:pt idx="27">
                  <c:v>15</c:v>
                </c:pt>
                <c:pt idx="28">
                  <c:v>7</c:v>
                </c:pt>
                <c:pt idx="29">
                  <c:v>7</c:v>
                </c:pt>
                <c:pt idx="30">
                  <c:v>16</c:v>
                </c:pt>
                <c:pt idx="31">
                  <c:v>13</c:v>
                </c:pt>
                <c:pt idx="32">
                  <c:v>16</c:v>
                </c:pt>
                <c:pt idx="33">
                  <c:v>6</c:v>
                </c:pt>
                <c:pt idx="34">
                  <c:v>27</c:v>
                </c:pt>
                <c:pt idx="35">
                  <c:v>14</c:v>
                </c:pt>
                <c:pt idx="36">
                  <c:v>9</c:v>
                </c:pt>
                <c:pt idx="37">
                  <c:v>6</c:v>
                </c:pt>
                <c:pt idx="38">
                  <c:v>22</c:v>
                </c:pt>
                <c:pt idx="39">
                  <c:v>6</c:v>
                </c:pt>
                <c:pt idx="40">
                  <c:v>1</c:v>
                </c:pt>
                <c:pt idx="41">
                  <c:v>6</c:v>
                </c:pt>
                <c:pt idx="42">
                  <c:v>4</c:v>
                </c:pt>
                <c:pt idx="43">
                  <c:v>5</c:v>
                </c:pt>
                <c:pt idx="44">
                  <c:v>13</c:v>
                </c:pt>
                <c:pt idx="45">
                  <c:v>3</c:v>
                </c:pt>
                <c:pt idx="46">
                  <c:v>8</c:v>
                </c:pt>
                <c:pt idx="47">
                  <c:v>9</c:v>
                </c:pt>
                <c:pt idx="48">
                  <c:v>3</c:v>
                </c:pt>
                <c:pt idx="49">
                  <c:v>4</c:v>
                </c:pt>
              </c:numCache>
            </c:numRef>
          </c:val>
          <c:extLst>
            <c:ext xmlns:c16="http://schemas.microsoft.com/office/drawing/2014/chart" uri="{C3380CC4-5D6E-409C-BE32-E72D297353CC}">
              <c16:uniqueId val="{00000000-E44B-4E22-86C7-972118B607E6}"/>
            </c:ext>
          </c:extLst>
        </c:ser>
        <c:ser>
          <c:idx val="1"/>
          <c:order val="1"/>
          <c:tx>
            <c:strRef>
              <c:f>'incidents per station'!$C$2</c:f>
              <c:strCache>
                <c:ptCount val="1"/>
                <c:pt idx="0">
                  <c:v>July</c:v>
                </c:pt>
              </c:strCache>
            </c:strRef>
          </c:tx>
          <c:spPr>
            <a:solidFill>
              <a:schemeClr val="accent5"/>
            </a:solidFill>
            <a:ln>
              <a:noFill/>
            </a:ln>
            <a:effectLst/>
          </c:spPr>
          <c:invertIfNegative val="0"/>
          <c:cat>
            <c:strRef>
              <c:f>'incidents per station'!$A$3:$A$52</c:f>
              <c:strCache>
                <c:ptCount val="50"/>
                <c:pt idx="0">
                  <c:v>Colchester</c:v>
                </c:pt>
                <c:pt idx="1">
                  <c:v>Grays</c:v>
                </c:pt>
                <c:pt idx="2">
                  <c:v>Basildon</c:v>
                </c:pt>
                <c:pt idx="3">
                  <c:v>Harlow Central</c:v>
                </c:pt>
                <c:pt idx="4">
                  <c:v>Southend</c:v>
                </c:pt>
                <c:pt idx="5">
                  <c:v>Chelmsford</c:v>
                </c:pt>
                <c:pt idx="6">
                  <c:v>Clacton</c:v>
                </c:pt>
                <c:pt idx="7">
                  <c:v>Brentwood</c:v>
                </c:pt>
                <c:pt idx="8">
                  <c:v>Rayleigh Weir</c:v>
                </c:pt>
                <c:pt idx="9">
                  <c:v>Orsett</c:v>
                </c:pt>
                <c:pt idx="10">
                  <c:v>Leigh</c:v>
                </c:pt>
                <c:pt idx="11">
                  <c:v>Loughton</c:v>
                </c:pt>
                <c:pt idx="12">
                  <c:v>Braintree</c:v>
                </c:pt>
                <c:pt idx="13">
                  <c:v>Witham</c:v>
                </c:pt>
                <c:pt idx="14">
                  <c:v>Epping</c:v>
                </c:pt>
                <c:pt idx="15">
                  <c:v>Saffron Walden</c:v>
                </c:pt>
                <c:pt idx="16">
                  <c:v>Halstead</c:v>
                </c:pt>
                <c:pt idx="17">
                  <c:v>Maldon</c:v>
                </c:pt>
                <c:pt idx="18">
                  <c:v>Great Baddow</c:v>
                </c:pt>
                <c:pt idx="19">
                  <c:v>Dovercourt</c:v>
                </c:pt>
                <c:pt idx="20">
                  <c:v>Corringham</c:v>
                </c:pt>
                <c:pt idx="21">
                  <c:v>Billericay</c:v>
                </c:pt>
                <c:pt idx="22">
                  <c:v>South Woodham</c:v>
                </c:pt>
                <c:pt idx="23">
                  <c:v>Waltham Abbey</c:v>
                </c:pt>
                <c:pt idx="24">
                  <c:v>Hawkwell</c:v>
                </c:pt>
                <c:pt idx="25">
                  <c:v>Dunmow</c:v>
                </c:pt>
                <c:pt idx="26">
                  <c:v>Tiptree</c:v>
                </c:pt>
                <c:pt idx="27">
                  <c:v>Stansted</c:v>
                </c:pt>
                <c:pt idx="28">
                  <c:v>Coggeshall</c:v>
                </c:pt>
                <c:pt idx="29">
                  <c:v>Manningtree</c:v>
                </c:pt>
                <c:pt idx="30">
                  <c:v>Wivenhoe</c:v>
                </c:pt>
                <c:pt idx="31">
                  <c:v>Frinton</c:v>
                </c:pt>
                <c:pt idx="32">
                  <c:v>Rochford</c:v>
                </c:pt>
                <c:pt idx="33">
                  <c:v>Tillingham</c:v>
                </c:pt>
                <c:pt idx="34">
                  <c:v>Canvey</c:v>
                </c:pt>
                <c:pt idx="35">
                  <c:v>Shoeburyness</c:v>
                </c:pt>
                <c:pt idx="36">
                  <c:v>Weeley</c:v>
                </c:pt>
                <c:pt idx="37">
                  <c:v>Old Harlow</c:v>
                </c:pt>
                <c:pt idx="38">
                  <c:v>Wickford</c:v>
                </c:pt>
                <c:pt idx="39">
                  <c:v>Brightlingsea</c:v>
                </c:pt>
                <c:pt idx="40">
                  <c:v>Ongar</c:v>
                </c:pt>
                <c:pt idx="41">
                  <c:v>Burnham</c:v>
                </c:pt>
                <c:pt idx="42">
                  <c:v>Thaxted</c:v>
                </c:pt>
                <c:pt idx="43">
                  <c:v>West Mersea</c:v>
                </c:pt>
                <c:pt idx="44">
                  <c:v>Newport</c:v>
                </c:pt>
                <c:pt idx="45">
                  <c:v>Tollesbury</c:v>
                </c:pt>
                <c:pt idx="46">
                  <c:v>Wethersfield</c:v>
                </c:pt>
                <c:pt idx="47">
                  <c:v>Sible Hedingham</c:v>
                </c:pt>
                <c:pt idx="48">
                  <c:v>Ingatestone</c:v>
                </c:pt>
                <c:pt idx="49">
                  <c:v>Leaden Roding</c:v>
                </c:pt>
              </c:strCache>
            </c:strRef>
          </c:cat>
          <c:val>
            <c:numRef>
              <c:f>'incidents per station'!$C$3:$C$52</c:f>
              <c:numCache>
                <c:formatCode>General</c:formatCode>
                <c:ptCount val="50"/>
                <c:pt idx="0">
                  <c:v>226</c:v>
                </c:pt>
                <c:pt idx="1">
                  <c:v>208</c:v>
                </c:pt>
                <c:pt idx="2">
                  <c:v>202</c:v>
                </c:pt>
                <c:pt idx="3">
                  <c:v>193</c:v>
                </c:pt>
                <c:pt idx="4">
                  <c:v>192</c:v>
                </c:pt>
                <c:pt idx="5">
                  <c:v>151</c:v>
                </c:pt>
                <c:pt idx="6">
                  <c:v>147</c:v>
                </c:pt>
                <c:pt idx="7">
                  <c:v>108</c:v>
                </c:pt>
                <c:pt idx="8">
                  <c:v>91</c:v>
                </c:pt>
                <c:pt idx="9">
                  <c:v>87</c:v>
                </c:pt>
                <c:pt idx="10">
                  <c:v>73</c:v>
                </c:pt>
                <c:pt idx="11">
                  <c:v>69</c:v>
                </c:pt>
                <c:pt idx="12">
                  <c:v>61</c:v>
                </c:pt>
                <c:pt idx="13">
                  <c:v>58</c:v>
                </c:pt>
                <c:pt idx="14">
                  <c:v>47</c:v>
                </c:pt>
                <c:pt idx="15">
                  <c:v>45</c:v>
                </c:pt>
                <c:pt idx="16">
                  <c:v>39</c:v>
                </c:pt>
                <c:pt idx="17">
                  <c:v>39</c:v>
                </c:pt>
                <c:pt idx="18">
                  <c:v>37</c:v>
                </c:pt>
                <c:pt idx="19">
                  <c:v>36</c:v>
                </c:pt>
                <c:pt idx="20">
                  <c:v>31</c:v>
                </c:pt>
                <c:pt idx="21">
                  <c:v>30</c:v>
                </c:pt>
                <c:pt idx="22">
                  <c:v>30</c:v>
                </c:pt>
                <c:pt idx="23">
                  <c:v>30</c:v>
                </c:pt>
                <c:pt idx="24">
                  <c:v>28</c:v>
                </c:pt>
                <c:pt idx="25">
                  <c:v>27</c:v>
                </c:pt>
                <c:pt idx="26">
                  <c:v>27</c:v>
                </c:pt>
                <c:pt idx="27">
                  <c:v>26</c:v>
                </c:pt>
                <c:pt idx="28">
                  <c:v>23</c:v>
                </c:pt>
                <c:pt idx="29">
                  <c:v>20</c:v>
                </c:pt>
                <c:pt idx="30">
                  <c:v>20</c:v>
                </c:pt>
                <c:pt idx="31">
                  <c:v>19</c:v>
                </c:pt>
                <c:pt idx="32">
                  <c:v>18</c:v>
                </c:pt>
                <c:pt idx="33">
                  <c:v>17</c:v>
                </c:pt>
                <c:pt idx="34">
                  <c:v>15</c:v>
                </c:pt>
                <c:pt idx="35">
                  <c:v>14</c:v>
                </c:pt>
                <c:pt idx="36">
                  <c:v>14</c:v>
                </c:pt>
                <c:pt idx="37">
                  <c:v>13</c:v>
                </c:pt>
                <c:pt idx="38">
                  <c:v>12</c:v>
                </c:pt>
                <c:pt idx="39">
                  <c:v>11</c:v>
                </c:pt>
                <c:pt idx="40">
                  <c:v>11</c:v>
                </c:pt>
                <c:pt idx="41">
                  <c:v>10</c:v>
                </c:pt>
                <c:pt idx="42">
                  <c:v>8</c:v>
                </c:pt>
                <c:pt idx="43">
                  <c:v>7</c:v>
                </c:pt>
                <c:pt idx="44">
                  <c:v>5</c:v>
                </c:pt>
                <c:pt idx="45">
                  <c:v>4</c:v>
                </c:pt>
                <c:pt idx="46">
                  <c:v>4</c:v>
                </c:pt>
                <c:pt idx="47">
                  <c:v>3</c:v>
                </c:pt>
                <c:pt idx="48">
                  <c:v>1</c:v>
                </c:pt>
                <c:pt idx="49">
                  <c:v>1</c:v>
                </c:pt>
              </c:numCache>
            </c:numRef>
          </c:val>
          <c:extLst>
            <c:ext xmlns:c16="http://schemas.microsoft.com/office/drawing/2014/chart" uri="{C3380CC4-5D6E-409C-BE32-E72D297353CC}">
              <c16:uniqueId val="{00000001-E44B-4E22-86C7-972118B607E6}"/>
            </c:ext>
          </c:extLst>
        </c:ser>
        <c:dLbls>
          <c:showLegendKey val="0"/>
          <c:showVal val="0"/>
          <c:showCatName val="0"/>
          <c:showSerName val="0"/>
          <c:showPercent val="0"/>
          <c:showBubbleSize val="0"/>
        </c:dLbls>
        <c:gapWidth val="219"/>
        <c:overlap val="-27"/>
        <c:axId val="45968896"/>
        <c:axId val="40426816"/>
      </c:barChart>
      <c:catAx>
        <c:axId val="4596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120000" spcFirstLastPara="1" vertOverflow="ellipsis" wrap="square" anchor="ctr" anchorCtr="1"/>
          <a:lstStyle/>
          <a:p>
            <a:pPr>
              <a:defRPr sz="720" b="0" i="0" u="none" strike="noStrike" kern="1200" baseline="0">
                <a:solidFill>
                  <a:schemeClr val="tx1">
                    <a:lumMod val="65000"/>
                    <a:lumOff val="35000"/>
                  </a:schemeClr>
                </a:solidFill>
                <a:latin typeface="+mn-lt"/>
                <a:ea typeface="+mn-ea"/>
                <a:cs typeface="+mn-cs"/>
              </a:defRPr>
            </a:pPr>
            <a:endParaRPr lang="en-US"/>
          </a:p>
        </c:txPr>
        <c:crossAx val="40426816"/>
        <c:crosses val="autoZero"/>
        <c:auto val="1"/>
        <c:lblAlgn val="ctr"/>
        <c:lblOffset val="100"/>
        <c:noMultiLvlLbl val="0"/>
      </c:catAx>
      <c:valAx>
        <c:axId val="40426816"/>
        <c:scaling>
          <c:orientation val="minMax"/>
          <c:max val="23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68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RIDDORS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Sheet1!$A$25:$A$30</c:f>
              <c:strCache>
                <c:ptCount val="6"/>
                <c:pt idx="0">
                  <c:v>FEB</c:v>
                </c:pt>
                <c:pt idx="1">
                  <c:v>MAR</c:v>
                </c:pt>
                <c:pt idx="2">
                  <c:v>APR</c:v>
                </c:pt>
                <c:pt idx="3">
                  <c:v>MAY</c:v>
                </c:pt>
                <c:pt idx="4">
                  <c:v>JUN</c:v>
                </c:pt>
                <c:pt idx="5">
                  <c:v>JUL</c:v>
                </c:pt>
              </c:strCache>
            </c:strRef>
          </c:cat>
          <c:val>
            <c:numRef>
              <c:f>Sheet1!$C$25:$C$30</c:f>
              <c:numCache>
                <c:formatCode>General</c:formatCode>
                <c:ptCount val="6"/>
                <c:pt idx="0">
                  <c:v>4</c:v>
                </c:pt>
                <c:pt idx="1">
                  <c:v>1</c:v>
                </c:pt>
                <c:pt idx="2">
                  <c:v>1</c:v>
                </c:pt>
                <c:pt idx="3">
                  <c:v>4</c:v>
                </c:pt>
                <c:pt idx="4">
                  <c:v>0</c:v>
                </c:pt>
                <c:pt idx="5">
                  <c:v>2</c:v>
                </c:pt>
              </c:numCache>
            </c:numRef>
          </c:val>
          <c:extLst>
            <c:ext xmlns:c16="http://schemas.microsoft.com/office/drawing/2014/chart" uri="{C3380CC4-5D6E-409C-BE32-E72D297353CC}">
              <c16:uniqueId val="{00000000-8032-41D5-ADDA-83DE31537D5E}"/>
            </c:ext>
          </c:extLst>
        </c:ser>
        <c:dLbls>
          <c:showLegendKey val="0"/>
          <c:showVal val="0"/>
          <c:showCatName val="0"/>
          <c:showSerName val="0"/>
          <c:showPercent val="0"/>
          <c:showBubbleSize val="0"/>
        </c:dLbls>
        <c:gapWidth val="219"/>
        <c:overlap val="-27"/>
        <c:axId val="49775616"/>
        <c:axId val="48714816"/>
      </c:barChart>
      <c:catAx>
        <c:axId val="4977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14816"/>
        <c:crosses val="autoZero"/>
        <c:auto val="1"/>
        <c:lblAlgn val="ctr"/>
        <c:lblOffset val="100"/>
        <c:noMultiLvlLbl val="0"/>
      </c:catAx>
      <c:valAx>
        <c:axId val="4871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756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a:t>
            </a:r>
            <a:r>
              <a:rPr lang="en-GB" baseline="0"/>
              <a:t> 'Call to Arrival Time'</a:t>
            </a:r>
            <a:endParaRPr lang="en-GB"/>
          </a:p>
        </c:rich>
      </c:tx>
      <c:layout/>
      <c:overlay val="0"/>
      <c:spPr>
        <a:noFill/>
        <a:ln>
          <a:noFill/>
        </a:ln>
        <a:effectLst/>
      </c:spPr>
    </c:title>
    <c:autoTitleDeleted val="0"/>
    <c:plotArea>
      <c:layout/>
      <c:barChart>
        <c:barDir val="col"/>
        <c:grouping val="clustered"/>
        <c:varyColors val="0"/>
        <c:ser>
          <c:idx val="0"/>
          <c:order val="0"/>
          <c:tx>
            <c:strRef>
              <c:f>'response time'!$B$1</c:f>
              <c:strCache>
                <c:ptCount val="1"/>
                <c:pt idx="0">
                  <c:v>Response</c:v>
                </c:pt>
              </c:strCache>
            </c:strRef>
          </c:tx>
          <c:spPr>
            <a:solidFill>
              <a:srgbClr val="4472C4"/>
            </a:solidFill>
            <a:ln>
              <a:solidFill>
                <a:srgbClr val="4472C4"/>
              </a:solidFill>
            </a:ln>
            <a:effectLst/>
          </c:spPr>
          <c:invertIfNegative val="0"/>
          <c:dPt>
            <c:idx val="2"/>
            <c:invertIfNegative val="0"/>
            <c:bubble3D val="0"/>
            <c:extLst>
              <c:ext xmlns:c16="http://schemas.microsoft.com/office/drawing/2014/chart" uri="{C3380CC4-5D6E-409C-BE32-E72D297353CC}">
                <c16:uniqueId val="{00000001-1685-4C53-A930-2CC729481D70}"/>
              </c:ext>
            </c:extLst>
          </c:dPt>
          <c:dPt>
            <c:idx val="3"/>
            <c:invertIfNegative val="0"/>
            <c:bubble3D val="0"/>
            <c:extLst>
              <c:ext xmlns:c16="http://schemas.microsoft.com/office/drawing/2014/chart" uri="{C3380CC4-5D6E-409C-BE32-E72D297353CC}">
                <c16:uniqueId val="{00000003-1685-4C53-A930-2CC729481D70}"/>
              </c:ext>
            </c:extLst>
          </c:dPt>
          <c:dPt>
            <c:idx val="4"/>
            <c:invertIfNegative val="0"/>
            <c:bubble3D val="0"/>
            <c:extLst>
              <c:ext xmlns:c16="http://schemas.microsoft.com/office/drawing/2014/chart" uri="{C3380CC4-5D6E-409C-BE32-E72D297353CC}">
                <c16:uniqueId val="{00000005-1685-4C53-A930-2CC729481D70}"/>
              </c:ext>
            </c:extLst>
          </c:dPt>
          <c:dPt>
            <c:idx val="12"/>
            <c:invertIfNegative val="0"/>
            <c:bubble3D val="0"/>
            <c:extLst>
              <c:ext xmlns:c16="http://schemas.microsoft.com/office/drawing/2014/chart" uri="{C3380CC4-5D6E-409C-BE32-E72D297353CC}">
                <c16:uniqueId val="{00000007-1685-4C53-A930-2CC729481D70}"/>
              </c:ext>
            </c:extLst>
          </c:dPt>
          <c:dPt>
            <c:idx val="13"/>
            <c:invertIfNegative val="0"/>
            <c:bubble3D val="0"/>
            <c:extLst>
              <c:ext xmlns:c16="http://schemas.microsoft.com/office/drawing/2014/chart" uri="{C3380CC4-5D6E-409C-BE32-E72D297353CC}">
                <c16:uniqueId val="{00000009-1685-4C53-A930-2CC729481D70}"/>
              </c:ext>
            </c:extLst>
          </c:dPt>
          <c:dPt>
            <c:idx val="14"/>
            <c:invertIfNegative val="0"/>
            <c:bubble3D val="0"/>
            <c:extLst>
              <c:ext xmlns:c16="http://schemas.microsoft.com/office/drawing/2014/chart" uri="{C3380CC4-5D6E-409C-BE32-E72D297353CC}">
                <c16:uniqueId val="{0000000B-1685-4C53-A930-2CC729481D70}"/>
              </c:ext>
            </c:extLst>
          </c:dPt>
          <c:dPt>
            <c:idx val="15"/>
            <c:invertIfNegative val="0"/>
            <c:bubble3D val="0"/>
            <c:extLst>
              <c:ext xmlns:c16="http://schemas.microsoft.com/office/drawing/2014/chart" uri="{C3380CC4-5D6E-409C-BE32-E72D297353CC}">
                <c16:uniqueId val="{0000000D-1685-4C53-A930-2CC729481D70}"/>
              </c:ext>
            </c:extLst>
          </c:dPt>
          <c:dPt>
            <c:idx val="16"/>
            <c:invertIfNegative val="0"/>
            <c:bubble3D val="0"/>
            <c:extLst>
              <c:ext xmlns:c16="http://schemas.microsoft.com/office/drawing/2014/chart" uri="{C3380CC4-5D6E-409C-BE32-E72D297353CC}">
                <c16:uniqueId val="{0000000F-1685-4C53-A930-2CC729481D70}"/>
              </c:ext>
            </c:extLst>
          </c:dPt>
          <c:dPt>
            <c:idx val="17"/>
            <c:invertIfNegative val="0"/>
            <c:bubble3D val="0"/>
            <c:extLst>
              <c:ext xmlns:c16="http://schemas.microsoft.com/office/drawing/2014/chart" uri="{C3380CC4-5D6E-409C-BE32-E72D297353CC}">
                <c16:uniqueId val="{00000011-1685-4C53-A930-2CC729481D70}"/>
              </c:ext>
            </c:extLst>
          </c:dPt>
          <c:dPt>
            <c:idx val="18"/>
            <c:invertIfNegative val="0"/>
            <c:bubble3D val="0"/>
            <c:extLst>
              <c:ext xmlns:c16="http://schemas.microsoft.com/office/drawing/2014/chart" uri="{C3380CC4-5D6E-409C-BE32-E72D297353CC}">
                <c16:uniqueId val="{00000013-1685-4C53-A930-2CC729481D70}"/>
              </c:ext>
            </c:extLst>
          </c:dPt>
          <c:dPt>
            <c:idx val="19"/>
            <c:invertIfNegative val="0"/>
            <c:bubble3D val="0"/>
            <c:extLst>
              <c:ext xmlns:c16="http://schemas.microsoft.com/office/drawing/2014/chart" uri="{C3380CC4-5D6E-409C-BE32-E72D297353CC}">
                <c16:uniqueId val="{00000015-1685-4C53-A930-2CC729481D70}"/>
              </c:ext>
            </c:extLst>
          </c:dPt>
          <c:dPt>
            <c:idx val="20"/>
            <c:invertIfNegative val="0"/>
            <c:bubble3D val="0"/>
            <c:extLst>
              <c:ext xmlns:c16="http://schemas.microsoft.com/office/drawing/2014/chart" uri="{C3380CC4-5D6E-409C-BE32-E72D297353CC}">
                <c16:uniqueId val="{00000017-1685-4C53-A930-2CC729481D70}"/>
              </c:ext>
            </c:extLst>
          </c:dPt>
          <c:dPt>
            <c:idx val="21"/>
            <c:invertIfNegative val="0"/>
            <c:bubble3D val="0"/>
            <c:extLst>
              <c:ext xmlns:c16="http://schemas.microsoft.com/office/drawing/2014/chart" uri="{C3380CC4-5D6E-409C-BE32-E72D297353CC}">
                <c16:uniqueId val="{00000019-1685-4C53-A930-2CC729481D70}"/>
              </c:ext>
            </c:extLst>
          </c:dPt>
          <c:dPt>
            <c:idx val="22"/>
            <c:invertIfNegative val="0"/>
            <c:bubble3D val="0"/>
            <c:extLst>
              <c:ext xmlns:c16="http://schemas.microsoft.com/office/drawing/2014/chart" uri="{C3380CC4-5D6E-409C-BE32-E72D297353CC}">
                <c16:uniqueId val="{0000001B-1685-4C53-A930-2CC729481D70}"/>
              </c:ext>
            </c:extLst>
          </c:dPt>
          <c:dPt>
            <c:idx val="23"/>
            <c:invertIfNegative val="0"/>
            <c:bubble3D val="0"/>
            <c:spPr>
              <a:solidFill>
                <a:srgbClr val="C00000"/>
              </a:solidFill>
              <a:ln>
                <a:solidFill>
                  <a:srgbClr val="FF0000"/>
                </a:solidFill>
              </a:ln>
              <a:effectLst/>
            </c:spPr>
            <c:extLst>
              <c:ext xmlns:c16="http://schemas.microsoft.com/office/drawing/2014/chart" uri="{C3380CC4-5D6E-409C-BE32-E72D297353CC}">
                <c16:uniqueId val="{0000001D-1685-4C53-A930-2CC729481D70}"/>
              </c:ext>
            </c:extLst>
          </c:dPt>
          <c:cat>
            <c:numRef>
              <c:f>'response time'!$A$2:$A$25</c:f>
              <c:numCache>
                <c:formatCode>mmm\-yy</c:formatCode>
                <c:ptCount val="24"/>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pt idx="13">
                  <c:v>42979</c:v>
                </c:pt>
                <c:pt idx="14">
                  <c:v>43009</c:v>
                </c:pt>
                <c:pt idx="15">
                  <c:v>43040</c:v>
                </c:pt>
                <c:pt idx="16">
                  <c:v>43070</c:v>
                </c:pt>
                <c:pt idx="17">
                  <c:v>43101</c:v>
                </c:pt>
                <c:pt idx="18">
                  <c:v>43132</c:v>
                </c:pt>
                <c:pt idx="19">
                  <c:v>43160</c:v>
                </c:pt>
                <c:pt idx="20">
                  <c:v>43191</c:v>
                </c:pt>
                <c:pt idx="21">
                  <c:v>43221</c:v>
                </c:pt>
                <c:pt idx="22">
                  <c:v>43252</c:v>
                </c:pt>
                <c:pt idx="23">
                  <c:v>43282</c:v>
                </c:pt>
              </c:numCache>
            </c:numRef>
          </c:cat>
          <c:val>
            <c:numRef>
              <c:f>'response time'!$B$2:$B$25</c:f>
              <c:numCache>
                <c:formatCode>General</c:formatCode>
                <c:ptCount val="24"/>
                <c:pt idx="0">
                  <c:v>638</c:v>
                </c:pt>
                <c:pt idx="1">
                  <c:v>615</c:v>
                </c:pt>
                <c:pt idx="2">
                  <c:v>645</c:v>
                </c:pt>
                <c:pt idx="3">
                  <c:v>611</c:v>
                </c:pt>
                <c:pt idx="4">
                  <c:v>598</c:v>
                </c:pt>
                <c:pt idx="5">
                  <c:v>582</c:v>
                </c:pt>
                <c:pt idx="6">
                  <c:v>634</c:v>
                </c:pt>
                <c:pt idx="7">
                  <c:v>596</c:v>
                </c:pt>
                <c:pt idx="8">
                  <c:v>601</c:v>
                </c:pt>
                <c:pt idx="9">
                  <c:v>611</c:v>
                </c:pt>
                <c:pt idx="10">
                  <c:v>619</c:v>
                </c:pt>
                <c:pt idx="11">
                  <c:v>622</c:v>
                </c:pt>
                <c:pt idx="12">
                  <c:v>647</c:v>
                </c:pt>
                <c:pt idx="13" formatCode="0">
                  <c:v>616</c:v>
                </c:pt>
                <c:pt idx="14" formatCode="0">
                  <c:v>594</c:v>
                </c:pt>
                <c:pt idx="15" formatCode="0">
                  <c:v>614</c:v>
                </c:pt>
                <c:pt idx="16" formatCode="0">
                  <c:v>633</c:v>
                </c:pt>
                <c:pt idx="17" formatCode="0">
                  <c:v>595</c:v>
                </c:pt>
                <c:pt idx="18" formatCode="0">
                  <c:v>586</c:v>
                </c:pt>
                <c:pt idx="19" formatCode="0">
                  <c:v>606</c:v>
                </c:pt>
                <c:pt idx="20" formatCode="0">
                  <c:v>588</c:v>
                </c:pt>
                <c:pt idx="21" formatCode="0">
                  <c:v>599</c:v>
                </c:pt>
                <c:pt idx="22" formatCode="0">
                  <c:v>593</c:v>
                </c:pt>
                <c:pt idx="23" formatCode="0">
                  <c:v>635</c:v>
                </c:pt>
              </c:numCache>
            </c:numRef>
          </c:val>
          <c:extLst>
            <c:ext xmlns:c16="http://schemas.microsoft.com/office/drawing/2014/chart" uri="{C3380CC4-5D6E-409C-BE32-E72D297353CC}">
              <c16:uniqueId val="{0000001E-1685-4C53-A930-2CC729481D70}"/>
            </c:ext>
          </c:extLst>
        </c:ser>
        <c:dLbls>
          <c:showLegendKey val="0"/>
          <c:showVal val="0"/>
          <c:showCatName val="0"/>
          <c:showSerName val="0"/>
          <c:showPercent val="0"/>
          <c:showBubbleSize val="0"/>
        </c:dLbls>
        <c:gapWidth val="150"/>
        <c:axId val="45929984"/>
        <c:axId val="40626432"/>
        <c:extLst/>
      </c:barChart>
      <c:lineChart>
        <c:grouping val="standard"/>
        <c:varyColors val="0"/>
        <c:ser>
          <c:idx val="2"/>
          <c:order val="1"/>
          <c:tx>
            <c:strRef>
              <c:f>'response time'!$C$1</c:f>
              <c:strCache>
                <c:ptCount val="1"/>
                <c:pt idx="0">
                  <c:v>Target</c:v>
                </c:pt>
              </c:strCache>
            </c:strRef>
          </c:tx>
          <c:spPr>
            <a:ln w="28575" cap="rnd">
              <a:solidFill>
                <a:schemeClr val="accent2"/>
              </a:solidFill>
              <a:round/>
            </a:ln>
            <a:effectLst/>
          </c:spPr>
          <c:marker>
            <c:symbol val="none"/>
          </c:marker>
          <c:cat>
            <c:numRef>
              <c:f>'response time'!$A$2:$A$25</c:f>
              <c:numCache>
                <c:formatCode>mmm\-yy</c:formatCode>
                <c:ptCount val="24"/>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pt idx="13">
                  <c:v>42979</c:v>
                </c:pt>
                <c:pt idx="14">
                  <c:v>43009</c:v>
                </c:pt>
                <c:pt idx="15">
                  <c:v>43040</c:v>
                </c:pt>
                <c:pt idx="16">
                  <c:v>43070</c:v>
                </c:pt>
                <c:pt idx="17">
                  <c:v>43101</c:v>
                </c:pt>
                <c:pt idx="18">
                  <c:v>43132</c:v>
                </c:pt>
                <c:pt idx="19">
                  <c:v>43160</c:v>
                </c:pt>
                <c:pt idx="20">
                  <c:v>43191</c:v>
                </c:pt>
                <c:pt idx="21">
                  <c:v>43221</c:v>
                </c:pt>
                <c:pt idx="22">
                  <c:v>43252</c:v>
                </c:pt>
                <c:pt idx="23">
                  <c:v>43282</c:v>
                </c:pt>
              </c:numCache>
            </c:numRef>
          </c:cat>
          <c:val>
            <c:numRef>
              <c:f>'response time'!$C$2:$C$25</c:f>
              <c:numCache>
                <c:formatCode>General</c:formatCode>
                <c:ptCount val="24"/>
                <c:pt idx="0">
                  <c:v>600</c:v>
                </c:pt>
                <c:pt idx="1">
                  <c:v>600</c:v>
                </c:pt>
                <c:pt idx="2">
                  <c:v>600</c:v>
                </c:pt>
                <c:pt idx="3">
                  <c:v>600</c:v>
                </c:pt>
                <c:pt idx="4">
                  <c:v>600</c:v>
                </c:pt>
                <c:pt idx="5">
                  <c:v>600</c:v>
                </c:pt>
                <c:pt idx="6">
                  <c:v>600</c:v>
                </c:pt>
                <c:pt idx="7">
                  <c:v>600</c:v>
                </c:pt>
                <c:pt idx="8">
                  <c:v>600</c:v>
                </c:pt>
                <c:pt idx="9">
                  <c:v>600</c:v>
                </c:pt>
                <c:pt idx="10">
                  <c:v>600</c:v>
                </c:pt>
                <c:pt idx="11">
                  <c:v>600</c:v>
                </c:pt>
                <c:pt idx="12">
                  <c:v>600</c:v>
                </c:pt>
                <c:pt idx="13">
                  <c:v>600</c:v>
                </c:pt>
                <c:pt idx="14">
                  <c:v>600</c:v>
                </c:pt>
                <c:pt idx="15">
                  <c:v>600</c:v>
                </c:pt>
                <c:pt idx="16">
                  <c:v>600</c:v>
                </c:pt>
                <c:pt idx="17">
                  <c:v>600</c:v>
                </c:pt>
                <c:pt idx="18">
                  <c:v>600</c:v>
                </c:pt>
                <c:pt idx="19">
                  <c:v>600</c:v>
                </c:pt>
                <c:pt idx="20">
                  <c:v>600</c:v>
                </c:pt>
                <c:pt idx="21">
                  <c:v>600</c:v>
                </c:pt>
                <c:pt idx="22">
                  <c:v>600</c:v>
                </c:pt>
                <c:pt idx="23">
                  <c:v>600</c:v>
                </c:pt>
              </c:numCache>
            </c:numRef>
          </c:val>
          <c:smooth val="0"/>
          <c:extLst>
            <c:ext xmlns:c16="http://schemas.microsoft.com/office/drawing/2014/chart" uri="{C3380CC4-5D6E-409C-BE32-E72D297353CC}">
              <c16:uniqueId val="{0000001F-1685-4C53-A930-2CC729481D70}"/>
            </c:ext>
          </c:extLst>
        </c:ser>
        <c:ser>
          <c:idx val="3"/>
          <c:order val="2"/>
          <c:tx>
            <c:strRef>
              <c:f>'response time'!$D$1</c:f>
              <c:strCache>
                <c:ptCount val="1"/>
                <c:pt idx="0">
                  <c:v>Average</c:v>
                </c:pt>
              </c:strCache>
            </c:strRef>
          </c:tx>
          <c:spPr>
            <a:ln w="28575" cap="rnd">
              <a:solidFill>
                <a:schemeClr val="accent3"/>
              </a:solidFill>
              <a:round/>
            </a:ln>
            <a:effectLst/>
          </c:spPr>
          <c:marker>
            <c:symbol val="none"/>
          </c:marker>
          <c:cat>
            <c:numRef>
              <c:f>'response time'!$A$2:$A$25</c:f>
              <c:numCache>
                <c:formatCode>mmm\-yy</c:formatCode>
                <c:ptCount val="24"/>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pt idx="13">
                  <c:v>42979</c:v>
                </c:pt>
                <c:pt idx="14">
                  <c:v>43009</c:v>
                </c:pt>
                <c:pt idx="15">
                  <c:v>43040</c:v>
                </c:pt>
                <c:pt idx="16">
                  <c:v>43070</c:v>
                </c:pt>
                <c:pt idx="17">
                  <c:v>43101</c:v>
                </c:pt>
                <c:pt idx="18">
                  <c:v>43132</c:v>
                </c:pt>
                <c:pt idx="19">
                  <c:v>43160</c:v>
                </c:pt>
                <c:pt idx="20">
                  <c:v>43191</c:v>
                </c:pt>
                <c:pt idx="21">
                  <c:v>43221</c:v>
                </c:pt>
                <c:pt idx="22">
                  <c:v>43252</c:v>
                </c:pt>
                <c:pt idx="23">
                  <c:v>43282</c:v>
                </c:pt>
              </c:numCache>
            </c:numRef>
          </c:cat>
          <c:val>
            <c:numRef>
              <c:f>'response time'!$D$2:$D$25</c:f>
              <c:numCache>
                <c:formatCode>General</c:formatCode>
                <c:ptCount val="24"/>
                <c:pt idx="0">
                  <c:v>612</c:v>
                </c:pt>
                <c:pt idx="1">
                  <c:v>612</c:v>
                </c:pt>
                <c:pt idx="2">
                  <c:v>612</c:v>
                </c:pt>
                <c:pt idx="3">
                  <c:v>612</c:v>
                </c:pt>
                <c:pt idx="4">
                  <c:v>612</c:v>
                </c:pt>
                <c:pt idx="5">
                  <c:v>612</c:v>
                </c:pt>
                <c:pt idx="6">
                  <c:v>612</c:v>
                </c:pt>
                <c:pt idx="7">
                  <c:v>612</c:v>
                </c:pt>
                <c:pt idx="8">
                  <c:v>612</c:v>
                </c:pt>
                <c:pt idx="9">
                  <c:v>612</c:v>
                </c:pt>
                <c:pt idx="10">
                  <c:v>612</c:v>
                </c:pt>
                <c:pt idx="11">
                  <c:v>612</c:v>
                </c:pt>
                <c:pt idx="12">
                  <c:v>612</c:v>
                </c:pt>
                <c:pt idx="13">
                  <c:v>612</c:v>
                </c:pt>
                <c:pt idx="14">
                  <c:v>612</c:v>
                </c:pt>
                <c:pt idx="15">
                  <c:v>612</c:v>
                </c:pt>
                <c:pt idx="16">
                  <c:v>612</c:v>
                </c:pt>
                <c:pt idx="17">
                  <c:v>612</c:v>
                </c:pt>
                <c:pt idx="18">
                  <c:v>612</c:v>
                </c:pt>
                <c:pt idx="19">
                  <c:v>612</c:v>
                </c:pt>
                <c:pt idx="20">
                  <c:v>612</c:v>
                </c:pt>
                <c:pt idx="21">
                  <c:v>612</c:v>
                </c:pt>
                <c:pt idx="22">
                  <c:v>612</c:v>
                </c:pt>
                <c:pt idx="23">
                  <c:v>612</c:v>
                </c:pt>
              </c:numCache>
            </c:numRef>
          </c:val>
          <c:smooth val="0"/>
          <c:extLst>
            <c:ext xmlns:c16="http://schemas.microsoft.com/office/drawing/2014/chart" uri="{C3380CC4-5D6E-409C-BE32-E72D297353CC}">
              <c16:uniqueId val="{00000020-1685-4C53-A930-2CC729481D70}"/>
            </c:ext>
          </c:extLst>
        </c:ser>
        <c:dLbls>
          <c:showLegendKey val="0"/>
          <c:showVal val="0"/>
          <c:showCatName val="0"/>
          <c:showSerName val="0"/>
          <c:showPercent val="0"/>
          <c:showBubbleSize val="0"/>
        </c:dLbls>
        <c:marker val="1"/>
        <c:smooth val="0"/>
        <c:axId val="45929984"/>
        <c:axId val="40626432"/>
      </c:lineChart>
      <c:dateAx>
        <c:axId val="459299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6432"/>
        <c:crosses val="autoZero"/>
        <c:auto val="1"/>
        <c:lblOffset val="100"/>
        <c:baseTimeUnit val="months"/>
      </c:dateAx>
      <c:valAx>
        <c:axId val="40626432"/>
        <c:scaling>
          <c:orientation val="minMax"/>
          <c:max val="650"/>
          <c:min val="5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Seconds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29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Whole Time Stations Response Time </a:t>
            </a:r>
            <a:br>
              <a:rPr lang="en-GB"/>
            </a:br>
            <a:r>
              <a:rPr lang="en-GB"/>
              <a:t>with average distance to incident</a:t>
            </a:r>
          </a:p>
        </c:rich>
      </c:tx>
      <c:layout>
        <c:manualLayout>
          <c:xMode val="edge"/>
          <c:yMode val="edge"/>
          <c:x val="0.27266504725500995"/>
          <c:y val="2.4117140396210164E-2"/>
        </c:manualLayout>
      </c:layout>
      <c:overlay val="0"/>
      <c:spPr>
        <a:noFill/>
        <a:ln>
          <a:noFill/>
        </a:ln>
        <a:effectLst/>
      </c:spPr>
    </c:title>
    <c:autoTitleDeleted val="0"/>
    <c:plotArea>
      <c:layout/>
      <c:barChart>
        <c:barDir val="col"/>
        <c:grouping val="clustered"/>
        <c:varyColors val="0"/>
        <c:ser>
          <c:idx val="0"/>
          <c:order val="0"/>
          <c:tx>
            <c:strRef>
              <c:f>'whole time response'!$G$1</c:f>
              <c:strCache>
                <c:ptCount val="1"/>
                <c:pt idx="0">
                  <c:v>Response Time - Mobilised to Arrival</c:v>
                </c:pt>
              </c:strCache>
            </c:strRef>
          </c:tx>
          <c:spPr>
            <a:solidFill>
              <a:schemeClr val="accent1"/>
            </a:solidFill>
            <a:ln>
              <a:noFill/>
            </a:ln>
            <a:effectLst/>
          </c:spPr>
          <c:invertIfNegative val="0"/>
          <c:cat>
            <c:strRef>
              <c:f>'whole time response'!$F$2:$F$13</c:f>
              <c:strCache>
                <c:ptCount val="12"/>
                <c:pt idx="0">
                  <c:v>Southend</c:v>
                </c:pt>
                <c:pt idx="1">
                  <c:v>Harlow Central</c:v>
                </c:pt>
                <c:pt idx="2">
                  <c:v>Leigh</c:v>
                </c:pt>
                <c:pt idx="3">
                  <c:v>Clacton</c:v>
                </c:pt>
                <c:pt idx="4">
                  <c:v>Loughton</c:v>
                </c:pt>
                <c:pt idx="5">
                  <c:v>Orsett</c:v>
                </c:pt>
                <c:pt idx="6">
                  <c:v>Basildon</c:v>
                </c:pt>
                <c:pt idx="7">
                  <c:v>Rayleigh Weir</c:v>
                </c:pt>
                <c:pt idx="8">
                  <c:v>Colchester</c:v>
                </c:pt>
                <c:pt idx="9">
                  <c:v>Chelmsford</c:v>
                </c:pt>
                <c:pt idx="10">
                  <c:v>Brentwood</c:v>
                </c:pt>
                <c:pt idx="11">
                  <c:v>Grays</c:v>
                </c:pt>
              </c:strCache>
            </c:strRef>
          </c:cat>
          <c:val>
            <c:numRef>
              <c:f>'whole time response'!$G$2:$G$13</c:f>
              <c:numCache>
                <c:formatCode>0.00</c:formatCode>
                <c:ptCount val="12"/>
                <c:pt idx="0">
                  <c:v>6.51</c:v>
                </c:pt>
                <c:pt idx="1">
                  <c:v>6.85</c:v>
                </c:pt>
                <c:pt idx="2">
                  <c:v>6.31</c:v>
                </c:pt>
                <c:pt idx="3">
                  <c:v>6.85</c:v>
                </c:pt>
                <c:pt idx="4">
                  <c:v>9.43</c:v>
                </c:pt>
                <c:pt idx="5">
                  <c:v>7.91</c:v>
                </c:pt>
                <c:pt idx="6">
                  <c:v>7.35</c:v>
                </c:pt>
                <c:pt idx="7">
                  <c:v>8.23</c:v>
                </c:pt>
                <c:pt idx="8">
                  <c:v>8.26</c:v>
                </c:pt>
                <c:pt idx="9">
                  <c:v>8.0299999999999994</c:v>
                </c:pt>
                <c:pt idx="10">
                  <c:v>9.3800000000000008</c:v>
                </c:pt>
                <c:pt idx="11">
                  <c:v>8.24</c:v>
                </c:pt>
              </c:numCache>
            </c:numRef>
          </c:val>
          <c:extLst>
            <c:ext xmlns:c16="http://schemas.microsoft.com/office/drawing/2014/chart" uri="{C3380CC4-5D6E-409C-BE32-E72D297353CC}">
              <c16:uniqueId val="{00000000-2E15-420F-89FA-0FC550209D48}"/>
            </c:ext>
          </c:extLst>
        </c:ser>
        <c:ser>
          <c:idx val="1"/>
          <c:order val="1"/>
          <c:tx>
            <c:strRef>
              <c:f>'whole time response'!$H$1</c:f>
              <c:strCache>
                <c:ptCount val="1"/>
                <c:pt idx="0">
                  <c:v>Incident Numbers</c:v>
                </c:pt>
              </c:strCache>
            </c:strRef>
          </c:tx>
          <c:spPr>
            <a:solidFill>
              <a:schemeClr val="bg1"/>
            </a:solidFill>
            <a:ln>
              <a:solidFill>
                <a:schemeClr val="bg1"/>
              </a:solidFill>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'whole time response'!$F$2:$F$13</c:f>
              <c:strCache>
                <c:ptCount val="12"/>
                <c:pt idx="0">
                  <c:v>Southend</c:v>
                </c:pt>
                <c:pt idx="1">
                  <c:v>Harlow Central</c:v>
                </c:pt>
                <c:pt idx="2">
                  <c:v>Leigh</c:v>
                </c:pt>
                <c:pt idx="3">
                  <c:v>Clacton</c:v>
                </c:pt>
                <c:pt idx="4">
                  <c:v>Loughton</c:v>
                </c:pt>
                <c:pt idx="5">
                  <c:v>Orsett</c:v>
                </c:pt>
                <c:pt idx="6">
                  <c:v>Basildon</c:v>
                </c:pt>
                <c:pt idx="7">
                  <c:v>Rayleigh Weir</c:v>
                </c:pt>
                <c:pt idx="8">
                  <c:v>Colchester</c:v>
                </c:pt>
                <c:pt idx="9">
                  <c:v>Chelmsford</c:v>
                </c:pt>
                <c:pt idx="10">
                  <c:v>Brentwood</c:v>
                </c:pt>
                <c:pt idx="11">
                  <c:v>Grays</c:v>
                </c:pt>
              </c:strCache>
            </c:strRef>
          </c:cat>
          <c:val>
            <c:numRef>
              <c:f>'whole time response'!$H$2:$H$13</c:f>
              <c:numCache>
                <c:formatCode>General</c:formatCode>
                <c:ptCount val="12"/>
                <c:pt idx="0">
                  <c:v>127</c:v>
                </c:pt>
                <c:pt idx="1">
                  <c:v>142</c:v>
                </c:pt>
                <c:pt idx="2">
                  <c:v>52</c:v>
                </c:pt>
                <c:pt idx="3">
                  <c:v>100</c:v>
                </c:pt>
                <c:pt idx="4">
                  <c:v>60</c:v>
                </c:pt>
                <c:pt idx="5">
                  <c:v>64</c:v>
                </c:pt>
                <c:pt idx="6">
                  <c:v>131</c:v>
                </c:pt>
                <c:pt idx="7">
                  <c:v>72</c:v>
                </c:pt>
                <c:pt idx="8">
                  <c:v>164</c:v>
                </c:pt>
                <c:pt idx="9">
                  <c:v>99</c:v>
                </c:pt>
                <c:pt idx="10">
                  <c:v>85</c:v>
                </c:pt>
                <c:pt idx="11">
                  <c:v>144</c:v>
                </c:pt>
              </c:numCache>
            </c:numRef>
          </c:val>
          <c:extLst>
            <c:ext xmlns:c16="http://schemas.microsoft.com/office/drawing/2014/chart" uri="{C3380CC4-5D6E-409C-BE32-E72D297353CC}">
              <c16:uniqueId val="{00000001-2E15-420F-89FA-0FC550209D48}"/>
            </c:ext>
          </c:extLst>
        </c:ser>
        <c:dLbls>
          <c:showLegendKey val="0"/>
          <c:showVal val="0"/>
          <c:showCatName val="0"/>
          <c:showSerName val="0"/>
          <c:showPercent val="0"/>
          <c:showBubbleSize val="0"/>
        </c:dLbls>
        <c:gapWidth val="205"/>
        <c:axId val="45931520"/>
        <c:axId val="40628160"/>
      </c:barChart>
      <c:barChart>
        <c:barDir val="col"/>
        <c:grouping val="clustered"/>
        <c:varyColors val="0"/>
        <c:ser>
          <c:idx val="3"/>
          <c:order val="2"/>
          <c:tx>
            <c:strRef>
              <c:f>'whole time response'!$J$1</c:f>
              <c:strCache>
                <c:ptCount val="1"/>
                <c:pt idx="0">
                  <c:v>Average Distance to Incident (miles)</c:v>
                </c:pt>
              </c:strCache>
            </c:strRef>
          </c:tx>
          <c:spPr>
            <a:solidFill>
              <a:schemeClr val="accent4"/>
            </a:solidFill>
            <a:ln>
              <a:noFill/>
            </a:ln>
            <a:effectLst/>
          </c:spPr>
          <c:invertIfNegative val="0"/>
          <c:cat>
            <c:strRef>
              <c:f>'whole time response'!$F$2:$F$13</c:f>
              <c:strCache>
                <c:ptCount val="12"/>
                <c:pt idx="0">
                  <c:v>Southend</c:v>
                </c:pt>
                <c:pt idx="1">
                  <c:v>Harlow Central</c:v>
                </c:pt>
                <c:pt idx="2">
                  <c:v>Leigh</c:v>
                </c:pt>
                <c:pt idx="3">
                  <c:v>Clacton</c:v>
                </c:pt>
                <c:pt idx="4">
                  <c:v>Loughton</c:v>
                </c:pt>
                <c:pt idx="5">
                  <c:v>Orsett</c:v>
                </c:pt>
                <c:pt idx="6">
                  <c:v>Basildon</c:v>
                </c:pt>
                <c:pt idx="7">
                  <c:v>Rayleigh Weir</c:v>
                </c:pt>
                <c:pt idx="8">
                  <c:v>Colchester</c:v>
                </c:pt>
                <c:pt idx="9">
                  <c:v>Chelmsford</c:v>
                </c:pt>
                <c:pt idx="10">
                  <c:v>Brentwood</c:v>
                </c:pt>
                <c:pt idx="11">
                  <c:v>Grays</c:v>
                </c:pt>
              </c:strCache>
            </c:strRef>
          </c:cat>
          <c:val>
            <c:numRef>
              <c:f>'whole time response'!$J$2:$J$13</c:f>
              <c:numCache>
                <c:formatCode>0.00</c:formatCode>
                <c:ptCount val="12"/>
                <c:pt idx="0">
                  <c:v>1.7779660987086909</c:v>
                </c:pt>
                <c:pt idx="1">
                  <c:v>1.8284234950300431</c:v>
                </c:pt>
                <c:pt idx="2">
                  <c:v>1.9485003542688386</c:v>
                </c:pt>
                <c:pt idx="3">
                  <c:v>2.0950348354708486</c:v>
                </c:pt>
                <c:pt idx="4">
                  <c:v>2.7015669056658616</c:v>
                </c:pt>
                <c:pt idx="5">
                  <c:v>2.7662792342946365</c:v>
                </c:pt>
                <c:pt idx="6">
                  <c:v>2.7710440646984278</c:v>
                </c:pt>
                <c:pt idx="7">
                  <c:v>2.8166731504874001</c:v>
                </c:pt>
                <c:pt idx="8">
                  <c:v>2.9755494627539614</c:v>
                </c:pt>
                <c:pt idx="9">
                  <c:v>3.3788114708351231</c:v>
                </c:pt>
                <c:pt idx="10">
                  <c:v>3.4240340807171901</c:v>
                </c:pt>
                <c:pt idx="11">
                  <c:v>3.4998440938170825</c:v>
                </c:pt>
              </c:numCache>
            </c:numRef>
          </c:val>
          <c:extLst>
            <c:ext xmlns:c16="http://schemas.microsoft.com/office/drawing/2014/chart" uri="{C3380CC4-5D6E-409C-BE32-E72D297353CC}">
              <c16:uniqueId val="{00000002-2E15-420F-89FA-0FC550209D48}"/>
            </c:ext>
          </c:extLst>
        </c:ser>
        <c:dLbls>
          <c:showLegendKey val="0"/>
          <c:showVal val="0"/>
          <c:showCatName val="0"/>
          <c:showSerName val="0"/>
          <c:showPercent val="0"/>
          <c:showBubbleSize val="0"/>
        </c:dLbls>
        <c:gapWidth val="409"/>
        <c:axId val="48553984"/>
        <c:axId val="40628736"/>
      </c:barChart>
      <c:catAx>
        <c:axId val="4593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8160"/>
        <c:crosses val="autoZero"/>
        <c:auto val="1"/>
        <c:lblAlgn val="ctr"/>
        <c:lblOffset val="100"/>
        <c:noMultiLvlLbl val="0"/>
      </c:catAx>
      <c:valAx>
        <c:axId val="40628160"/>
        <c:scaling>
          <c:orientation val="minMax"/>
          <c:max val="10"/>
        </c:scaling>
        <c:delete val="0"/>
        <c:axPos val="l"/>
        <c:majorGridlines>
          <c:spPr>
            <a:ln>
              <a:gradFill>
                <a:gsLst>
                  <a:gs pos="0">
                    <a:srgbClr val="5B9BD5">
                      <a:lumMod val="5000"/>
                      <a:lumOff val="95000"/>
                    </a:srgbClr>
                  </a:gs>
                  <a:gs pos="67000">
                    <a:srgbClr val="5B9BD5">
                      <a:lumMod val="45000"/>
                      <a:lumOff val="55000"/>
                    </a:srgbClr>
                  </a:gs>
                  <a:gs pos="83000">
                    <a:srgbClr val="5B9BD5">
                      <a:lumMod val="45000"/>
                      <a:lumOff val="55000"/>
                    </a:srgbClr>
                  </a:gs>
                  <a:gs pos="100000">
                    <a:srgbClr val="5B9BD5">
                      <a:lumMod val="30000"/>
                      <a:lumOff val="70000"/>
                    </a:srgbClr>
                  </a:gs>
                </a:gsLst>
                <a:lin ang="5400000" scaled="1"/>
              </a:gradFill>
            </a:ln>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Response Time (minutes)</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31520"/>
        <c:crosses val="autoZero"/>
        <c:crossBetween val="between"/>
      </c:valAx>
      <c:valAx>
        <c:axId val="40628736"/>
        <c:scaling>
          <c:orientation val="minMax"/>
        </c:scaling>
        <c:delete val="0"/>
        <c:axPos val="r"/>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a:t>
                </a:r>
                <a:r>
                  <a:rPr lang="en-GB" baseline="0"/>
                  <a:t> Distance (miles)</a:t>
                </a:r>
                <a:endParaRPr lang="en-GB"/>
              </a:p>
            </c:rich>
          </c:tx>
          <c:layout/>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3984"/>
        <c:crosses val="max"/>
        <c:crossBetween val="between"/>
      </c:valAx>
      <c:catAx>
        <c:axId val="48553984"/>
        <c:scaling>
          <c:orientation val="minMax"/>
        </c:scaling>
        <c:delete val="1"/>
        <c:axPos val="b"/>
        <c:numFmt formatCode="General" sourceLinked="1"/>
        <c:majorTickMark val="out"/>
        <c:minorTickMark val="none"/>
        <c:tickLblPos val="nextTo"/>
        <c:crossAx val="40628736"/>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0"/>
          <c:y val="0.92118822356507757"/>
          <c:w val="0.62359864930053066"/>
          <c:h val="5.81399418095993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Incidents</a:t>
            </a:r>
            <a:r>
              <a:rPr lang="en-GB" baseline="0"/>
              <a:t> attended within 10 minutes </a:t>
            </a:r>
            <a:br>
              <a:rPr lang="en-GB" baseline="0"/>
            </a:br>
            <a:r>
              <a:rPr lang="en-GB" baseline="0"/>
              <a:t> Whole Time Stations</a:t>
            </a:r>
            <a:endParaRPr lang="en-GB"/>
          </a:p>
        </c:rich>
      </c:tx>
      <c:layout/>
      <c:overlay val="0"/>
      <c:spPr>
        <a:noFill/>
        <a:ln>
          <a:noFill/>
        </a:ln>
        <a:effectLst/>
      </c:spPr>
    </c:title>
    <c:autoTitleDeleted val="0"/>
    <c:plotArea>
      <c:layout/>
      <c:barChart>
        <c:barDir val="col"/>
        <c:grouping val="clustered"/>
        <c:varyColors val="0"/>
        <c:ser>
          <c:idx val="0"/>
          <c:order val="0"/>
          <c:tx>
            <c:strRef>
              <c:f>'%''age attended in target'!$B$1</c:f>
              <c:strCache>
                <c:ptCount val="1"/>
                <c:pt idx="0">
                  <c:v>Percentage in Target</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 attended in target'!$A$2:$A$13</c:f>
              <c:strCache>
                <c:ptCount val="12"/>
                <c:pt idx="0">
                  <c:v>Leigh</c:v>
                </c:pt>
                <c:pt idx="1">
                  <c:v>Southend</c:v>
                </c:pt>
                <c:pt idx="2">
                  <c:v>Clacton</c:v>
                </c:pt>
                <c:pt idx="3">
                  <c:v>Harlow Central</c:v>
                </c:pt>
                <c:pt idx="4">
                  <c:v>Orsett</c:v>
                </c:pt>
                <c:pt idx="5">
                  <c:v>Basildon</c:v>
                </c:pt>
                <c:pt idx="6">
                  <c:v>Colchester</c:v>
                </c:pt>
                <c:pt idx="7">
                  <c:v>Chelmsford</c:v>
                </c:pt>
                <c:pt idx="8">
                  <c:v>Rayleigh Weir</c:v>
                </c:pt>
                <c:pt idx="9">
                  <c:v>Brentwood</c:v>
                </c:pt>
                <c:pt idx="10">
                  <c:v>Grays</c:v>
                </c:pt>
                <c:pt idx="11">
                  <c:v>Loughton</c:v>
                </c:pt>
              </c:strCache>
            </c:strRef>
          </c:cat>
          <c:val>
            <c:numRef>
              <c:f>'%''age attended in target'!$B$2:$B$13</c:f>
              <c:numCache>
                <c:formatCode>0.00%</c:formatCode>
                <c:ptCount val="12"/>
                <c:pt idx="0">
                  <c:v>0.82692307692307687</c:v>
                </c:pt>
                <c:pt idx="1">
                  <c:v>0.8110236220472441</c:v>
                </c:pt>
                <c:pt idx="2">
                  <c:v>0.78</c:v>
                </c:pt>
                <c:pt idx="3">
                  <c:v>0.77464788732394363</c:v>
                </c:pt>
                <c:pt idx="4">
                  <c:v>0.6875</c:v>
                </c:pt>
                <c:pt idx="5">
                  <c:v>0.68702290076335881</c:v>
                </c:pt>
                <c:pt idx="6">
                  <c:v>0.67682926829268297</c:v>
                </c:pt>
                <c:pt idx="7">
                  <c:v>0.6767676767676768</c:v>
                </c:pt>
                <c:pt idx="8">
                  <c:v>0.63888888888888884</c:v>
                </c:pt>
                <c:pt idx="9">
                  <c:v>0.56470588235294117</c:v>
                </c:pt>
                <c:pt idx="10">
                  <c:v>0.4861111111111111</c:v>
                </c:pt>
                <c:pt idx="11">
                  <c:v>0.4</c:v>
                </c:pt>
              </c:numCache>
            </c:numRef>
          </c:val>
          <c:extLst>
            <c:ext xmlns:c16="http://schemas.microsoft.com/office/drawing/2014/chart" uri="{C3380CC4-5D6E-409C-BE32-E72D297353CC}">
              <c16:uniqueId val="{00000000-A80C-42D5-B261-A02FCA9A5397}"/>
            </c:ext>
          </c:extLst>
        </c:ser>
        <c:dLbls>
          <c:showLegendKey val="0"/>
          <c:showVal val="0"/>
          <c:showCatName val="0"/>
          <c:showSerName val="0"/>
          <c:showPercent val="0"/>
          <c:showBubbleSize val="0"/>
        </c:dLbls>
        <c:gapWidth val="219"/>
        <c:axId val="48555008"/>
        <c:axId val="40625280"/>
      </c:barChart>
      <c:barChart>
        <c:barDir val="col"/>
        <c:grouping val="clustered"/>
        <c:varyColors val="0"/>
        <c:ser>
          <c:idx val="1"/>
          <c:order val="1"/>
          <c:tx>
            <c:strRef>
              <c:f>'%''age attended in target'!$C$1</c:f>
              <c:strCache>
                <c:ptCount val="1"/>
                <c:pt idx="0">
                  <c:v>Incident Numbers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 attended in target'!$A$2:$A$13</c:f>
              <c:strCache>
                <c:ptCount val="12"/>
                <c:pt idx="0">
                  <c:v>Leigh</c:v>
                </c:pt>
                <c:pt idx="1">
                  <c:v>Southend</c:v>
                </c:pt>
                <c:pt idx="2">
                  <c:v>Clacton</c:v>
                </c:pt>
                <c:pt idx="3">
                  <c:v>Harlow Central</c:v>
                </c:pt>
                <c:pt idx="4">
                  <c:v>Orsett</c:v>
                </c:pt>
                <c:pt idx="5">
                  <c:v>Basildon</c:v>
                </c:pt>
                <c:pt idx="6">
                  <c:v>Colchester</c:v>
                </c:pt>
                <c:pt idx="7">
                  <c:v>Chelmsford</c:v>
                </c:pt>
                <c:pt idx="8">
                  <c:v>Rayleigh Weir</c:v>
                </c:pt>
                <c:pt idx="9">
                  <c:v>Brentwood</c:v>
                </c:pt>
                <c:pt idx="10">
                  <c:v>Grays</c:v>
                </c:pt>
                <c:pt idx="11">
                  <c:v>Loughton</c:v>
                </c:pt>
              </c:strCache>
            </c:strRef>
          </c:cat>
          <c:val>
            <c:numRef>
              <c:f>'%''age attended in target'!$C$2:$C$13</c:f>
              <c:numCache>
                <c:formatCode>General</c:formatCode>
                <c:ptCount val="12"/>
                <c:pt idx="0">
                  <c:v>52</c:v>
                </c:pt>
                <c:pt idx="1">
                  <c:v>127</c:v>
                </c:pt>
                <c:pt idx="2">
                  <c:v>100</c:v>
                </c:pt>
                <c:pt idx="3">
                  <c:v>142</c:v>
                </c:pt>
                <c:pt idx="4">
                  <c:v>64</c:v>
                </c:pt>
                <c:pt idx="5">
                  <c:v>131</c:v>
                </c:pt>
                <c:pt idx="6">
                  <c:v>164</c:v>
                </c:pt>
                <c:pt idx="7">
                  <c:v>99</c:v>
                </c:pt>
                <c:pt idx="8">
                  <c:v>72</c:v>
                </c:pt>
                <c:pt idx="9">
                  <c:v>85</c:v>
                </c:pt>
                <c:pt idx="10">
                  <c:v>144</c:v>
                </c:pt>
                <c:pt idx="11">
                  <c:v>60</c:v>
                </c:pt>
              </c:numCache>
            </c:numRef>
          </c:val>
          <c:extLst>
            <c:ext xmlns:c16="http://schemas.microsoft.com/office/drawing/2014/chart" uri="{C3380CC4-5D6E-409C-BE32-E72D297353CC}">
              <c16:uniqueId val="{00000001-A80C-42D5-B261-A02FCA9A5397}"/>
            </c:ext>
          </c:extLst>
        </c:ser>
        <c:dLbls>
          <c:showLegendKey val="0"/>
          <c:showVal val="0"/>
          <c:showCatName val="0"/>
          <c:showSerName val="0"/>
          <c:showPercent val="0"/>
          <c:showBubbleSize val="0"/>
        </c:dLbls>
        <c:gapWidth val="219"/>
        <c:axId val="48557568"/>
        <c:axId val="40625856"/>
      </c:barChart>
      <c:lineChart>
        <c:grouping val="standard"/>
        <c:varyColors val="0"/>
        <c:ser>
          <c:idx val="2"/>
          <c:order val="2"/>
          <c:tx>
            <c:strRef>
              <c:f>'%''age attended in target'!$D$1</c:f>
              <c:strCache>
                <c:ptCount val="1"/>
                <c:pt idx="0">
                  <c:v>Average % in Target</c:v>
                </c:pt>
              </c:strCache>
            </c:strRef>
          </c:tx>
          <c:spPr>
            <a:ln w="28575" cap="rnd">
              <a:solidFill>
                <a:schemeClr val="accent2"/>
              </a:solidFill>
              <a:round/>
            </a:ln>
            <a:effectLst/>
          </c:spPr>
          <c:marker>
            <c:symbol val="none"/>
          </c:marker>
          <c:cat>
            <c:strRef>
              <c:f>'%''age attended in target'!$A$2:$A$13</c:f>
              <c:strCache>
                <c:ptCount val="12"/>
                <c:pt idx="0">
                  <c:v>Leigh</c:v>
                </c:pt>
                <c:pt idx="1">
                  <c:v>Southend</c:v>
                </c:pt>
                <c:pt idx="2">
                  <c:v>Clacton</c:v>
                </c:pt>
                <c:pt idx="3">
                  <c:v>Harlow Central</c:v>
                </c:pt>
                <c:pt idx="4">
                  <c:v>Orsett</c:v>
                </c:pt>
                <c:pt idx="5">
                  <c:v>Basildon</c:v>
                </c:pt>
                <c:pt idx="6">
                  <c:v>Colchester</c:v>
                </c:pt>
                <c:pt idx="7">
                  <c:v>Chelmsford</c:v>
                </c:pt>
                <c:pt idx="8">
                  <c:v>Rayleigh Weir</c:v>
                </c:pt>
                <c:pt idx="9">
                  <c:v>Brentwood</c:v>
                </c:pt>
                <c:pt idx="10">
                  <c:v>Grays</c:v>
                </c:pt>
                <c:pt idx="11">
                  <c:v>Loughton</c:v>
                </c:pt>
              </c:strCache>
            </c:strRef>
          </c:cat>
          <c:val>
            <c:numRef>
              <c:f>'%''age attended in target'!$D$2:$D$13</c:f>
              <c:numCache>
                <c:formatCode>0.00%</c:formatCode>
                <c:ptCount val="12"/>
                <c:pt idx="0">
                  <c:v>0.66749999999999998</c:v>
                </c:pt>
                <c:pt idx="1">
                  <c:v>0.66749999999999998</c:v>
                </c:pt>
                <c:pt idx="2">
                  <c:v>0.66749999999999998</c:v>
                </c:pt>
                <c:pt idx="3">
                  <c:v>0.66749999999999998</c:v>
                </c:pt>
                <c:pt idx="4">
                  <c:v>0.66749999999999998</c:v>
                </c:pt>
                <c:pt idx="5">
                  <c:v>0.66749999999999998</c:v>
                </c:pt>
                <c:pt idx="6">
                  <c:v>0.66749999999999998</c:v>
                </c:pt>
                <c:pt idx="7">
                  <c:v>0.66749999999999998</c:v>
                </c:pt>
                <c:pt idx="8">
                  <c:v>0.66749999999999998</c:v>
                </c:pt>
                <c:pt idx="9">
                  <c:v>0.66749999999999998</c:v>
                </c:pt>
                <c:pt idx="10">
                  <c:v>0.66749999999999998</c:v>
                </c:pt>
                <c:pt idx="11">
                  <c:v>0.66749999999999998</c:v>
                </c:pt>
              </c:numCache>
            </c:numRef>
          </c:val>
          <c:smooth val="0"/>
          <c:extLst>
            <c:ext xmlns:c16="http://schemas.microsoft.com/office/drawing/2014/chart" uri="{C3380CC4-5D6E-409C-BE32-E72D297353CC}">
              <c16:uniqueId val="{00000002-A80C-42D5-B261-A02FCA9A5397}"/>
            </c:ext>
          </c:extLst>
        </c:ser>
        <c:dLbls>
          <c:showLegendKey val="0"/>
          <c:showVal val="0"/>
          <c:showCatName val="0"/>
          <c:showSerName val="0"/>
          <c:showPercent val="0"/>
          <c:showBubbleSize val="0"/>
        </c:dLbls>
        <c:marker val="1"/>
        <c:smooth val="0"/>
        <c:axId val="48555008"/>
        <c:axId val="40625280"/>
      </c:lineChart>
      <c:catAx>
        <c:axId val="4855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5280"/>
        <c:crosses val="autoZero"/>
        <c:auto val="1"/>
        <c:lblAlgn val="ctr"/>
        <c:lblOffset val="100"/>
        <c:noMultiLvlLbl val="0"/>
      </c:catAx>
      <c:valAx>
        <c:axId val="40625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5008"/>
        <c:crosses val="autoZero"/>
        <c:crossBetween val="between"/>
      </c:valAx>
      <c:valAx>
        <c:axId val="40625856"/>
        <c:scaling>
          <c:orientation val="minMax"/>
          <c:max val="350"/>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7568"/>
        <c:crosses val="max"/>
        <c:crossBetween val="between"/>
        <c:majorUnit val="100"/>
      </c:valAx>
      <c:catAx>
        <c:axId val="48557568"/>
        <c:scaling>
          <c:orientation val="minMax"/>
        </c:scaling>
        <c:delete val="1"/>
        <c:axPos val="b"/>
        <c:numFmt formatCode="General" sourceLinked="1"/>
        <c:majorTickMark val="out"/>
        <c:minorTickMark val="none"/>
        <c:tickLblPos val="nextTo"/>
        <c:crossAx val="406258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On Call Stations</a:t>
            </a:r>
            <a:r>
              <a:rPr lang="en-GB" baseline="0"/>
              <a:t> Response Time with Average Distance to Incident</a:t>
            </a:r>
            <a:endParaRPr lang="en-GB"/>
          </a:p>
        </c:rich>
      </c:tx>
      <c:layout/>
      <c:overlay val="0"/>
      <c:spPr>
        <a:noFill/>
        <a:ln>
          <a:noFill/>
        </a:ln>
        <a:effectLst/>
      </c:spPr>
    </c:title>
    <c:autoTitleDeleted val="0"/>
    <c:plotArea>
      <c:layout/>
      <c:barChart>
        <c:barDir val="col"/>
        <c:grouping val="clustered"/>
        <c:varyColors val="0"/>
        <c:ser>
          <c:idx val="0"/>
          <c:order val="0"/>
          <c:tx>
            <c:strRef>
              <c:f>'Call to arrival and Distance'!$B$1</c:f>
              <c:strCache>
                <c:ptCount val="1"/>
                <c:pt idx="0">
                  <c:v>Response Time</c:v>
                </c:pt>
              </c:strCache>
            </c:strRef>
          </c:tx>
          <c:spPr>
            <a:solidFill>
              <a:schemeClr val="accent1"/>
            </a:solidFill>
            <a:ln>
              <a:noFill/>
            </a:ln>
            <a:effectLst/>
          </c:spPr>
          <c:invertIfNegative val="0"/>
          <c:cat>
            <c:strRef>
              <c:f>'Call to arrival and Distance'!$A$2:$A$37</c:f>
              <c:strCache>
                <c:ptCount val="36"/>
                <c:pt idx="0">
                  <c:v>Frinton</c:v>
                </c:pt>
                <c:pt idx="1">
                  <c:v>Sible Hedingham</c:v>
                </c:pt>
                <c:pt idx="2">
                  <c:v>Burnham</c:v>
                </c:pt>
                <c:pt idx="3">
                  <c:v>Canvey</c:v>
                </c:pt>
                <c:pt idx="4">
                  <c:v>Tollesbury</c:v>
                </c:pt>
                <c:pt idx="5">
                  <c:v>West Mersea</c:v>
                </c:pt>
                <c:pt idx="6">
                  <c:v>Rochford</c:v>
                </c:pt>
                <c:pt idx="7">
                  <c:v>Shoeburyness</c:v>
                </c:pt>
                <c:pt idx="8">
                  <c:v>Weeley</c:v>
                </c:pt>
                <c:pt idx="9">
                  <c:v>Newport</c:v>
                </c:pt>
                <c:pt idx="10">
                  <c:v>Manningtree</c:v>
                </c:pt>
                <c:pt idx="11">
                  <c:v>Thaxted</c:v>
                </c:pt>
                <c:pt idx="12">
                  <c:v>Witham</c:v>
                </c:pt>
                <c:pt idx="13">
                  <c:v>Billericay</c:v>
                </c:pt>
                <c:pt idx="14">
                  <c:v>Corringham</c:v>
                </c:pt>
                <c:pt idx="15">
                  <c:v>Dovercourt</c:v>
                </c:pt>
                <c:pt idx="16">
                  <c:v>Braintree</c:v>
                </c:pt>
                <c:pt idx="17">
                  <c:v>Epping</c:v>
                </c:pt>
                <c:pt idx="18">
                  <c:v>Great Dunmow</c:v>
                </c:pt>
                <c:pt idx="19">
                  <c:v>Waltham Abbey</c:v>
                </c:pt>
                <c:pt idx="20">
                  <c:v>Maldon</c:v>
                </c:pt>
                <c:pt idx="21">
                  <c:v>Old Harlow</c:v>
                </c:pt>
                <c:pt idx="22">
                  <c:v>Wickford</c:v>
                </c:pt>
                <c:pt idx="23">
                  <c:v>South Woodham </c:v>
                </c:pt>
                <c:pt idx="24">
                  <c:v>Saffron Walden</c:v>
                </c:pt>
                <c:pt idx="25">
                  <c:v>Great Baddow</c:v>
                </c:pt>
                <c:pt idx="26">
                  <c:v>Ongar</c:v>
                </c:pt>
                <c:pt idx="27">
                  <c:v>Hawkwell</c:v>
                </c:pt>
                <c:pt idx="28">
                  <c:v>Tiptree</c:v>
                </c:pt>
                <c:pt idx="29">
                  <c:v>Stansted</c:v>
                </c:pt>
                <c:pt idx="30">
                  <c:v>Halstead</c:v>
                </c:pt>
                <c:pt idx="31">
                  <c:v>Wethersfield</c:v>
                </c:pt>
                <c:pt idx="32">
                  <c:v>Wivenhoe</c:v>
                </c:pt>
                <c:pt idx="33">
                  <c:v>Coggeshall</c:v>
                </c:pt>
                <c:pt idx="34">
                  <c:v>Tillingham</c:v>
                </c:pt>
                <c:pt idx="35">
                  <c:v>Brightlingsea</c:v>
                </c:pt>
              </c:strCache>
            </c:strRef>
          </c:cat>
          <c:val>
            <c:numRef>
              <c:f>'Call to arrival and Distance'!$B$2:$B$37</c:f>
              <c:numCache>
                <c:formatCode>0.00</c:formatCode>
                <c:ptCount val="36"/>
                <c:pt idx="0">
                  <c:v>9.93</c:v>
                </c:pt>
                <c:pt idx="1">
                  <c:v>7.07</c:v>
                </c:pt>
                <c:pt idx="2">
                  <c:v>13.65</c:v>
                </c:pt>
                <c:pt idx="3">
                  <c:v>9.82</c:v>
                </c:pt>
                <c:pt idx="4">
                  <c:v>9.5299999999999994</c:v>
                </c:pt>
                <c:pt idx="5">
                  <c:v>10.02</c:v>
                </c:pt>
                <c:pt idx="6">
                  <c:v>9.33</c:v>
                </c:pt>
                <c:pt idx="7">
                  <c:v>6.77</c:v>
                </c:pt>
                <c:pt idx="8">
                  <c:v>8.75</c:v>
                </c:pt>
                <c:pt idx="9">
                  <c:v>18.97</c:v>
                </c:pt>
                <c:pt idx="10">
                  <c:v>9.93</c:v>
                </c:pt>
                <c:pt idx="11">
                  <c:v>9.9700000000000006</c:v>
                </c:pt>
                <c:pt idx="12">
                  <c:v>10.3</c:v>
                </c:pt>
                <c:pt idx="13">
                  <c:v>9.27</c:v>
                </c:pt>
                <c:pt idx="14">
                  <c:v>8.32</c:v>
                </c:pt>
                <c:pt idx="15">
                  <c:v>8.82</c:v>
                </c:pt>
                <c:pt idx="16">
                  <c:v>9.3800000000000008</c:v>
                </c:pt>
                <c:pt idx="17">
                  <c:v>9.7200000000000006</c:v>
                </c:pt>
                <c:pt idx="18">
                  <c:v>13.5</c:v>
                </c:pt>
                <c:pt idx="19">
                  <c:v>10.43</c:v>
                </c:pt>
                <c:pt idx="20">
                  <c:v>12.03</c:v>
                </c:pt>
                <c:pt idx="21">
                  <c:v>12.4</c:v>
                </c:pt>
                <c:pt idx="22">
                  <c:v>9.6999999999999993</c:v>
                </c:pt>
                <c:pt idx="23">
                  <c:v>10.55</c:v>
                </c:pt>
                <c:pt idx="24">
                  <c:v>11.4</c:v>
                </c:pt>
                <c:pt idx="25">
                  <c:v>10.58</c:v>
                </c:pt>
                <c:pt idx="26">
                  <c:v>13.22</c:v>
                </c:pt>
                <c:pt idx="27">
                  <c:v>8.65</c:v>
                </c:pt>
                <c:pt idx="28">
                  <c:v>10.78</c:v>
                </c:pt>
                <c:pt idx="29">
                  <c:v>9.4700000000000006</c:v>
                </c:pt>
                <c:pt idx="30">
                  <c:v>14.8</c:v>
                </c:pt>
                <c:pt idx="31">
                  <c:v>13.02</c:v>
                </c:pt>
                <c:pt idx="32">
                  <c:v>10.050000000000001</c:v>
                </c:pt>
                <c:pt idx="33">
                  <c:v>11.15</c:v>
                </c:pt>
                <c:pt idx="34">
                  <c:v>13.38</c:v>
                </c:pt>
                <c:pt idx="35">
                  <c:v>13.7</c:v>
                </c:pt>
              </c:numCache>
            </c:numRef>
          </c:val>
          <c:extLst>
            <c:ext xmlns:c16="http://schemas.microsoft.com/office/drawing/2014/chart" uri="{C3380CC4-5D6E-409C-BE32-E72D297353CC}">
              <c16:uniqueId val="{00000000-3E2D-4104-A053-0F316BA0BE30}"/>
            </c:ext>
          </c:extLst>
        </c:ser>
        <c:ser>
          <c:idx val="1"/>
          <c:order val="1"/>
          <c:tx>
            <c:strRef>
              <c:f>'Call to arrival and Distance'!$C$1</c:f>
              <c:strCache>
                <c:ptCount val="1"/>
                <c:pt idx="0">
                  <c:v>Incident Numbers</c:v>
                </c:pt>
              </c:strCache>
            </c:strRef>
          </c:tx>
          <c:spPr>
            <a:noFill/>
            <a:ln>
              <a:noFill/>
            </a:ln>
            <a:effectLst/>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'Call to arrival and Distance'!$A$2:$A$37</c:f>
              <c:strCache>
                <c:ptCount val="36"/>
                <c:pt idx="0">
                  <c:v>Frinton</c:v>
                </c:pt>
                <c:pt idx="1">
                  <c:v>Sible Hedingham</c:v>
                </c:pt>
                <c:pt idx="2">
                  <c:v>Burnham</c:v>
                </c:pt>
                <c:pt idx="3">
                  <c:v>Canvey</c:v>
                </c:pt>
                <c:pt idx="4">
                  <c:v>Tollesbury</c:v>
                </c:pt>
                <c:pt idx="5">
                  <c:v>West Mersea</c:v>
                </c:pt>
                <c:pt idx="6">
                  <c:v>Rochford</c:v>
                </c:pt>
                <c:pt idx="7">
                  <c:v>Shoeburyness</c:v>
                </c:pt>
                <c:pt idx="8">
                  <c:v>Weeley</c:v>
                </c:pt>
                <c:pt idx="9">
                  <c:v>Newport</c:v>
                </c:pt>
                <c:pt idx="10">
                  <c:v>Manningtree</c:v>
                </c:pt>
                <c:pt idx="11">
                  <c:v>Thaxted</c:v>
                </c:pt>
                <c:pt idx="12">
                  <c:v>Witham</c:v>
                </c:pt>
                <c:pt idx="13">
                  <c:v>Billericay</c:v>
                </c:pt>
                <c:pt idx="14">
                  <c:v>Corringham</c:v>
                </c:pt>
                <c:pt idx="15">
                  <c:v>Dovercourt</c:v>
                </c:pt>
                <c:pt idx="16">
                  <c:v>Braintree</c:v>
                </c:pt>
                <c:pt idx="17">
                  <c:v>Epping</c:v>
                </c:pt>
                <c:pt idx="18">
                  <c:v>Great Dunmow</c:v>
                </c:pt>
                <c:pt idx="19">
                  <c:v>Waltham Abbey</c:v>
                </c:pt>
                <c:pt idx="20">
                  <c:v>Maldon</c:v>
                </c:pt>
                <c:pt idx="21">
                  <c:v>Old Harlow</c:v>
                </c:pt>
                <c:pt idx="22">
                  <c:v>Wickford</c:v>
                </c:pt>
                <c:pt idx="23">
                  <c:v>South Woodham </c:v>
                </c:pt>
                <c:pt idx="24">
                  <c:v>Saffron Walden</c:v>
                </c:pt>
                <c:pt idx="25">
                  <c:v>Great Baddow</c:v>
                </c:pt>
                <c:pt idx="26">
                  <c:v>Ongar</c:v>
                </c:pt>
                <c:pt idx="27">
                  <c:v>Hawkwell</c:v>
                </c:pt>
                <c:pt idx="28">
                  <c:v>Tiptree</c:v>
                </c:pt>
                <c:pt idx="29">
                  <c:v>Stansted</c:v>
                </c:pt>
                <c:pt idx="30">
                  <c:v>Halstead</c:v>
                </c:pt>
                <c:pt idx="31">
                  <c:v>Wethersfield</c:v>
                </c:pt>
                <c:pt idx="32">
                  <c:v>Wivenhoe</c:v>
                </c:pt>
                <c:pt idx="33">
                  <c:v>Coggeshall</c:v>
                </c:pt>
                <c:pt idx="34">
                  <c:v>Tillingham</c:v>
                </c:pt>
                <c:pt idx="35">
                  <c:v>Brightlingsea</c:v>
                </c:pt>
              </c:strCache>
            </c:strRef>
          </c:cat>
          <c:val>
            <c:numRef>
              <c:f>'Call to arrival and Distance'!$C$2:$C$37</c:f>
              <c:numCache>
                <c:formatCode>General</c:formatCode>
                <c:ptCount val="36"/>
                <c:pt idx="0">
                  <c:v>16</c:v>
                </c:pt>
                <c:pt idx="1">
                  <c:v>2</c:v>
                </c:pt>
                <c:pt idx="2">
                  <c:v>7</c:v>
                </c:pt>
                <c:pt idx="3">
                  <c:v>14</c:v>
                </c:pt>
                <c:pt idx="4">
                  <c:v>3</c:v>
                </c:pt>
                <c:pt idx="5">
                  <c:v>6</c:v>
                </c:pt>
                <c:pt idx="6">
                  <c:v>14</c:v>
                </c:pt>
                <c:pt idx="7">
                  <c:v>12</c:v>
                </c:pt>
                <c:pt idx="8">
                  <c:v>9</c:v>
                </c:pt>
                <c:pt idx="9">
                  <c:v>2</c:v>
                </c:pt>
                <c:pt idx="10">
                  <c:v>10</c:v>
                </c:pt>
                <c:pt idx="11">
                  <c:v>5</c:v>
                </c:pt>
                <c:pt idx="12">
                  <c:v>34</c:v>
                </c:pt>
                <c:pt idx="13">
                  <c:v>15</c:v>
                </c:pt>
                <c:pt idx="14">
                  <c:v>19</c:v>
                </c:pt>
                <c:pt idx="15">
                  <c:v>27</c:v>
                </c:pt>
                <c:pt idx="16">
                  <c:v>43</c:v>
                </c:pt>
                <c:pt idx="17">
                  <c:v>31</c:v>
                </c:pt>
                <c:pt idx="18">
                  <c:v>20</c:v>
                </c:pt>
                <c:pt idx="19">
                  <c:v>23</c:v>
                </c:pt>
                <c:pt idx="20">
                  <c:v>31</c:v>
                </c:pt>
                <c:pt idx="21">
                  <c:v>8</c:v>
                </c:pt>
                <c:pt idx="22">
                  <c:v>10</c:v>
                </c:pt>
                <c:pt idx="23">
                  <c:v>12</c:v>
                </c:pt>
                <c:pt idx="24">
                  <c:v>33</c:v>
                </c:pt>
                <c:pt idx="25">
                  <c:v>26</c:v>
                </c:pt>
                <c:pt idx="26">
                  <c:v>7</c:v>
                </c:pt>
                <c:pt idx="27">
                  <c:v>20</c:v>
                </c:pt>
                <c:pt idx="28">
                  <c:v>20</c:v>
                </c:pt>
                <c:pt idx="29">
                  <c:v>21</c:v>
                </c:pt>
                <c:pt idx="30">
                  <c:v>27</c:v>
                </c:pt>
                <c:pt idx="31">
                  <c:v>1</c:v>
                </c:pt>
                <c:pt idx="32">
                  <c:v>12</c:v>
                </c:pt>
                <c:pt idx="33">
                  <c:v>13</c:v>
                </c:pt>
                <c:pt idx="34">
                  <c:v>15</c:v>
                </c:pt>
                <c:pt idx="35">
                  <c:v>7</c:v>
                </c:pt>
              </c:numCache>
            </c:numRef>
          </c:val>
          <c:extLst>
            <c:ext xmlns:c16="http://schemas.microsoft.com/office/drawing/2014/chart" uri="{C3380CC4-5D6E-409C-BE32-E72D297353CC}">
              <c16:uniqueId val="{00000001-3E2D-4104-A053-0F316BA0BE30}"/>
            </c:ext>
          </c:extLst>
        </c:ser>
        <c:dLbls>
          <c:showLegendKey val="0"/>
          <c:showVal val="0"/>
          <c:showCatName val="0"/>
          <c:showSerName val="0"/>
          <c:showPercent val="0"/>
          <c:showBubbleSize val="0"/>
        </c:dLbls>
        <c:gapWidth val="205"/>
        <c:overlap val="-27"/>
        <c:axId val="45928448"/>
        <c:axId val="113999872"/>
      </c:barChart>
      <c:barChart>
        <c:barDir val="col"/>
        <c:grouping val="clustered"/>
        <c:varyColors val="0"/>
        <c:ser>
          <c:idx val="2"/>
          <c:order val="2"/>
          <c:tx>
            <c:strRef>
              <c:f>'Call to arrival and Distance'!$D$1</c:f>
              <c:strCache>
                <c:ptCount val="1"/>
                <c:pt idx="0">
                  <c:v>Distance in Miles</c:v>
                </c:pt>
              </c:strCache>
            </c:strRef>
          </c:tx>
          <c:spPr>
            <a:solidFill>
              <a:schemeClr val="accent4"/>
            </a:solidFill>
            <a:ln>
              <a:noFill/>
            </a:ln>
            <a:effectLst/>
          </c:spPr>
          <c:invertIfNegative val="0"/>
          <c:cat>
            <c:strRef>
              <c:f>'Call to arrival and Distance'!$A$2:$A$37</c:f>
              <c:strCache>
                <c:ptCount val="36"/>
                <c:pt idx="0">
                  <c:v>Frinton</c:v>
                </c:pt>
                <c:pt idx="1">
                  <c:v>Sible Hedingham</c:v>
                </c:pt>
                <c:pt idx="2">
                  <c:v>Burnham</c:v>
                </c:pt>
                <c:pt idx="3">
                  <c:v>Canvey</c:v>
                </c:pt>
                <c:pt idx="4">
                  <c:v>Tollesbury</c:v>
                </c:pt>
                <c:pt idx="5">
                  <c:v>West Mersea</c:v>
                </c:pt>
                <c:pt idx="6">
                  <c:v>Rochford</c:v>
                </c:pt>
                <c:pt idx="7">
                  <c:v>Shoeburyness</c:v>
                </c:pt>
                <c:pt idx="8">
                  <c:v>Weeley</c:v>
                </c:pt>
                <c:pt idx="9">
                  <c:v>Newport</c:v>
                </c:pt>
                <c:pt idx="10">
                  <c:v>Manningtree</c:v>
                </c:pt>
                <c:pt idx="11">
                  <c:v>Thaxted</c:v>
                </c:pt>
                <c:pt idx="12">
                  <c:v>Witham</c:v>
                </c:pt>
                <c:pt idx="13">
                  <c:v>Billericay</c:v>
                </c:pt>
                <c:pt idx="14">
                  <c:v>Corringham</c:v>
                </c:pt>
                <c:pt idx="15">
                  <c:v>Dovercourt</c:v>
                </c:pt>
                <c:pt idx="16">
                  <c:v>Braintree</c:v>
                </c:pt>
                <c:pt idx="17">
                  <c:v>Epping</c:v>
                </c:pt>
                <c:pt idx="18">
                  <c:v>Great Dunmow</c:v>
                </c:pt>
                <c:pt idx="19">
                  <c:v>Waltham Abbey</c:v>
                </c:pt>
                <c:pt idx="20">
                  <c:v>Maldon</c:v>
                </c:pt>
                <c:pt idx="21">
                  <c:v>Old Harlow</c:v>
                </c:pt>
                <c:pt idx="22">
                  <c:v>Wickford</c:v>
                </c:pt>
                <c:pt idx="23">
                  <c:v>South Woodham </c:v>
                </c:pt>
                <c:pt idx="24">
                  <c:v>Saffron Walden</c:v>
                </c:pt>
                <c:pt idx="25">
                  <c:v>Great Baddow</c:v>
                </c:pt>
                <c:pt idx="26">
                  <c:v>Ongar</c:v>
                </c:pt>
                <c:pt idx="27">
                  <c:v>Hawkwell</c:v>
                </c:pt>
                <c:pt idx="28">
                  <c:v>Tiptree</c:v>
                </c:pt>
                <c:pt idx="29">
                  <c:v>Stansted</c:v>
                </c:pt>
                <c:pt idx="30">
                  <c:v>Halstead</c:v>
                </c:pt>
                <c:pt idx="31">
                  <c:v>Wethersfield</c:v>
                </c:pt>
                <c:pt idx="32">
                  <c:v>Wivenhoe</c:v>
                </c:pt>
                <c:pt idx="33">
                  <c:v>Coggeshall</c:v>
                </c:pt>
                <c:pt idx="34">
                  <c:v>Tillingham</c:v>
                </c:pt>
                <c:pt idx="35">
                  <c:v>Brightlingsea</c:v>
                </c:pt>
              </c:strCache>
            </c:strRef>
          </c:cat>
          <c:val>
            <c:numRef>
              <c:f>'Call to arrival and Distance'!$D$2:$D$37</c:f>
              <c:numCache>
                <c:formatCode>0.0</c:formatCode>
                <c:ptCount val="36"/>
                <c:pt idx="0">
                  <c:v>1.1553309352886241</c:v>
                </c:pt>
                <c:pt idx="1">
                  <c:v>1.2521226015086591</c:v>
                </c:pt>
                <c:pt idx="2">
                  <c:v>1.28544164269182</c:v>
                </c:pt>
                <c:pt idx="3">
                  <c:v>1.7541808526997602</c:v>
                </c:pt>
                <c:pt idx="4">
                  <c:v>1.8725875505032301</c:v>
                </c:pt>
                <c:pt idx="5">
                  <c:v>1.8950435987796401</c:v>
                </c:pt>
                <c:pt idx="6">
                  <c:v>2.2394680988709328</c:v>
                </c:pt>
                <c:pt idx="7">
                  <c:v>2.2450856433838098</c:v>
                </c:pt>
                <c:pt idx="8">
                  <c:v>2.2546882050877821</c:v>
                </c:pt>
                <c:pt idx="9">
                  <c:v>2.4721746197831935</c:v>
                </c:pt>
                <c:pt idx="10">
                  <c:v>2.5275328509095143</c:v>
                </c:pt>
                <c:pt idx="11">
                  <c:v>2.5466475892127334</c:v>
                </c:pt>
                <c:pt idx="12">
                  <c:v>2.6391249929865417</c:v>
                </c:pt>
                <c:pt idx="13">
                  <c:v>2.8002116261077732</c:v>
                </c:pt>
                <c:pt idx="14">
                  <c:v>2.8592170551208618</c:v>
                </c:pt>
                <c:pt idx="15">
                  <c:v>2.8610041630266827</c:v>
                </c:pt>
                <c:pt idx="16">
                  <c:v>3.0182265684987111</c:v>
                </c:pt>
                <c:pt idx="17">
                  <c:v>3.1237834455987499</c:v>
                </c:pt>
                <c:pt idx="18">
                  <c:v>3.2491468127607535</c:v>
                </c:pt>
                <c:pt idx="19">
                  <c:v>3.2955825571721893</c:v>
                </c:pt>
                <c:pt idx="20">
                  <c:v>3.3187836975877487</c:v>
                </c:pt>
                <c:pt idx="21">
                  <c:v>3.3852574079216216</c:v>
                </c:pt>
                <c:pt idx="22">
                  <c:v>3.5100397402524903</c:v>
                </c:pt>
                <c:pt idx="23">
                  <c:v>3.5492678977923902</c:v>
                </c:pt>
                <c:pt idx="24">
                  <c:v>3.7293386086110223</c:v>
                </c:pt>
                <c:pt idx="25">
                  <c:v>3.9279906539909502</c:v>
                </c:pt>
                <c:pt idx="26">
                  <c:v>4.1657730426212387</c:v>
                </c:pt>
                <c:pt idx="27">
                  <c:v>4.340780925633096</c:v>
                </c:pt>
                <c:pt idx="28">
                  <c:v>4.4697454102974676</c:v>
                </c:pt>
                <c:pt idx="29">
                  <c:v>4.6025658397564024</c:v>
                </c:pt>
                <c:pt idx="30">
                  <c:v>5.0134107697729231</c:v>
                </c:pt>
                <c:pt idx="31">
                  <c:v>5.082833937813616</c:v>
                </c:pt>
                <c:pt idx="32">
                  <c:v>5.1765970249699835</c:v>
                </c:pt>
                <c:pt idx="33">
                  <c:v>7.6418236884133677</c:v>
                </c:pt>
                <c:pt idx="34">
                  <c:v>9.343590712161852</c:v>
                </c:pt>
                <c:pt idx="35">
                  <c:v>10.211973667758523</c:v>
                </c:pt>
              </c:numCache>
            </c:numRef>
          </c:val>
          <c:extLst>
            <c:ext xmlns:c16="http://schemas.microsoft.com/office/drawing/2014/chart" uri="{C3380CC4-5D6E-409C-BE32-E72D297353CC}">
              <c16:uniqueId val="{00000002-3E2D-4104-A053-0F316BA0BE30}"/>
            </c:ext>
          </c:extLst>
        </c:ser>
        <c:dLbls>
          <c:showLegendKey val="0"/>
          <c:showVal val="0"/>
          <c:showCatName val="0"/>
          <c:showSerName val="0"/>
          <c:showPercent val="0"/>
          <c:showBubbleSize val="0"/>
        </c:dLbls>
        <c:gapWidth val="413"/>
        <c:axId val="48994304"/>
        <c:axId val="114001024"/>
      </c:barChart>
      <c:catAx>
        <c:axId val="4592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3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999872"/>
        <c:crosses val="autoZero"/>
        <c:auto val="1"/>
        <c:lblAlgn val="ctr"/>
        <c:lblOffset val="100"/>
        <c:noMultiLvlLbl val="0"/>
      </c:catAx>
      <c:valAx>
        <c:axId val="113999872"/>
        <c:scaling>
          <c:orientation val="minMax"/>
          <c:max val="18"/>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Response Time</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28448"/>
        <c:crosses val="autoZero"/>
        <c:crossBetween val="between"/>
      </c:valAx>
      <c:valAx>
        <c:axId val="11400102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Distance in Miles</a:t>
                </a:r>
              </a:p>
            </c:rich>
          </c:tx>
          <c:layout/>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94304"/>
        <c:crosses val="max"/>
        <c:crossBetween val="between"/>
      </c:valAx>
      <c:catAx>
        <c:axId val="48994304"/>
        <c:scaling>
          <c:orientation val="minMax"/>
        </c:scaling>
        <c:delete val="1"/>
        <c:axPos val="b"/>
        <c:numFmt formatCode="General" sourceLinked="1"/>
        <c:majorTickMark val="out"/>
        <c:minorTickMark val="none"/>
        <c:tickLblPos val="nextTo"/>
        <c:crossAx val="114001024"/>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9.4140700620514925E-2"/>
          <c:y val="0.93592402477426162"/>
          <c:w val="0.33079362189552891"/>
          <c:h val="4.7269248829759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Whole</a:t>
            </a:r>
            <a:r>
              <a:rPr lang="en-GB" baseline="0"/>
              <a:t>Time/Day Crew Station Availability</a:t>
            </a:r>
            <a:endParaRPr lang="en-GB"/>
          </a:p>
        </c:rich>
      </c:tx>
      <c:layout/>
      <c:overlay val="0"/>
      <c:spPr>
        <a:noFill/>
        <a:ln>
          <a:noFill/>
        </a:ln>
        <a:effectLst/>
      </c:spPr>
    </c:title>
    <c:autoTitleDeleted val="0"/>
    <c:plotArea>
      <c:layout/>
      <c:barChart>
        <c:barDir val="col"/>
        <c:grouping val="clustered"/>
        <c:varyColors val="0"/>
        <c:ser>
          <c:idx val="0"/>
          <c:order val="0"/>
          <c:tx>
            <c:strRef>
              <c:f>'Wholetime_Daycrew Pumping Appli'!$B$1</c:f>
              <c:strCache>
                <c:ptCount val="1"/>
                <c:pt idx="0">
                  <c:v>May</c:v>
                </c:pt>
              </c:strCache>
            </c:strRef>
          </c:tx>
          <c:spPr>
            <a:solidFill>
              <a:schemeClr val="bg2">
                <a:lumMod val="50000"/>
              </a:schemeClr>
            </a:solidFill>
            <a:ln>
              <a:noFill/>
            </a:ln>
            <a:effectLst/>
          </c:spPr>
          <c:invertIfNegative val="0"/>
          <c:cat>
            <c:strRef>
              <c:f>'Wholetime_Daycrew Pumping Appli'!$A$2:$A$17</c:f>
              <c:strCache>
                <c:ptCount val="16"/>
                <c:pt idx="0">
                  <c:v>Clacton (NE)</c:v>
                </c:pt>
                <c:pt idx="1">
                  <c:v>Dovercourt (NE)</c:v>
                </c:pt>
                <c:pt idx="2">
                  <c:v>Basildon (SW)</c:v>
                </c:pt>
                <c:pt idx="3">
                  <c:v>Brentwood (SW)</c:v>
                </c:pt>
                <c:pt idx="4">
                  <c:v>Leigh (SE)</c:v>
                </c:pt>
                <c:pt idx="5">
                  <c:v>Rayleigh Weir (SW)</c:v>
                </c:pt>
                <c:pt idx="6">
                  <c:v>Colchester (NE)</c:v>
                </c:pt>
                <c:pt idx="7">
                  <c:v>Orsett (SW)</c:v>
                </c:pt>
                <c:pt idx="8">
                  <c:v>Grays (SW)</c:v>
                </c:pt>
                <c:pt idx="9">
                  <c:v>Harlow Central (NW)</c:v>
                </c:pt>
                <c:pt idx="10">
                  <c:v>Loughton (SW)</c:v>
                </c:pt>
                <c:pt idx="11">
                  <c:v>South Woodham (SW)</c:v>
                </c:pt>
                <c:pt idx="12">
                  <c:v>Southend (SE)</c:v>
                </c:pt>
                <c:pt idx="13">
                  <c:v>Great Baddow (SE)</c:v>
                </c:pt>
                <c:pt idx="14">
                  <c:v>Waltham Abbey (SW)</c:v>
                </c:pt>
                <c:pt idx="15">
                  <c:v>Chelmsford (SE)</c:v>
                </c:pt>
              </c:strCache>
            </c:strRef>
          </c:cat>
          <c:val>
            <c:numRef>
              <c:f>'Wholetime_Daycrew Pumping Appli'!$B$2:$B$17</c:f>
              <c:numCache>
                <c:formatCode>0.00%</c:formatCode>
                <c:ptCount val="16"/>
                <c:pt idx="0">
                  <c:v>0.998</c:v>
                </c:pt>
                <c:pt idx="1">
                  <c:v>0.9890000000000001</c:v>
                </c:pt>
                <c:pt idx="2">
                  <c:v>0.98099999999999998</c:v>
                </c:pt>
                <c:pt idx="3">
                  <c:v>0.96</c:v>
                </c:pt>
                <c:pt idx="4">
                  <c:v>0.99099999999999999</c:v>
                </c:pt>
                <c:pt idx="5">
                  <c:v>0.97199999999999998</c:v>
                </c:pt>
                <c:pt idx="6">
                  <c:v>0.97900000000000009</c:v>
                </c:pt>
                <c:pt idx="7">
                  <c:v>0.96700000000000008</c:v>
                </c:pt>
                <c:pt idx="8">
                  <c:v>0.95799999999999996</c:v>
                </c:pt>
                <c:pt idx="9">
                  <c:v>0.9890000000000001</c:v>
                </c:pt>
                <c:pt idx="10">
                  <c:v>0.97499999999999998</c:v>
                </c:pt>
                <c:pt idx="11">
                  <c:v>0.97900000000000009</c:v>
                </c:pt>
                <c:pt idx="12">
                  <c:v>0.96900000000000008</c:v>
                </c:pt>
                <c:pt idx="13">
                  <c:v>0.97599999999999998</c:v>
                </c:pt>
                <c:pt idx="14">
                  <c:v>0.86799999999999999</c:v>
                </c:pt>
                <c:pt idx="15">
                  <c:v>0.92</c:v>
                </c:pt>
              </c:numCache>
            </c:numRef>
          </c:val>
          <c:extLst>
            <c:ext xmlns:c16="http://schemas.microsoft.com/office/drawing/2014/chart" uri="{C3380CC4-5D6E-409C-BE32-E72D297353CC}">
              <c16:uniqueId val="{00000000-4A4E-4509-9E99-97955DBAF9AD}"/>
            </c:ext>
          </c:extLst>
        </c:ser>
        <c:ser>
          <c:idx val="1"/>
          <c:order val="1"/>
          <c:tx>
            <c:strRef>
              <c:f>'Wholetime_Daycrew Pumping Appli'!$C$1</c:f>
              <c:strCache>
                <c:ptCount val="1"/>
                <c:pt idx="0">
                  <c:v>June</c:v>
                </c:pt>
              </c:strCache>
            </c:strRef>
          </c:tx>
          <c:spPr>
            <a:solidFill>
              <a:schemeClr val="bg1">
                <a:lumMod val="75000"/>
              </a:schemeClr>
            </a:solidFill>
            <a:ln>
              <a:noFill/>
            </a:ln>
            <a:effectLst/>
          </c:spPr>
          <c:invertIfNegative val="0"/>
          <c:cat>
            <c:strRef>
              <c:f>'Wholetime_Daycrew Pumping Appli'!$A$2:$A$17</c:f>
              <c:strCache>
                <c:ptCount val="16"/>
                <c:pt idx="0">
                  <c:v>Clacton (NE)</c:v>
                </c:pt>
                <c:pt idx="1">
                  <c:v>Dovercourt (NE)</c:v>
                </c:pt>
                <c:pt idx="2">
                  <c:v>Basildon (SW)</c:v>
                </c:pt>
                <c:pt idx="3">
                  <c:v>Brentwood (SW)</c:v>
                </c:pt>
                <c:pt idx="4">
                  <c:v>Leigh (SE)</c:v>
                </c:pt>
                <c:pt idx="5">
                  <c:v>Rayleigh Weir (SW)</c:v>
                </c:pt>
                <c:pt idx="6">
                  <c:v>Colchester (NE)</c:v>
                </c:pt>
                <c:pt idx="7">
                  <c:v>Orsett (SW)</c:v>
                </c:pt>
                <c:pt idx="8">
                  <c:v>Grays (SW)</c:v>
                </c:pt>
                <c:pt idx="9">
                  <c:v>Harlow Central (NW)</c:v>
                </c:pt>
                <c:pt idx="10">
                  <c:v>Loughton (SW)</c:v>
                </c:pt>
                <c:pt idx="11">
                  <c:v>South Woodham (SW)</c:v>
                </c:pt>
                <c:pt idx="12">
                  <c:v>Southend (SE)</c:v>
                </c:pt>
                <c:pt idx="13">
                  <c:v>Great Baddow (SE)</c:v>
                </c:pt>
                <c:pt idx="14">
                  <c:v>Waltham Abbey (SW)</c:v>
                </c:pt>
                <c:pt idx="15">
                  <c:v>Chelmsford (SE)</c:v>
                </c:pt>
              </c:strCache>
            </c:strRef>
          </c:cat>
          <c:val>
            <c:numRef>
              <c:f>'Wholetime_Daycrew Pumping Appli'!$C$2:$C$17</c:f>
              <c:numCache>
                <c:formatCode>0.00%</c:formatCode>
                <c:ptCount val="16"/>
                <c:pt idx="0">
                  <c:v>0.98099999999999998</c:v>
                </c:pt>
                <c:pt idx="1">
                  <c:v>0.97599999999999998</c:v>
                </c:pt>
                <c:pt idx="2">
                  <c:v>0.96700000000000008</c:v>
                </c:pt>
                <c:pt idx="3">
                  <c:v>0.96799999999999997</c:v>
                </c:pt>
                <c:pt idx="4">
                  <c:v>0.96799999999999997</c:v>
                </c:pt>
                <c:pt idx="5">
                  <c:v>0.97699999999999998</c:v>
                </c:pt>
                <c:pt idx="6">
                  <c:v>0.97499999999999998</c:v>
                </c:pt>
                <c:pt idx="7">
                  <c:v>0.97</c:v>
                </c:pt>
                <c:pt idx="8">
                  <c:v>0.96200000000000008</c:v>
                </c:pt>
                <c:pt idx="9">
                  <c:v>0.98599999999999999</c:v>
                </c:pt>
                <c:pt idx="10">
                  <c:v>0.90900000000000003</c:v>
                </c:pt>
                <c:pt idx="11">
                  <c:v>0.97199999999999998</c:v>
                </c:pt>
                <c:pt idx="12">
                  <c:v>0.95700000000000007</c:v>
                </c:pt>
                <c:pt idx="13">
                  <c:v>0.97199999999999998</c:v>
                </c:pt>
                <c:pt idx="14">
                  <c:v>0.90799999999999992</c:v>
                </c:pt>
                <c:pt idx="15">
                  <c:v>0.89500000000000002</c:v>
                </c:pt>
              </c:numCache>
            </c:numRef>
          </c:val>
          <c:extLst>
            <c:ext xmlns:c16="http://schemas.microsoft.com/office/drawing/2014/chart" uri="{C3380CC4-5D6E-409C-BE32-E72D297353CC}">
              <c16:uniqueId val="{00000001-4A4E-4509-9E99-97955DBAF9AD}"/>
            </c:ext>
          </c:extLst>
        </c:ser>
        <c:ser>
          <c:idx val="2"/>
          <c:order val="2"/>
          <c:tx>
            <c:strRef>
              <c:f>'Wholetime_Daycrew Pumping Appli'!$D$1</c:f>
              <c:strCache>
                <c:ptCount val="1"/>
                <c:pt idx="0">
                  <c:v>July</c:v>
                </c:pt>
              </c:strCache>
            </c:strRef>
          </c:tx>
          <c:spPr>
            <a:solidFill>
              <a:schemeClr val="accent5"/>
            </a:solidFill>
            <a:ln>
              <a:noFill/>
            </a:ln>
            <a:effectLst/>
          </c:spPr>
          <c:invertIfNegative val="0"/>
          <c:cat>
            <c:strRef>
              <c:f>'Wholetime_Daycrew Pumping Appli'!$A$2:$A$17</c:f>
              <c:strCache>
                <c:ptCount val="16"/>
                <c:pt idx="0">
                  <c:v>Clacton (NE)</c:v>
                </c:pt>
                <c:pt idx="1">
                  <c:v>Dovercourt (NE)</c:v>
                </c:pt>
                <c:pt idx="2">
                  <c:v>Basildon (SW)</c:v>
                </c:pt>
                <c:pt idx="3">
                  <c:v>Brentwood (SW)</c:v>
                </c:pt>
                <c:pt idx="4">
                  <c:v>Leigh (SE)</c:v>
                </c:pt>
                <c:pt idx="5">
                  <c:v>Rayleigh Weir (SW)</c:v>
                </c:pt>
                <c:pt idx="6">
                  <c:v>Colchester (NE)</c:v>
                </c:pt>
                <c:pt idx="7">
                  <c:v>Orsett (SW)</c:v>
                </c:pt>
                <c:pt idx="8">
                  <c:v>Grays (SW)</c:v>
                </c:pt>
                <c:pt idx="9">
                  <c:v>Harlow Central (NW)</c:v>
                </c:pt>
                <c:pt idx="10">
                  <c:v>Loughton (SW)</c:v>
                </c:pt>
                <c:pt idx="11">
                  <c:v>South Woodham (SW)</c:v>
                </c:pt>
                <c:pt idx="12">
                  <c:v>Southend (SE)</c:v>
                </c:pt>
                <c:pt idx="13">
                  <c:v>Great Baddow (SE)</c:v>
                </c:pt>
                <c:pt idx="14">
                  <c:v>Waltham Abbey (SW)</c:v>
                </c:pt>
                <c:pt idx="15">
                  <c:v>Chelmsford (SE)</c:v>
                </c:pt>
              </c:strCache>
            </c:strRef>
          </c:cat>
          <c:val>
            <c:numRef>
              <c:f>'Wholetime_Daycrew Pumping Appli'!$D$2:$D$17</c:f>
              <c:numCache>
                <c:formatCode>0.00%</c:formatCode>
                <c:ptCount val="16"/>
                <c:pt idx="0">
                  <c:v>0.996</c:v>
                </c:pt>
                <c:pt idx="1">
                  <c:v>0.98799999999999999</c:v>
                </c:pt>
                <c:pt idx="2">
                  <c:v>0.98199999999999998</c:v>
                </c:pt>
                <c:pt idx="3">
                  <c:v>0.98</c:v>
                </c:pt>
                <c:pt idx="4">
                  <c:v>0.97799999999999998</c:v>
                </c:pt>
                <c:pt idx="5">
                  <c:v>0.97599999999999998</c:v>
                </c:pt>
                <c:pt idx="6">
                  <c:v>0.97400000000000009</c:v>
                </c:pt>
                <c:pt idx="7">
                  <c:v>0.97299999999999998</c:v>
                </c:pt>
                <c:pt idx="8">
                  <c:v>0.96200000000000008</c:v>
                </c:pt>
                <c:pt idx="9">
                  <c:v>0.95700000000000007</c:v>
                </c:pt>
                <c:pt idx="10">
                  <c:v>0.95599999999999996</c:v>
                </c:pt>
                <c:pt idx="11">
                  <c:v>0.93099999999999994</c:v>
                </c:pt>
                <c:pt idx="12">
                  <c:v>0.93099999999999994</c:v>
                </c:pt>
                <c:pt idx="13">
                  <c:v>0.92500000000000004</c:v>
                </c:pt>
                <c:pt idx="14">
                  <c:v>0.87400000000000011</c:v>
                </c:pt>
                <c:pt idx="15">
                  <c:v>0.85499999999999998</c:v>
                </c:pt>
              </c:numCache>
            </c:numRef>
          </c:val>
          <c:extLst>
            <c:ext xmlns:c16="http://schemas.microsoft.com/office/drawing/2014/chart" uri="{C3380CC4-5D6E-409C-BE32-E72D297353CC}">
              <c16:uniqueId val="{00000002-4A4E-4509-9E99-97955DBAF9AD}"/>
            </c:ext>
          </c:extLst>
        </c:ser>
        <c:dLbls>
          <c:showLegendKey val="0"/>
          <c:showVal val="0"/>
          <c:showCatName val="0"/>
          <c:showSerName val="0"/>
          <c:showPercent val="0"/>
          <c:showBubbleSize val="0"/>
        </c:dLbls>
        <c:gapWidth val="219"/>
        <c:axId val="48992768"/>
        <c:axId val="40627584"/>
      </c:barChart>
      <c:lineChart>
        <c:grouping val="standard"/>
        <c:varyColors val="0"/>
        <c:ser>
          <c:idx val="3"/>
          <c:order val="3"/>
          <c:tx>
            <c:strRef>
              <c:f>'Wholetime_Daycrew Pumping Appli'!$E$1</c:f>
              <c:strCache>
                <c:ptCount val="1"/>
                <c:pt idx="0">
                  <c:v>Target</c:v>
                </c:pt>
              </c:strCache>
            </c:strRef>
          </c:tx>
          <c:spPr>
            <a:ln w="28575" cap="rnd">
              <a:solidFill>
                <a:schemeClr val="accent2"/>
              </a:solidFill>
              <a:round/>
            </a:ln>
            <a:effectLst/>
          </c:spPr>
          <c:marker>
            <c:symbol val="none"/>
          </c:marker>
          <c:cat>
            <c:strRef>
              <c:f>'Wholetime_Daycrew Pumping Appli'!$A$2:$A$17</c:f>
              <c:strCache>
                <c:ptCount val="16"/>
                <c:pt idx="0">
                  <c:v>Clacton (NE)</c:v>
                </c:pt>
                <c:pt idx="1">
                  <c:v>Dovercourt (NE)</c:v>
                </c:pt>
                <c:pt idx="2">
                  <c:v>Basildon (SW)</c:v>
                </c:pt>
                <c:pt idx="3">
                  <c:v>Brentwood (SW)</c:v>
                </c:pt>
                <c:pt idx="4">
                  <c:v>Leigh (SE)</c:v>
                </c:pt>
                <c:pt idx="5">
                  <c:v>Rayleigh Weir (SW)</c:v>
                </c:pt>
                <c:pt idx="6">
                  <c:v>Colchester (NE)</c:v>
                </c:pt>
                <c:pt idx="7">
                  <c:v>Orsett (SW)</c:v>
                </c:pt>
                <c:pt idx="8">
                  <c:v>Grays (SW)</c:v>
                </c:pt>
                <c:pt idx="9">
                  <c:v>Harlow Central (NW)</c:v>
                </c:pt>
                <c:pt idx="10">
                  <c:v>Loughton (SW)</c:v>
                </c:pt>
                <c:pt idx="11">
                  <c:v>South Woodham (SW)</c:v>
                </c:pt>
                <c:pt idx="12">
                  <c:v>Southend (SE)</c:v>
                </c:pt>
                <c:pt idx="13">
                  <c:v>Great Baddow (SE)</c:v>
                </c:pt>
                <c:pt idx="14">
                  <c:v>Waltham Abbey (SW)</c:v>
                </c:pt>
                <c:pt idx="15">
                  <c:v>Chelmsford (SE)</c:v>
                </c:pt>
              </c:strCache>
            </c:strRef>
          </c:cat>
          <c:val>
            <c:numRef>
              <c:f>'Wholetime_Daycrew Pumping Appli'!$E$2:$E$17</c:f>
              <c:numCache>
                <c:formatCode>General</c:formatCode>
                <c:ptCount val="16"/>
                <c:pt idx="0">
                  <c:v>0.98</c:v>
                </c:pt>
                <c:pt idx="1">
                  <c:v>0.98</c:v>
                </c:pt>
                <c:pt idx="2">
                  <c:v>0.98</c:v>
                </c:pt>
                <c:pt idx="3">
                  <c:v>0.98</c:v>
                </c:pt>
                <c:pt idx="4">
                  <c:v>0.98</c:v>
                </c:pt>
                <c:pt idx="5">
                  <c:v>0.98</c:v>
                </c:pt>
                <c:pt idx="6">
                  <c:v>0.98</c:v>
                </c:pt>
                <c:pt idx="7">
                  <c:v>0.98</c:v>
                </c:pt>
                <c:pt idx="8">
                  <c:v>0.98</c:v>
                </c:pt>
                <c:pt idx="9">
                  <c:v>0.98</c:v>
                </c:pt>
                <c:pt idx="10">
                  <c:v>0.98</c:v>
                </c:pt>
                <c:pt idx="11">
                  <c:v>0.98</c:v>
                </c:pt>
                <c:pt idx="12">
                  <c:v>0.98</c:v>
                </c:pt>
                <c:pt idx="13">
                  <c:v>0.98</c:v>
                </c:pt>
                <c:pt idx="14">
                  <c:v>0.98</c:v>
                </c:pt>
                <c:pt idx="15">
                  <c:v>0.98</c:v>
                </c:pt>
              </c:numCache>
            </c:numRef>
          </c:val>
          <c:smooth val="0"/>
          <c:extLst>
            <c:ext xmlns:c16="http://schemas.microsoft.com/office/drawing/2014/chart" uri="{C3380CC4-5D6E-409C-BE32-E72D297353CC}">
              <c16:uniqueId val="{00000003-4A4E-4509-9E99-97955DBAF9AD}"/>
            </c:ext>
          </c:extLst>
        </c:ser>
        <c:dLbls>
          <c:showLegendKey val="0"/>
          <c:showVal val="0"/>
          <c:showCatName val="0"/>
          <c:showSerName val="0"/>
          <c:showPercent val="0"/>
          <c:showBubbleSize val="0"/>
        </c:dLbls>
        <c:marker val="1"/>
        <c:smooth val="0"/>
        <c:axId val="48992768"/>
        <c:axId val="40627584"/>
      </c:lineChart>
      <c:catAx>
        <c:axId val="4899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7584"/>
        <c:crosses val="autoZero"/>
        <c:auto val="1"/>
        <c:lblAlgn val="ctr"/>
        <c:lblOffset val="100"/>
        <c:noMultiLvlLbl val="0"/>
      </c:catAx>
      <c:valAx>
        <c:axId val="40627584"/>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92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On Call Station Availability</a:t>
            </a:r>
          </a:p>
        </c:rich>
      </c:tx>
      <c:layout/>
      <c:overlay val="0"/>
      <c:spPr>
        <a:noFill/>
        <a:ln>
          <a:noFill/>
        </a:ln>
        <a:effectLst/>
      </c:spPr>
    </c:title>
    <c:autoTitleDeleted val="0"/>
    <c:plotArea>
      <c:layout/>
      <c:barChart>
        <c:barDir val="col"/>
        <c:grouping val="clustered"/>
        <c:varyColors val="0"/>
        <c:ser>
          <c:idx val="0"/>
          <c:order val="0"/>
          <c:tx>
            <c:strRef>
              <c:f>'On-Call Pumping Appliance Avail'!$B$1</c:f>
              <c:strCache>
                <c:ptCount val="1"/>
                <c:pt idx="0">
                  <c:v>May</c:v>
                </c:pt>
              </c:strCache>
            </c:strRef>
          </c:tx>
          <c:spPr>
            <a:solidFill>
              <a:schemeClr val="bg1">
                <a:lumMod val="65000"/>
              </a:schemeClr>
            </a:solidFill>
            <a:ln>
              <a:noFill/>
            </a:ln>
            <a:effectLst/>
          </c:spPr>
          <c:invertIfNegative val="0"/>
          <c:cat>
            <c:strRef>
              <c:f>'On-Call Pumping Appliance Avail'!$A$2:$A$38</c:f>
              <c:strCache>
                <c:ptCount val="37"/>
                <c:pt idx="0">
                  <c:v>West Mersea (NE)</c:v>
                </c:pt>
                <c:pt idx="1">
                  <c:v>Brightlingsea (NE)</c:v>
                </c:pt>
                <c:pt idx="2">
                  <c:v>Clacton (NW)</c:v>
                </c:pt>
                <c:pt idx="3">
                  <c:v>Epping (SW)</c:v>
                </c:pt>
                <c:pt idx="4">
                  <c:v>Frinton (NE)</c:v>
                </c:pt>
                <c:pt idx="5">
                  <c:v>Hawkwell (SE)</c:v>
                </c:pt>
                <c:pt idx="6">
                  <c:v>Stansted (NW)</c:v>
                </c:pt>
                <c:pt idx="7">
                  <c:v>Corringham (SW)</c:v>
                </c:pt>
                <c:pt idx="8">
                  <c:v>Newport (NW)</c:v>
                </c:pt>
                <c:pt idx="9">
                  <c:v>Saffron Walden (NW)</c:v>
                </c:pt>
                <c:pt idx="10">
                  <c:v>Weeley (NE)</c:v>
                </c:pt>
                <c:pt idx="11">
                  <c:v>Halstead (NW)</c:v>
                </c:pt>
                <c:pt idx="12">
                  <c:v>Rochford (SE)</c:v>
                </c:pt>
                <c:pt idx="13">
                  <c:v>Tillingham (NE)</c:v>
                </c:pt>
                <c:pt idx="14">
                  <c:v>Tiptree (NE)</c:v>
                </c:pt>
                <c:pt idx="15">
                  <c:v>Maldon (NE)</c:v>
                </c:pt>
                <c:pt idx="16">
                  <c:v>Dovercourt (NE)</c:v>
                </c:pt>
                <c:pt idx="17">
                  <c:v>Billericay (SW)</c:v>
                </c:pt>
                <c:pt idx="18">
                  <c:v>Wivenhoe (NE)</c:v>
                </c:pt>
                <c:pt idx="19">
                  <c:v>Braintree (NW)</c:v>
                </c:pt>
                <c:pt idx="20">
                  <c:v>Coggeshall (NW)</c:v>
                </c:pt>
                <c:pt idx="21">
                  <c:v>Wethersfield (NW)</c:v>
                </c:pt>
                <c:pt idx="22">
                  <c:v>Dunmow (NW)</c:v>
                </c:pt>
                <c:pt idx="23">
                  <c:v>Manningtree (NE)</c:v>
                </c:pt>
                <c:pt idx="24">
                  <c:v>Thaxted (NW)</c:v>
                </c:pt>
                <c:pt idx="25">
                  <c:v>Tollesbury (NE)</c:v>
                </c:pt>
                <c:pt idx="26">
                  <c:v>Witham (NW)</c:v>
                </c:pt>
                <c:pt idx="27">
                  <c:v>Canvey (SE)</c:v>
                </c:pt>
                <c:pt idx="28">
                  <c:v>Brentwood (SW)</c:v>
                </c:pt>
                <c:pt idx="29">
                  <c:v>Old Harlow (NW)</c:v>
                </c:pt>
                <c:pt idx="30">
                  <c:v>Ongar (SW)</c:v>
                </c:pt>
                <c:pt idx="31">
                  <c:v>Burnham (NE)</c:v>
                </c:pt>
                <c:pt idx="32">
                  <c:v>Sible Hedingham (NW)</c:v>
                </c:pt>
                <c:pt idx="33">
                  <c:v>Wickford (SW)</c:v>
                </c:pt>
                <c:pt idx="34">
                  <c:v>Shoeburyness (SE)</c:v>
                </c:pt>
                <c:pt idx="35">
                  <c:v>Ingatestone (SW)</c:v>
                </c:pt>
                <c:pt idx="36">
                  <c:v>Leaden Roding (NW)</c:v>
                </c:pt>
              </c:strCache>
            </c:strRef>
          </c:cat>
          <c:val>
            <c:numRef>
              <c:f>'On-Call Pumping Appliance Avail'!$B$2:$B$38</c:f>
              <c:numCache>
                <c:formatCode>0.00%</c:formatCode>
                <c:ptCount val="37"/>
                <c:pt idx="0">
                  <c:v>0.98</c:v>
                </c:pt>
                <c:pt idx="1">
                  <c:v>0.99299999999999999</c:v>
                </c:pt>
                <c:pt idx="2">
                  <c:v>0.96799999999999997</c:v>
                </c:pt>
                <c:pt idx="3">
                  <c:v>0.97799999999999998</c:v>
                </c:pt>
                <c:pt idx="4">
                  <c:v>0.9840000000000001</c:v>
                </c:pt>
                <c:pt idx="5">
                  <c:v>0.93</c:v>
                </c:pt>
                <c:pt idx="6">
                  <c:v>0.877</c:v>
                </c:pt>
                <c:pt idx="7">
                  <c:v>0.95700000000000007</c:v>
                </c:pt>
                <c:pt idx="8">
                  <c:v>0.89800000000000002</c:v>
                </c:pt>
                <c:pt idx="9">
                  <c:v>0.94700000000000006</c:v>
                </c:pt>
                <c:pt idx="10">
                  <c:v>0.95700000000000007</c:v>
                </c:pt>
                <c:pt idx="11">
                  <c:v>0.94200000000000006</c:v>
                </c:pt>
                <c:pt idx="12">
                  <c:v>0.88300000000000001</c:v>
                </c:pt>
                <c:pt idx="13">
                  <c:v>0.75800000000000001</c:v>
                </c:pt>
                <c:pt idx="14">
                  <c:v>0.77900000000000003</c:v>
                </c:pt>
                <c:pt idx="15">
                  <c:v>0.89700000000000002</c:v>
                </c:pt>
                <c:pt idx="16">
                  <c:v>0.86299999999999999</c:v>
                </c:pt>
                <c:pt idx="17">
                  <c:v>0.81</c:v>
                </c:pt>
                <c:pt idx="18">
                  <c:v>0.89599999999999991</c:v>
                </c:pt>
                <c:pt idx="19">
                  <c:v>0.80299999999999994</c:v>
                </c:pt>
                <c:pt idx="20">
                  <c:v>0.83299999999999996</c:v>
                </c:pt>
                <c:pt idx="21">
                  <c:v>0.68799999999999994</c:v>
                </c:pt>
                <c:pt idx="22">
                  <c:v>0.75599999999999989</c:v>
                </c:pt>
                <c:pt idx="23">
                  <c:v>0.75599999999999989</c:v>
                </c:pt>
                <c:pt idx="24">
                  <c:v>0.66</c:v>
                </c:pt>
                <c:pt idx="25">
                  <c:v>0.67799999999999994</c:v>
                </c:pt>
                <c:pt idx="26">
                  <c:v>0.70599999999999996</c:v>
                </c:pt>
                <c:pt idx="27">
                  <c:v>0.67200000000000004</c:v>
                </c:pt>
                <c:pt idx="28">
                  <c:v>0.77099999999999991</c:v>
                </c:pt>
                <c:pt idx="29">
                  <c:v>0.61699999999999999</c:v>
                </c:pt>
                <c:pt idx="30">
                  <c:v>0.58599999999999997</c:v>
                </c:pt>
                <c:pt idx="31">
                  <c:v>0.54299999999999993</c:v>
                </c:pt>
                <c:pt idx="32">
                  <c:v>0.625</c:v>
                </c:pt>
                <c:pt idx="33">
                  <c:v>0.51200000000000001</c:v>
                </c:pt>
                <c:pt idx="34">
                  <c:v>0.66099999999999992</c:v>
                </c:pt>
                <c:pt idx="35">
                  <c:v>0.52400000000000002</c:v>
                </c:pt>
                <c:pt idx="36">
                  <c:v>0.27100000000000002</c:v>
                </c:pt>
              </c:numCache>
            </c:numRef>
          </c:val>
          <c:extLst>
            <c:ext xmlns:c16="http://schemas.microsoft.com/office/drawing/2014/chart" uri="{C3380CC4-5D6E-409C-BE32-E72D297353CC}">
              <c16:uniqueId val="{00000000-851B-4EE9-8CB1-782E41A5D908}"/>
            </c:ext>
          </c:extLst>
        </c:ser>
        <c:ser>
          <c:idx val="1"/>
          <c:order val="1"/>
          <c:tx>
            <c:strRef>
              <c:f>'On-Call Pumping Appliance Avail'!$C$1</c:f>
              <c:strCache>
                <c:ptCount val="1"/>
                <c:pt idx="0">
                  <c:v>June</c:v>
                </c:pt>
              </c:strCache>
            </c:strRef>
          </c:tx>
          <c:spPr>
            <a:solidFill>
              <a:schemeClr val="bg1">
                <a:lumMod val="50000"/>
              </a:schemeClr>
            </a:solidFill>
            <a:ln>
              <a:noFill/>
            </a:ln>
            <a:effectLst/>
          </c:spPr>
          <c:invertIfNegative val="0"/>
          <c:cat>
            <c:strRef>
              <c:f>'On-Call Pumping Appliance Avail'!$A$2:$A$38</c:f>
              <c:strCache>
                <c:ptCount val="37"/>
                <c:pt idx="0">
                  <c:v>West Mersea (NE)</c:v>
                </c:pt>
                <c:pt idx="1">
                  <c:v>Brightlingsea (NE)</c:v>
                </c:pt>
                <c:pt idx="2">
                  <c:v>Clacton (NW)</c:v>
                </c:pt>
                <c:pt idx="3">
                  <c:v>Epping (SW)</c:v>
                </c:pt>
                <c:pt idx="4">
                  <c:v>Frinton (NE)</c:v>
                </c:pt>
                <c:pt idx="5">
                  <c:v>Hawkwell (SE)</c:v>
                </c:pt>
                <c:pt idx="6">
                  <c:v>Stansted (NW)</c:v>
                </c:pt>
                <c:pt idx="7">
                  <c:v>Corringham (SW)</c:v>
                </c:pt>
                <c:pt idx="8">
                  <c:v>Newport (NW)</c:v>
                </c:pt>
                <c:pt idx="9">
                  <c:v>Saffron Walden (NW)</c:v>
                </c:pt>
                <c:pt idx="10">
                  <c:v>Weeley (NE)</c:v>
                </c:pt>
                <c:pt idx="11">
                  <c:v>Halstead (NW)</c:v>
                </c:pt>
                <c:pt idx="12">
                  <c:v>Rochford (SE)</c:v>
                </c:pt>
                <c:pt idx="13">
                  <c:v>Tillingham (NE)</c:v>
                </c:pt>
                <c:pt idx="14">
                  <c:v>Tiptree (NE)</c:v>
                </c:pt>
                <c:pt idx="15">
                  <c:v>Maldon (NE)</c:v>
                </c:pt>
                <c:pt idx="16">
                  <c:v>Dovercourt (NE)</c:v>
                </c:pt>
                <c:pt idx="17">
                  <c:v>Billericay (SW)</c:v>
                </c:pt>
                <c:pt idx="18">
                  <c:v>Wivenhoe (NE)</c:v>
                </c:pt>
                <c:pt idx="19">
                  <c:v>Braintree (NW)</c:v>
                </c:pt>
                <c:pt idx="20">
                  <c:v>Coggeshall (NW)</c:v>
                </c:pt>
                <c:pt idx="21">
                  <c:v>Wethersfield (NW)</c:v>
                </c:pt>
                <c:pt idx="22">
                  <c:v>Dunmow (NW)</c:v>
                </c:pt>
                <c:pt idx="23">
                  <c:v>Manningtree (NE)</c:v>
                </c:pt>
                <c:pt idx="24">
                  <c:v>Thaxted (NW)</c:v>
                </c:pt>
                <c:pt idx="25">
                  <c:v>Tollesbury (NE)</c:v>
                </c:pt>
                <c:pt idx="26">
                  <c:v>Witham (NW)</c:v>
                </c:pt>
                <c:pt idx="27">
                  <c:v>Canvey (SE)</c:v>
                </c:pt>
                <c:pt idx="28">
                  <c:v>Brentwood (SW)</c:v>
                </c:pt>
                <c:pt idx="29">
                  <c:v>Old Harlow (NW)</c:v>
                </c:pt>
                <c:pt idx="30">
                  <c:v>Ongar (SW)</c:v>
                </c:pt>
                <c:pt idx="31">
                  <c:v>Burnham (NE)</c:v>
                </c:pt>
                <c:pt idx="32">
                  <c:v>Sible Hedingham (NW)</c:v>
                </c:pt>
                <c:pt idx="33">
                  <c:v>Wickford (SW)</c:v>
                </c:pt>
                <c:pt idx="34">
                  <c:v>Shoeburyness (SE)</c:v>
                </c:pt>
                <c:pt idx="35">
                  <c:v>Ingatestone (SW)</c:v>
                </c:pt>
                <c:pt idx="36">
                  <c:v>Leaden Roding (NW)</c:v>
                </c:pt>
              </c:strCache>
            </c:strRef>
          </c:cat>
          <c:val>
            <c:numRef>
              <c:f>'On-Call Pumping Appliance Avail'!$C$2:$C$38</c:f>
              <c:numCache>
                <c:formatCode>0.00%</c:formatCode>
                <c:ptCount val="37"/>
                <c:pt idx="0">
                  <c:v>0.97499999999999998</c:v>
                </c:pt>
                <c:pt idx="1">
                  <c:v>0.98599999999999999</c:v>
                </c:pt>
                <c:pt idx="2">
                  <c:v>0.99199999999999999</c:v>
                </c:pt>
                <c:pt idx="3">
                  <c:v>0.96799999999999997</c:v>
                </c:pt>
                <c:pt idx="4">
                  <c:v>0.99299999999999999</c:v>
                </c:pt>
                <c:pt idx="5">
                  <c:v>0.88900000000000001</c:v>
                </c:pt>
                <c:pt idx="6">
                  <c:v>0.93900000000000006</c:v>
                </c:pt>
                <c:pt idx="7">
                  <c:v>0.88500000000000001</c:v>
                </c:pt>
                <c:pt idx="8">
                  <c:v>0.92599999999999993</c:v>
                </c:pt>
                <c:pt idx="9">
                  <c:v>0.96</c:v>
                </c:pt>
                <c:pt idx="10">
                  <c:v>0.96799999999999997</c:v>
                </c:pt>
                <c:pt idx="11">
                  <c:v>0.94499999999999995</c:v>
                </c:pt>
                <c:pt idx="12">
                  <c:v>0.75599999999999989</c:v>
                </c:pt>
                <c:pt idx="13">
                  <c:v>0.879</c:v>
                </c:pt>
                <c:pt idx="14">
                  <c:v>0.89300000000000002</c:v>
                </c:pt>
                <c:pt idx="15">
                  <c:v>0.877</c:v>
                </c:pt>
                <c:pt idx="16">
                  <c:v>0.89400000000000002</c:v>
                </c:pt>
                <c:pt idx="17">
                  <c:v>0.80299999999999994</c:v>
                </c:pt>
                <c:pt idx="18">
                  <c:v>0.82700000000000007</c:v>
                </c:pt>
                <c:pt idx="19">
                  <c:v>0.83200000000000007</c:v>
                </c:pt>
                <c:pt idx="20">
                  <c:v>0.79400000000000004</c:v>
                </c:pt>
                <c:pt idx="21">
                  <c:v>0.78200000000000003</c:v>
                </c:pt>
                <c:pt idx="22">
                  <c:v>0.68900000000000006</c:v>
                </c:pt>
                <c:pt idx="23">
                  <c:v>0.7659999999999999</c:v>
                </c:pt>
                <c:pt idx="24">
                  <c:v>0.68299999999999994</c:v>
                </c:pt>
                <c:pt idx="25">
                  <c:v>0.75</c:v>
                </c:pt>
                <c:pt idx="26">
                  <c:v>0.70099999999999996</c:v>
                </c:pt>
                <c:pt idx="27">
                  <c:v>0.68400000000000005</c:v>
                </c:pt>
                <c:pt idx="28">
                  <c:v>0.72299999999999998</c:v>
                </c:pt>
                <c:pt idx="29">
                  <c:v>0.60899999999999999</c:v>
                </c:pt>
                <c:pt idx="30">
                  <c:v>0.58799999999999997</c:v>
                </c:pt>
                <c:pt idx="31">
                  <c:v>0.56299999999999994</c:v>
                </c:pt>
                <c:pt idx="32">
                  <c:v>0.57700000000000007</c:v>
                </c:pt>
                <c:pt idx="33">
                  <c:v>0.52700000000000002</c:v>
                </c:pt>
                <c:pt idx="34">
                  <c:v>0.68700000000000006</c:v>
                </c:pt>
                <c:pt idx="35">
                  <c:v>0.41299999999999998</c:v>
                </c:pt>
                <c:pt idx="36">
                  <c:v>0.46200000000000002</c:v>
                </c:pt>
              </c:numCache>
            </c:numRef>
          </c:val>
          <c:extLst>
            <c:ext xmlns:c16="http://schemas.microsoft.com/office/drawing/2014/chart" uri="{C3380CC4-5D6E-409C-BE32-E72D297353CC}">
              <c16:uniqueId val="{00000001-851B-4EE9-8CB1-782E41A5D908}"/>
            </c:ext>
          </c:extLst>
        </c:ser>
        <c:ser>
          <c:idx val="2"/>
          <c:order val="2"/>
          <c:tx>
            <c:strRef>
              <c:f>'On-Call Pumping Appliance Avail'!$D$1</c:f>
              <c:strCache>
                <c:ptCount val="1"/>
                <c:pt idx="0">
                  <c:v>July</c:v>
                </c:pt>
              </c:strCache>
            </c:strRef>
          </c:tx>
          <c:spPr>
            <a:solidFill>
              <a:schemeClr val="accent5"/>
            </a:solidFill>
            <a:ln>
              <a:noFill/>
            </a:ln>
            <a:effectLst/>
          </c:spPr>
          <c:invertIfNegative val="0"/>
          <c:cat>
            <c:strRef>
              <c:f>'On-Call Pumping Appliance Avail'!$A$2:$A$38</c:f>
              <c:strCache>
                <c:ptCount val="37"/>
                <c:pt idx="0">
                  <c:v>West Mersea (NE)</c:v>
                </c:pt>
                <c:pt idx="1">
                  <c:v>Brightlingsea (NE)</c:v>
                </c:pt>
                <c:pt idx="2">
                  <c:v>Clacton (NW)</c:v>
                </c:pt>
                <c:pt idx="3">
                  <c:v>Epping (SW)</c:v>
                </c:pt>
                <c:pt idx="4">
                  <c:v>Frinton (NE)</c:v>
                </c:pt>
                <c:pt idx="5">
                  <c:v>Hawkwell (SE)</c:v>
                </c:pt>
                <c:pt idx="6">
                  <c:v>Stansted (NW)</c:v>
                </c:pt>
                <c:pt idx="7">
                  <c:v>Corringham (SW)</c:v>
                </c:pt>
                <c:pt idx="8">
                  <c:v>Newport (NW)</c:v>
                </c:pt>
                <c:pt idx="9">
                  <c:v>Saffron Walden (NW)</c:v>
                </c:pt>
                <c:pt idx="10">
                  <c:v>Weeley (NE)</c:v>
                </c:pt>
                <c:pt idx="11">
                  <c:v>Halstead (NW)</c:v>
                </c:pt>
                <c:pt idx="12">
                  <c:v>Rochford (SE)</c:v>
                </c:pt>
                <c:pt idx="13">
                  <c:v>Tillingham (NE)</c:v>
                </c:pt>
                <c:pt idx="14">
                  <c:v>Tiptree (NE)</c:v>
                </c:pt>
                <c:pt idx="15">
                  <c:v>Maldon (NE)</c:v>
                </c:pt>
                <c:pt idx="16">
                  <c:v>Dovercourt (NE)</c:v>
                </c:pt>
                <c:pt idx="17">
                  <c:v>Billericay (SW)</c:v>
                </c:pt>
                <c:pt idx="18">
                  <c:v>Wivenhoe (NE)</c:v>
                </c:pt>
                <c:pt idx="19">
                  <c:v>Braintree (NW)</c:v>
                </c:pt>
                <c:pt idx="20">
                  <c:v>Coggeshall (NW)</c:v>
                </c:pt>
                <c:pt idx="21">
                  <c:v>Wethersfield (NW)</c:v>
                </c:pt>
                <c:pt idx="22">
                  <c:v>Dunmow (NW)</c:v>
                </c:pt>
                <c:pt idx="23">
                  <c:v>Manningtree (NE)</c:v>
                </c:pt>
                <c:pt idx="24">
                  <c:v>Thaxted (NW)</c:v>
                </c:pt>
                <c:pt idx="25">
                  <c:v>Tollesbury (NE)</c:v>
                </c:pt>
                <c:pt idx="26">
                  <c:v>Witham (NW)</c:v>
                </c:pt>
                <c:pt idx="27">
                  <c:v>Canvey (SE)</c:v>
                </c:pt>
                <c:pt idx="28">
                  <c:v>Brentwood (SW)</c:v>
                </c:pt>
                <c:pt idx="29">
                  <c:v>Old Harlow (NW)</c:v>
                </c:pt>
                <c:pt idx="30">
                  <c:v>Ongar (SW)</c:v>
                </c:pt>
                <c:pt idx="31">
                  <c:v>Burnham (NE)</c:v>
                </c:pt>
                <c:pt idx="32">
                  <c:v>Sible Hedingham (NW)</c:v>
                </c:pt>
                <c:pt idx="33">
                  <c:v>Wickford (SW)</c:v>
                </c:pt>
                <c:pt idx="34">
                  <c:v>Shoeburyness (SE)</c:v>
                </c:pt>
                <c:pt idx="35">
                  <c:v>Ingatestone (SW)</c:v>
                </c:pt>
                <c:pt idx="36">
                  <c:v>Leaden Roding (NW)</c:v>
                </c:pt>
              </c:strCache>
            </c:strRef>
          </c:cat>
          <c:val>
            <c:numRef>
              <c:f>'On-Call Pumping Appliance Avail'!$D$2:$D$38</c:f>
              <c:numCache>
                <c:formatCode>0.00%</c:formatCode>
                <c:ptCount val="37"/>
                <c:pt idx="0">
                  <c:v>0.9890000000000001</c:v>
                </c:pt>
                <c:pt idx="1">
                  <c:v>0.98799999999999999</c:v>
                </c:pt>
                <c:pt idx="2">
                  <c:v>0.9840000000000001</c:v>
                </c:pt>
                <c:pt idx="3">
                  <c:v>0.97400000000000009</c:v>
                </c:pt>
                <c:pt idx="4">
                  <c:v>0.97400000000000009</c:v>
                </c:pt>
                <c:pt idx="5">
                  <c:v>0.96599999999999997</c:v>
                </c:pt>
                <c:pt idx="6">
                  <c:v>0.96599999999999997</c:v>
                </c:pt>
                <c:pt idx="7">
                  <c:v>0.96200000000000008</c:v>
                </c:pt>
                <c:pt idx="8">
                  <c:v>0.95299999999999996</c:v>
                </c:pt>
                <c:pt idx="9">
                  <c:v>0.94900000000000007</c:v>
                </c:pt>
                <c:pt idx="10">
                  <c:v>0.94400000000000006</c:v>
                </c:pt>
                <c:pt idx="11">
                  <c:v>0.92299999999999993</c:v>
                </c:pt>
                <c:pt idx="12">
                  <c:v>0.89900000000000002</c:v>
                </c:pt>
                <c:pt idx="13">
                  <c:v>0.89900000000000002</c:v>
                </c:pt>
                <c:pt idx="14">
                  <c:v>0.88800000000000001</c:v>
                </c:pt>
                <c:pt idx="15">
                  <c:v>0.8859999999999999</c:v>
                </c:pt>
                <c:pt idx="16">
                  <c:v>0.85099999999999998</c:v>
                </c:pt>
                <c:pt idx="17">
                  <c:v>0.83499999999999996</c:v>
                </c:pt>
                <c:pt idx="18">
                  <c:v>0.81900000000000006</c:v>
                </c:pt>
                <c:pt idx="19">
                  <c:v>0.80400000000000005</c:v>
                </c:pt>
                <c:pt idx="20">
                  <c:v>0.76300000000000001</c:v>
                </c:pt>
                <c:pt idx="21">
                  <c:v>0.73699999999999999</c:v>
                </c:pt>
                <c:pt idx="22">
                  <c:v>0.73</c:v>
                </c:pt>
                <c:pt idx="23">
                  <c:v>0.7</c:v>
                </c:pt>
                <c:pt idx="24">
                  <c:v>0.69799999999999995</c:v>
                </c:pt>
                <c:pt idx="25">
                  <c:v>0.68700000000000006</c:v>
                </c:pt>
                <c:pt idx="26">
                  <c:v>0.68299999999999994</c:v>
                </c:pt>
                <c:pt idx="27">
                  <c:v>0.67500000000000004</c:v>
                </c:pt>
                <c:pt idx="28">
                  <c:v>0.67200000000000004</c:v>
                </c:pt>
                <c:pt idx="29">
                  <c:v>0.63800000000000001</c:v>
                </c:pt>
                <c:pt idx="30">
                  <c:v>0.626</c:v>
                </c:pt>
                <c:pt idx="31">
                  <c:v>0.58599999999999997</c:v>
                </c:pt>
                <c:pt idx="32">
                  <c:v>0.57999999999999996</c:v>
                </c:pt>
                <c:pt idx="33">
                  <c:v>0.57499999999999996</c:v>
                </c:pt>
                <c:pt idx="34">
                  <c:v>0.55000000000000004</c:v>
                </c:pt>
                <c:pt idx="35">
                  <c:v>0.48700000000000004</c:v>
                </c:pt>
                <c:pt idx="36">
                  <c:v>0</c:v>
                </c:pt>
              </c:numCache>
            </c:numRef>
          </c:val>
          <c:extLst>
            <c:ext xmlns:c16="http://schemas.microsoft.com/office/drawing/2014/chart" uri="{C3380CC4-5D6E-409C-BE32-E72D297353CC}">
              <c16:uniqueId val="{00000002-851B-4EE9-8CB1-782E41A5D908}"/>
            </c:ext>
          </c:extLst>
        </c:ser>
        <c:dLbls>
          <c:showLegendKey val="0"/>
          <c:showVal val="0"/>
          <c:showCatName val="0"/>
          <c:showSerName val="0"/>
          <c:showPercent val="0"/>
          <c:showBubbleSize val="0"/>
        </c:dLbls>
        <c:gapWidth val="219"/>
        <c:axId val="48671744"/>
        <c:axId val="48694400"/>
      </c:barChart>
      <c:lineChart>
        <c:grouping val="standard"/>
        <c:varyColors val="0"/>
        <c:ser>
          <c:idx val="3"/>
          <c:order val="3"/>
          <c:tx>
            <c:strRef>
              <c:f>'On-Call Pumping Appliance Avail'!$E$1</c:f>
              <c:strCache>
                <c:ptCount val="1"/>
                <c:pt idx="0">
                  <c:v>Target</c:v>
                </c:pt>
              </c:strCache>
            </c:strRef>
          </c:tx>
          <c:spPr>
            <a:ln w="28575" cap="rnd">
              <a:solidFill>
                <a:schemeClr val="accent2"/>
              </a:solidFill>
              <a:round/>
            </a:ln>
            <a:effectLst/>
          </c:spPr>
          <c:marker>
            <c:symbol val="none"/>
          </c:marker>
          <c:cat>
            <c:strRef>
              <c:f>'On-Call Pumping Appliance Avail'!$A$2:$A$38</c:f>
              <c:strCache>
                <c:ptCount val="37"/>
                <c:pt idx="0">
                  <c:v>West Mersea (NE)</c:v>
                </c:pt>
                <c:pt idx="1">
                  <c:v>Brightlingsea (NE)</c:v>
                </c:pt>
                <c:pt idx="2">
                  <c:v>Clacton (NW)</c:v>
                </c:pt>
                <c:pt idx="3">
                  <c:v>Epping (SW)</c:v>
                </c:pt>
                <c:pt idx="4">
                  <c:v>Frinton (NE)</c:v>
                </c:pt>
                <c:pt idx="5">
                  <c:v>Hawkwell (SE)</c:v>
                </c:pt>
                <c:pt idx="6">
                  <c:v>Stansted (NW)</c:v>
                </c:pt>
                <c:pt idx="7">
                  <c:v>Corringham (SW)</c:v>
                </c:pt>
                <c:pt idx="8">
                  <c:v>Newport (NW)</c:v>
                </c:pt>
                <c:pt idx="9">
                  <c:v>Saffron Walden (NW)</c:v>
                </c:pt>
                <c:pt idx="10">
                  <c:v>Weeley (NE)</c:v>
                </c:pt>
                <c:pt idx="11">
                  <c:v>Halstead (NW)</c:v>
                </c:pt>
                <c:pt idx="12">
                  <c:v>Rochford (SE)</c:v>
                </c:pt>
                <c:pt idx="13">
                  <c:v>Tillingham (NE)</c:v>
                </c:pt>
                <c:pt idx="14">
                  <c:v>Tiptree (NE)</c:v>
                </c:pt>
                <c:pt idx="15">
                  <c:v>Maldon (NE)</c:v>
                </c:pt>
                <c:pt idx="16">
                  <c:v>Dovercourt (NE)</c:v>
                </c:pt>
                <c:pt idx="17">
                  <c:v>Billericay (SW)</c:v>
                </c:pt>
                <c:pt idx="18">
                  <c:v>Wivenhoe (NE)</c:v>
                </c:pt>
                <c:pt idx="19">
                  <c:v>Braintree (NW)</c:v>
                </c:pt>
                <c:pt idx="20">
                  <c:v>Coggeshall (NW)</c:v>
                </c:pt>
                <c:pt idx="21">
                  <c:v>Wethersfield (NW)</c:v>
                </c:pt>
                <c:pt idx="22">
                  <c:v>Dunmow (NW)</c:v>
                </c:pt>
                <c:pt idx="23">
                  <c:v>Manningtree (NE)</c:v>
                </c:pt>
                <c:pt idx="24">
                  <c:v>Thaxted (NW)</c:v>
                </c:pt>
                <c:pt idx="25">
                  <c:v>Tollesbury (NE)</c:v>
                </c:pt>
                <c:pt idx="26">
                  <c:v>Witham (NW)</c:v>
                </c:pt>
                <c:pt idx="27">
                  <c:v>Canvey (SE)</c:v>
                </c:pt>
                <c:pt idx="28">
                  <c:v>Brentwood (SW)</c:v>
                </c:pt>
                <c:pt idx="29">
                  <c:v>Old Harlow (NW)</c:v>
                </c:pt>
                <c:pt idx="30">
                  <c:v>Ongar (SW)</c:v>
                </c:pt>
                <c:pt idx="31">
                  <c:v>Burnham (NE)</c:v>
                </c:pt>
                <c:pt idx="32">
                  <c:v>Sible Hedingham (NW)</c:v>
                </c:pt>
                <c:pt idx="33">
                  <c:v>Wickford (SW)</c:v>
                </c:pt>
                <c:pt idx="34">
                  <c:v>Shoeburyness (SE)</c:v>
                </c:pt>
                <c:pt idx="35">
                  <c:v>Ingatestone (SW)</c:v>
                </c:pt>
                <c:pt idx="36">
                  <c:v>Leaden Roding (NW)</c:v>
                </c:pt>
              </c:strCache>
            </c:strRef>
          </c:cat>
          <c:val>
            <c:numRef>
              <c:f>'On-Call Pumping Appliance Avail'!$E$2:$E$38</c:f>
              <c:numCache>
                <c:formatCode>General</c:formatCode>
                <c:ptCount val="37"/>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pt idx="21">
                  <c:v>0.9</c:v>
                </c:pt>
                <c:pt idx="22">
                  <c:v>0.9</c:v>
                </c:pt>
                <c:pt idx="23">
                  <c:v>0.9</c:v>
                </c:pt>
                <c:pt idx="24">
                  <c:v>0.9</c:v>
                </c:pt>
                <c:pt idx="25">
                  <c:v>0.9</c:v>
                </c:pt>
                <c:pt idx="26">
                  <c:v>0.9</c:v>
                </c:pt>
                <c:pt idx="27">
                  <c:v>0.9</c:v>
                </c:pt>
                <c:pt idx="28">
                  <c:v>0.9</c:v>
                </c:pt>
                <c:pt idx="29">
                  <c:v>0.9</c:v>
                </c:pt>
                <c:pt idx="30">
                  <c:v>0.9</c:v>
                </c:pt>
                <c:pt idx="31">
                  <c:v>0.9</c:v>
                </c:pt>
                <c:pt idx="32">
                  <c:v>0.9</c:v>
                </c:pt>
                <c:pt idx="33">
                  <c:v>0.9</c:v>
                </c:pt>
                <c:pt idx="34">
                  <c:v>0.9</c:v>
                </c:pt>
                <c:pt idx="35">
                  <c:v>0.9</c:v>
                </c:pt>
                <c:pt idx="36">
                  <c:v>0.9</c:v>
                </c:pt>
              </c:numCache>
            </c:numRef>
          </c:val>
          <c:smooth val="0"/>
          <c:extLst>
            <c:ext xmlns:c16="http://schemas.microsoft.com/office/drawing/2014/chart" uri="{C3380CC4-5D6E-409C-BE32-E72D297353CC}">
              <c16:uniqueId val="{00000003-851B-4EE9-8CB1-782E41A5D908}"/>
            </c:ext>
          </c:extLst>
        </c:ser>
        <c:dLbls>
          <c:showLegendKey val="0"/>
          <c:showVal val="0"/>
          <c:showCatName val="0"/>
          <c:showSerName val="0"/>
          <c:showPercent val="0"/>
          <c:showBubbleSize val="0"/>
        </c:dLbls>
        <c:marker val="1"/>
        <c:smooth val="0"/>
        <c:axId val="48671744"/>
        <c:axId val="48694400"/>
      </c:lineChart>
      <c:catAx>
        <c:axId val="4867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88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694400"/>
        <c:crosses val="autoZero"/>
        <c:auto val="1"/>
        <c:lblAlgn val="ctr"/>
        <c:lblOffset val="100"/>
        <c:noMultiLvlLbl val="0"/>
      </c:catAx>
      <c:valAx>
        <c:axId val="486944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71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Fire Incidents by Month</a:t>
            </a:r>
          </a:p>
        </c:rich>
      </c:tx>
      <c:layout/>
      <c:overlay val="0"/>
      <c:spPr>
        <a:noFill/>
        <a:ln>
          <a:noFill/>
        </a:ln>
        <a:effectLst/>
      </c:spPr>
    </c:title>
    <c:autoTitleDeleted val="0"/>
    <c:plotArea>
      <c:layout/>
      <c:barChart>
        <c:barDir val="col"/>
        <c:grouping val="clustered"/>
        <c:varyColors val="0"/>
        <c:ser>
          <c:idx val="0"/>
          <c:order val="0"/>
          <c:tx>
            <c:strRef>
              <c:f>Fires!$C$2</c:f>
              <c:strCache>
                <c:ptCount val="1"/>
                <c:pt idx="0">
                  <c:v>Previous Year</c:v>
                </c:pt>
              </c:strCache>
            </c:strRef>
          </c:tx>
          <c:spPr>
            <a:solidFill>
              <a:schemeClr val="bg2">
                <a:lumMod val="75000"/>
              </a:schemeClr>
            </a:solidFill>
            <a:ln>
              <a:noFill/>
            </a:ln>
            <a:effectLst/>
          </c:spPr>
          <c:invertIfNegative val="0"/>
          <c:cat>
            <c:numRef>
              <c:f>Fires!$B$3:$B$45</c:f>
              <c:numCache>
                <c:formatCode>mmm\-yy</c:formatCode>
                <c:ptCount val="4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numCache>
            </c:numRef>
          </c:cat>
          <c:val>
            <c:numRef>
              <c:f>Fires!$C$3:$C$45</c:f>
              <c:numCache>
                <c:formatCode>General</c:formatCode>
                <c:ptCount val="43"/>
                <c:pt idx="24">
                  <c:v>250</c:v>
                </c:pt>
                <c:pt idx="25">
                  <c:v>310</c:v>
                </c:pt>
                <c:pt idx="26">
                  <c:v>331</c:v>
                </c:pt>
                <c:pt idx="27">
                  <c:v>316</c:v>
                </c:pt>
                <c:pt idx="28">
                  <c:v>428</c:v>
                </c:pt>
                <c:pt idx="29">
                  <c:v>314</c:v>
                </c:pt>
                <c:pt idx="30">
                  <c:v>488</c:v>
                </c:pt>
                <c:pt idx="31">
                  <c:v>733</c:v>
                </c:pt>
                <c:pt idx="32">
                  <c:v>594</c:v>
                </c:pt>
                <c:pt idx="33">
                  <c:v>493</c:v>
                </c:pt>
                <c:pt idx="34">
                  <c:v>362</c:v>
                </c:pt>
                <c:pt idx="35">
                  <c:v>295</c:v>
                </c:pt>
                <c:pt idx="36">
                  <c:v>304</c:v>
                </c:pt>
                <c:pt idx="37">
                  <c:v>310</c:v>
                </c:pt>
                <c:pt idx="38">
                  <c:v>381</c:v>
                </c:pt>
                <c:pt idx="39">
                  <c:v>641</c:v>
                </c:pt>
                <c:pt idx="40">
                  <c:v>476</c:v>
                </c:pt>
                <c:pt idx="41">
                  <c:v>529</c:v>
                </c:pt>
                <c:pt idx="42">
                  <c:v>517</c:v>
                </c:pt>
              </c:numCache>
            </c:numRef>
          </c:val>
          <c:extLst>
            <c:ext xmlns:c16="http://schemas.microsoft.com/office/drawing/2014/chart" uri="{C3380CC4-5D6E-409C-BE32-E72D297353CC}">
              <c16:uniqueId val="{00000000-116E-4BB4-A383-28F0254B65AD}"/>
            </c:ext>
          </c:extLst>
        </c:ser>
        <c:ser>
          <c:idx val="1"/>
          <c:order val="1"/>
          <c:tx>
            <c:strRef>
              <c:f>Fires!$D$2</c:f>
              <c:strCache>
                <c:ptCount val="1"/>
                <c:pt idx="0">
                  <c:v>Fires</c:v>
                </c:pt>
              </c:strCache>
            </c:strRef>
          </c:tx>
          <c:spPr>
            <a:solidFill>
              <a:schemeClr val="accent5"/>
            </a:solidFill>
            <a:ln>
              <a:noFill/>
            </a:ln>
            <a:effectLst/>
          </c:spPr>
          <c:invertIfNegative val="0"/>
          <c:dLbls>
            <c:dLbl>
              <c:idx val="39"/>
              <c:layout>
                <c:manualLayout>
                  <c:x val="3.4057050117766237E-3"/>
                  <c:y val="9.01960784313725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16E-4BB4-A383-28F0254B65AD}"/>
                </c:ext>
              </c:extLst>
            </c:dLbl>
            <c:dLbl>
              <c:idx val="4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16E-4BB4-A383-28F0254B65AD}"/>
                </c:ext>
              </c:extLst>
            </c:dLbl>
            <c:dLbl>
              <c:idx val="4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16E-4BB4-A383-28F0254B65AD}"/>
                </c:ext>
              </c:extLst>
            </c:dLbl>
            <c:dLbl>
              <c:idx val="4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16E-4BB4-A383-28F0254B65AD}"/>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15:showLeaderLines val="1"/>
                <c15:leaderLines>
                  <c:spPr>
                    <a:ln w="9525" cap="flat" cmpd="sng" algn="ctr">
                      <a:solidFill>
                        <a:schemeClr val="tx1">
                          <a:lumMod val="35000"/>
                          <a:lumOff val="65000"/>
                        </a:schemeClr>
                      </a:solidFill>
                      <a:round/>
                    </a:ln>
                    <a:effectLst/>
                  </c:spPr>
                </c15:leaderLines>
              </c:ext>
            </c:extLst>
          </c:dLbls>
          <c:cat>
            <c:numRef>
              <c:f>Fires!$B$3:$B$45</c:f>
              <c:numCache>
                <c:formatCode>mmm\-yy</c:formatCode>
                <c:ptCount val="4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numCache>
            </c:numRef>
          </c:cat>
          <c:val>
            <c:numRef>
              <c:f>Fires!$D$3:$D$45</c:f>
              <c:numCache>
                <c:formatCode>General</c:formatCode>
                <c:ptCount val="43"/>
                <c:pt idx="0">
                  <c:v>250</c:v>
                </c:pt>
                <c:pt idx="1">
                  <c:v>216</c:v>
                </c:pt>
                <c:pt idx="2">
                  <c:v>352</c:v>
                </c:pt>
                <c:pt idx="3">
                  <c:v>350</c:v>
                </c:pt>
                <c:pt idx="4">
                  <c:v>376</c:v>
                </c:pt>
                <c:pt idx="5">
                  <c:v>534</c:v>
                </c:pt>
                <c:pt idx="6">
                  <c:v>570</c:v>
                </c:pt>
                <c:pt idx="7">
                  <c:v>527</c:v>
                </c:pt>
                <c:pt idx="8">
                  <c:v>315</c:v>
                </c:pt>
                <c:pt idx="9">
                  <c:v>345</c:v>
                </c:pt>
                <c:pt idx="10">
                  <c:v>311</c:v>
                </c:pt>
                <c:pt idx="11">
                  <c:v>266</c:v>
                </c:pt>
                <c:pt idx="12">
                  <c:v>250</c:v>
                </c:pt>
                <c:pt idx="13">
                  <c:v>310</c:v>
                </c:pt>
                <c:pt idx="14">
                  <c:v>331</c:v>
                </c:pt>
                <c:pt idx="15">
                  <c:v>316</c:v>
                </c:pt>
                <c:pt idx="16">
                  <c:v>428</c:v>
                </c:pt>
                <c:pt idx="17">
                  <c:v>314</c:v>
                </c:pt>
                <c:pt idx="18">
                  <c:v>488</c:v>
                </c:pt>
                <c:pt idx="19">
                  <c:v>733</c:v>
                </c:pt>
                <c:pt idx="20">
                  <c:v>594</c:v>
                </c:pt>
                <c:pt idx="21">
                  <c:v>493</c:v>
                </c:pt>
                <c:pt idx="22">
                  <c:v>362</c:v>
                </c:pt>
                <c:pt idx="23">
                  <c:v>295</c:v>
                </c:pt>
                <c:pt idx="24">
                  <c:v>304</c:v>
                </c:pt>
                <c:pt idx="25">
                  <c:v>292</c:v>
                </c:pt>
                <c:pt idx="26">
                  <c:v>381</c:v>
                </c:pt>
                <c:pt idx="27">
                  <c:v>641</c:v>
                </c:pt>
                <c:pt idx="28">
                  <c:v>476</c:v>
                </c:pt>
                <c:pt idx="29">
                  <c:v>529</c:v>
                </c:pt>
                <c:pt idx="30">
                  <c:v>517</c:v>
                </c:pt>
                <c:pt idx="31">
                  <c:v>437</c:v>
                </c:pt>
                <c:pt idx="32">
                  <c:v>289</c:v>
                </c:pt>
                <c:pt idx="33">
                  <c:v>408</c:v>
                </c:pt>
                <c:pt idx="34">
                  <c:v>356</c:v>
                </c:pt>
                <c:pt idx="35">
                  <c:v>258</c:v>
                </c:pt>
                <c:pt idx="36">
                  <c:v>279</c:v>
                </c:pt>
                <c:pt idx="37">
                  <c:v>280</c:v>
                </c:pt>
                <c:pt idx="38">
                  <c:v>291</c:v>
                </c:pt>
                <c:pt idx="39">
                  <c:v>292</c:v>
                </c:pt>
                <c:pt idx="40">
                  <c:v>382</c:v>
                </c:pt>
                <c:pt idx="41">
                  <c:v>503</c:v>
                </c:pt>
                <c:pt idx="42">
                  <c:v>826</c:v>
                </c:pt>
              </c:numCache>
            </c:numRef>
          </c:val>
          <c:extLst>
            <c:ext xmlns:c16="http://schemas.microsoft.com/office/drawing/2014/chart" uri="{C3380CC4-5D6E-409C-BE32-E72D297353CC}">
              <c16:uniqueId val="{00000005-116E-4BB4-A383-28F0254B65AD}"/>
            </c:ext>
          </c:extLst>
        </c:ser>
        <c:dLbls>
          <c:showLegendKey val="0"/>
          <c:showVal val="0"/>
          <c:showCatName val="0"/>
          <c:showSerName val="0"/>
          <c:showPercent val="0"/>
          <c:showBubbleSize val="0"/>
        </c:dLbls>
        <c:gapWidth val="219"/>
        <c:overlap val="-27"/>
        <c:axId val="49087488"/>
        <c:axId val="48697280"/>
      </c:barChart>
      <c:lineChart>
        <c:grouping val="standard"/>
        <c:varyColors val="0"/>
        <c:ser>
          <c:idx val="2"/>
          <c:order val="2"/>
          <c:tx>
            <c:strRef>
              <c:f>Fires!$E$2</c:f>
              <c:strCache>
                <c:ptCount val="1"/>
                <c:pt idx="0">
                  <c:v>Average</c:v>
                </c:pt>
              </c:strCache>
            </c:strRef>
          </c:tx>
          <c:spPr>
            <a:ln w="28575" cap="rnd">
              <a:solidFill>
                <a:schemeClr val="accent2"/>
              </a:solidFill>
              <a:round/>
            </a:ln>
            <a:effectLst/>
          </c:spPr>
          <c:marker>
            <c:symbol val="none"/>
          </c:marker>
          <c:cat>
            <c:numRef>
              <c:f>Fires!$B$3:$B$45</c:f>
              <c:numCache>
                <c:formatCode>mmm\-yy</c:formatCode>
                <c:ptCount val="43"/>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numCache>
            </c:numRef>
          </c:cat>
          <c:val>
            <c:numRef>
              <c:f>Fires!$E$3:$E$45</c:f>
              <c:numCache>
                <c:formatCode>General</c:formatCode>
                <c:ptCount val="43"/>
                <c:pt idx="0">
                  <c:v>397</c:v>
                </c:pt>
                <c:pt idx="1">
                  <c:v>397</c:v>
                </c:pt>
                <c:pt idx="2">
                  <c:v>397</c:v>
                </c:pt>
                <c:pt idx="3">
                  <c:v>397</c:v>
                </c:pt>
                <c:pt idx="4">
                  <c:v>397</c:v>
                </c:pt>
                <c:pt idx="5">
                  <c:v>397</c:v>
                </c:pt>
                <c:pt idx="6">
                  <c:v>397</c:v>
                </c:pt>
                <c:pt idx="7">
                  <c:v>397</c:v>
                </c:pt>
                <c:pt idx="8">
                  <c:v>397</c:v>
                </c:pt>
                <c:pt idx="9">
                  <c:v>397</c:v>
                </c:pt>
                <c:pt idx="10">
                  <c:v>397</c:v>
                </c:pt>
                <c:pt idx="11">
                  <c:v>397</c:v>
                </c:pt>
                <c:pt idx="12">
                  <c:v>397</c:v>
                </c:pt>
                <c:pt idx="13">
                  <c:v>397</c:v>
                </c:pt>
                <c:pt idx="14">
                  <c:v>397</c:v>
                </c:pt>
                <c:pt idx="15">
                  <c:v>397</c:v>
                </c:pt>
                <c:pt idx="16">
                  <c:v>397</c:v>
                </c:pt>
                <c:pt idx="17">
                  <c:v>397</c:v>
                </c:pt>
                <c:pt idx="18">
                  <c:v>397</c:v>
                </c:pt>
                <c:pt idx="19">
                  <c:v>397</c:v>
                </c:pt>
                <c:pt idx="20">
                  <c:v>397</c:v>
                </c:pt>
                <c:pt idx="21">
                  <c:v>397</c:v>
                </c:pt>
                <c:pt idx="22">
                  <c:v>397</c:v>
                </c:pt>
                <c:pt idx="23">
                  <c:v>397</c:v>
                </c:pt>
                <c:pt idx="24">
                  <c:v>397</c:v>
                </c:pt>
                <c:pt idx="25">
                  <c:v>397</c:v>
                </c:pt>
                <c:pt idx="26">
                  <c:v>397</c:v>
                </c:pt>
                <c:pt idx="27">
                  <c:v>397</c:v>
                </c:pt>
                <c:pt idx="28">
                  <c:v>397</c:v>
                </c:pt>
                <c:pt idx="29">
                  <c:v>397</c:v>
                </c:pt>
                <c:pt idx="30">
                  <c:v>397</c:v>
                </c:pt>
                <c:pt idx="31">
                  <c:v>397</c:v>
                </c:pt>
                <c:pt idx="32">
                  <c:v>397</c:v>
                </c:pt>
                <c:pt idx="33">
                  <c:v>397</c:v>
                </c:pt>
                <c:pt idx="34">
                  <c:v>397</c:v>
                </c:pt>
                <c:pt idx="35">
                  <c:v>397</c:v>
                </c:pt>
                <c:pt idx="36">
                  <c:v>397</c:v>
                </c:pt>
                <c:pt idx="37">
                  <c:v>397</c:v>
                </c:pt>
                <c:pt idx="38">
                  <c:v>397</c:v>
                </c:pt>
                <c:pt idx="39">
                  <c:v>397</c:v>
                </c:pt>
                <c:pt idx="40">
                  <c:v>397</c:v>
                </c:pt>
                <c:pt idx="41">
                  <c:v>397</c:v>
                </c:pt>
                <c:pt idx="42">
                  <c:v>397</c:v>
                </c:pt>
              </c:numCache>
            </c:numRef>
          </c:val>
          <c:smooth val="0"/>
          <c:extLst>
            <c:ext xmlns:c16="http://schemas.microsoft.com/office/drawing/2014/chart" uri="{C3380CC4-5D6E-409C-BE32-E72D297353CC}">
              <c16:uniqueId val="{00000006-116E-4BB4-A383-28F0254B65AD}"/>
            </c:ext>
          </c:extLst>
        </c:ser>
        <c:dLbls>
          <c:showLegendKey val="0"/>
          <c:showVal val="0"/>
          <c:showCatName val="0"/>
          <c:showSerName val="0"/>
          <c:showPercent val="0"/>
          <c:showBubbleSize val="0"/>
        </c:dLbls>
        <c:marker val="1"/>
        <c:smooth val="0"/>
        <c:axId val="49087488"/>
        <c:axId val="48697280"/>
      </c:lineChart>
      <c:dateAx>
        <c:axId val="490874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402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697280"/>
        <c:crosses val="autoZero"/>
        <c:auto val="1"/>
        <c:lblOffset val="100"/>
        <c:baseTimeUnit val="months"/>
      </c:dateAx>
      <c:valAx>
        <c:axId val="4869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Fires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0.6136</cdr:x>
      <cdr:y>0.90506</cdr:y>
    </cdr:from>
    <cdr:to>
      <cdr:x>1</cdr:x>
      <cdr:y>1</cdr:y>
    </cdr:to>
    <cdr:sp macro="" textlink="">
      <cdr:nvSpPr>
        <cdr:cNvPr id="3" name="Text Box 1"/>
        <cdr:cNvSpPr txBox="1"/>
      </cdr:nvSpPr>
      <cdr:spPr>
        <a:xfrm xmlns:a="http://schemas.openxmlformats.org/drawingml/2006/main">
          <a:off x="4038600" y="2724151"/>
          <a:ext cx="2543175" cy="2857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000">
              <a:solidFill>
                <a:schemeClr val="tx1">
                  <a:lumMod val="65000"/>
                  <a:lumOff val="35000"/>
                </a:schemeClr>
              </a:solidFill>
            </a:rPr>
            <a:t>Boxed</a:t>
          </a:r>
          <a:r>
            <a:rPr lang="en-GB" sz="1000" baseline="0">
              <a:solidFill>
                <a:schemeClr val="tx1">
                  <a:lumMod val="65000"/>
                  <a:lumOff val="35000"/>
                </a:schemeClr>
              </a:solidFill>
            </a:rPr>
            <a:t> figures show incident numbers</a:t>
          </a:r>
          <a:r>
            <a:rPr lang="en-GB" sz="1000">
              <a:solidFill>
                <a:schemeClr val="tx1">
                  <a:lumMod val="65000"/>
                  <a:lumOff val="35000"/>
                </a:schemeClr>
              </a:solidFill>
            </a:rPr>
            <a:t> </a:t>
          </a:r>
        </a:p>
        <a:p xmlns:a="http://schemas.openxmlformats.org/drawingml/2006/main">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0.01208</cdr:x>
      <cdr:y>0.94173</cdr:y>
    </cdr:from>
    <cdr:to>
      <cdr:x>0.15094</cdr:x>
      <cdr:y>0.9874</cdr:y>
    </cdr:to>
    <cdr:sp macro="" textlink="">
      <cdr:nvSpPr>
        <cdr:cNvPr id="2" name="TextBox 1"/>
        <cdr:cNvSpPr txBox="1"/>
      </cdr:nvSpPr>
      <cdr:spPr>
        <a:xfrm xmlns:a="http://schemas.openxmlformats.org/drawingml/2006/main">
          <a:off x="152400" y="5695950"/>
          <a:ext cx="17526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0.01962</cdr:x>
      <cdr:y>0.93386</cdr:y>
    </cdr:from>
    <cdr:to>
      <cdr:x>0.17962</cdr:x>
      <cdr:y>0.98425</cdr:y>
    </cdr:to>
    <cdr:sp macro="" textlink="">
      <cdr:nvSpPr>
        <cdr:cNvPr id="3" name="TextBox 2"/>
        <cdr:cNvSpPr txBox="1"/>
      </cdr:nvSpPr>
      <cdr:spPr>
        <a:xfrm xmlns:a="http://schemas.openxmlformats.org/drawingml/2006/main">
          <a:off x="247650" y="5648325"/>
          <a:ext cx="20193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0.01585</cdr:x>
      <cdr:y>0.93858</cdr:y>
    </cdr:from>
    <cdr:to>
      <cdr:x>0.23396</cdr:x>
      <cdr:y>0.99055</cdr:y>
    </cdr:to>
    <cdr:sp macro="" textlink="">
      <cdr:nvSpPr>
        <cdr:cNvPr id="4" name="TextBox 3"/>
        <cdr:cNvSpPr txBox="1"/>
      </cdr:nvSpPr>
      <cdr:spPr>
        <a:xfrm xmlns:a="http://schemas.openxmlformats.org/drawingml/2006/main">
          <a:off x="200025" y="5676900"/>
          <a:ext cx="275272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0.42982</cdr:x>
      <cdr:y>0.91737</cdr:y>
    </cdr:from>
    <cdr:to>
      <cdr:x>0.87005</cdr:x>
      <cdr:y>0.98589</cdr:y>
    </cdr:to>
    <cdr:sp macro="" textlink="">
      <cdr:nvSpPr>
        <cdr:cNvPr id="5" name="Text Box 1"/>
        <cdr:cNvSpPr txBox="1"/>
      </cdr:nvSpPr>
      <cdr:spPr>
        <a:xfrm xmlns:a="http://schemas.openxmlformats.org/drawingml/2006/main">
          <a:off x="3276600" y="2847975"/>
          <a:ext cx="3355975" cy="2127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000">
              <a:solidFill>
                <a:schemeClr val="tx1">
                  <a:lumMod val="65000"/>
                  <a:lumOff val="35000"/>
                </a:schemeClr>
              </a:solidFill>
            </a:rPr>
            <a:t>Boxed</a:t>
          </a:r>
          <a:r>
            <a:rPr lang="en-GB" sz="1000" baseline="0">
              <a:solidFill>
                <a:schemeClr val="tx1">
                  <a:lumMod val="65000"/>
                  <a:lumOff val="35000"/>
                </a:schemeClr>
              </a:solidFill>
            </a:rPr>
            <a:t> figures show incident numbers</a:t>
          </a:r>
          <a:r>
            <a:rPr lang="en-GB" sz="1000">
              <a:solidFill>
                <a:schemeClr val="tx1">
                  <a:lumMod val="65000"/>
                  <a:lumOff val="35000"/>
                </a:schemeClr>
              </a:solidFill>
            </a:rPr>
            <a:t> </a:t>
          </a:r>
        </a:p>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05541-6F56-444E-974B-3102ED98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Essex County Fire and Rescue Service –         Monthly Performance Summary</vt:lpstr>
    </vt:vector>
  </TitlesOfParts>
  <Company>Hewlett-Packard Company</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Fire and Rescue Service –         Monthly Performance Summary</dc:title>
  <dc:subject>July 2018</dc:subject>
  <dc:creator>Charlie Elia</dc:creator>
  <cp:lastModifiedBy>Tracy King</cp:lastModifiedBy>
  <cp:revision>4</cp:revision>
  <cp:lastPrinted>2018-08-20T09:16:00Z</cp:lastPrinted>
  <dcterms:created xsi:type="dcterms:W3CDTF">2018-08-22T14:47:00Z</dcterms:created>
  <dcterms:modified xsi:type="dcterms:W3CDTF">2018-08-22T18:44:00Z</dcterms:modified>
</cp:coreProperties>
</file>