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0E" w:rsidRPr="00B411B7" w:rsidRDefault="0068070E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B411B7">
        <w:rPr>
          <w:rFonts w:ascii="Verdana" w:hAnsi="Verdana"/>
          <w:b/>
          <w:sz w:val="24"/>
          <w:szCs w:val="24"/>
        </w:rPr>
        <w:t xml:space="preserve">SOUTHEND JOINT TARGETTED AREA INSPECTION MARCH 2018: MULTI-AGENCY ACTION PLAN </w:t>
      </w:r>
    </w:p>
    <w:p w:rsidR="00C42CC1" w:rsidRPr="00B411B7" w:rsidRDefault="0068070E" w:rsidP="00C42CC1">
      <w:pPr>
        <w:rPr>
          <w:rFonts w:ascii="Verdana" w:hAnsi="Verdana"/>
          <w:b/>
          <w:sz w:val="24"/>
          <w:szCs w:val="24"/>
        </w:rPr>
      </w:pPr>
      <w:r w:rsidRPr="00B411B7">
        <w:rPr>
          <w:rFonts w:ascii="Verdana" w:hAnsi="Verdana"/>
          <w:b/>
          <w:sz w:val="24"/>
          <w:szCs w:val="24"/>
        </w:rPr>
        <w:t>INTRODUCTION</w:t>
      </w:r>
    </w:p>
    <w:p w:rsidR="00C42CC1" w:rsidRPr="00C42CC1" w:rsidRDefault="00C42CC1" w:rsidP="00C42CC1">
      <w:pPr>
        <w:rPr>
          <w:rFonts w:ascii="Verdana" w:hAnsi="Verdana"/>
          <w:sz w:val="24"/>
          <w:szCs w:val="24"/>
        </w:rPr>
      </w:pPr>
      <w:r w:rsidRPr="00C42CC1">
        <w:rPr>
          <w:rFonts w:cs="Arial"/>
          <w:sz w:val="24"/>
          <w:szCs w:val="24"/>
        </w:rPr>
        <w:t>Between 19 and 23 March 2018, Ofsted, the Care Quality Commission (CQC), HMI Constabulary and Fire &amp; Rescue services (HMICFRS) and HMI Probation (HMIP) undertook a joint inspection of the multi-agency response to child sexual exploitation, children at risk from gangs and exploitation and children missing from home, care and education.  The JTAI was a joint inspection of children’s services, Essex Police, the National Probation Service, the Community Rehabilitation Company, Youth Offending Services and Health providers. 16 inspectors inspected services over the course of 3 full days spread over 4 days with formal feedback on the fifth day. The inspectors were from Ofsted, HMICFRS, HMIP and CQC. Ofsted w</w:t>
      </w:r>
      <w:r>
        <w:rPr>
          <w:rFonts w:cs="Arial"/>
          <w:sz w:val="24"/>
          <w:szCs w:val="24"/>
        </w:rPr>
        <w:t>ere the lead inspection agency.</w:t>
      </w:r>
    </w:p>
    <w:p w:rsidR="00D718BC" w:rsidRDefault="00C42CC1" w:rsidP="00C42CC1">
      <w:pPr>
        <w:rPr>
          <w:rFonts w:cs="Arial"/>
          <w:sz w:val="24"/>
          <w:szCs w:val="24"/>
        </w:rPr>
      </w:pPr>
      <w:r w:rsidRPr="00A31F83">
        <w:rPr>
          <w:rFonts w:cs="Arial"/>
          <w:sz w:val="24"/>
          <w:szCs w:val="24"/>
        </w:rPr>
        <w:t>The inspection included a ‘deep dive’ focus on the response to children and young people experiencing these vulnerabilities</w:t>
      </w:r>
    </w:p>
    <w:p w:rsidR="00A91394" w:rsidRDefault="00A91394" w:rsidP="00C42C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When we received the draft inspection report senior leaders from the agencies who had been inspected, including the independent chair of the LSCB, decided that a single multi-agency action plan should be written. This decision was made to ensure the partnership response is consistent and focused and to reduce unnecessary</w:t>
      </w:r>
      <w:r w:rsidR="00CA3849">
        <w:rPr>
          <w:rFonts w:cs="Arial"/>
          <w:sz w:val="24"/>
          <w:szCs w:val="24"/>
        </w:rPr>
        <w:t>, and ineffective,</w:t>
      </w:r>
      <w:r>
        <w:rPr>
          <w:rFonts w:cs="Arial"/>
          <w:sz w:val="24"/>
          <w:szCs w:val="24"/>
        </w:rPr>
        <w:t xml:space="preserve"> complexity and duplication.</w:t>
      </w:r>
      <w:r w:rsidR="00CA3849">
        <w:rPr>
          <w:rFonts w:cs="Arial"/>
          <w:sz w:val="24"/>
          <w:szCs w:val="24"/>
        </w:rPr>
        <w:t xml:space="preserve"> </w:t>
      </w:r>
    </w:p>
    <w:p w:rsidR="0008284E" w:rsidRPr="00CA3849" w:rsidRDefault="00CA3849" w:rsidP="00C42CC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partnership workshop was held on 19</w:t>
      </w:r>
      <w:r w:rsidRPr="00CA3849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June to design this action plan.</w:t>
      </w:r>
      <w:r w:rsidR="00CC0485">
        <w:rPr>
          <w:rFonts w:cs="Arial"/>
          <w:sz w:val="24"/>
          <w:szCs w:val="24"/>
        </w:rPr>
        <w:t xml:space="preserve"> </w:t>
      </w:r>
    </w:p>
    <w:p w:rsidR="0068070E" w:rsidRPr="00B411B7" w:rsidRDefault="0068070E">
      <w:pPr>
        <w:rPr>
          <w:rFonts w:ascii="Verdana" w:hAnsi="Verdana"/>
          <w:b/>
          <w:sz w:val="24"/>
          <w:szCs w:val="24"/>
        </w:rPr>
      </w:pPr>
      <w:r w:rsidRPr="00B411B7">
        <w:rPr>
          <w:rFonts w:ascii="Verdana" w:hAnsi="Verdana"/>
          <w:b/>
          <w:sz w:val="24"/>
          <w:szCs w:val="24"/>
        </w:rPr>
        <w:t xml:space="preserve">GOVERNANCE ARRANGEMENTS </w:t>
      </w:r>
    </w:p>
    <w:p w:rsidR="00C42CC1" w:rsidRPr="00C42CC1" w:rsidRDefault="00CA384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Each agency is responsible for obtaining </w:t>
      </w:r>
      <w:r w:rsidR="00CC0485">
        <w:rPr>
          <w:rFonts w:ascii="Calibri" w:hAnsi="Calibri"/>
          <w:sz w:val="24"/>
          <w:szCs w:val="24"/>
        </w:rPr>
        <w:t xml:space="preserve">sign off of this plan at their governance board. </w:t>
      </w:r>
      <w:r w:rsidR="00C42CC1" w:rsidRPr="00C42CC1">
        <w:rPr>
          <w:rFonts w:ascii="Calibri" w:hAnsi="Calibri"/>
          <w:sz w:val="24"/>
          <w:szCs w:val="24"/>
        </w:rPr>
        <w:t xml:space="preserve">Each agency will be responsible for monitoring progress against the actions for which they are responsible and reporting this to their internal governance arrangements. </w:t>
      </w:r>
    </w:p>
    <w:p w:rsidR="00C42CC1" w:rsidRDefault="00C42CC1">
      <w:pPr>
        <w:rPr>
          <w:rFonts w:ascii="Calibri" w:hAnsi="Calibri"/>
          <w:sz w:val="24"/>
          <w:szCs w:val="24"/>
        </w:rPr>
      </w:pPr>
      <w:r w:rsidRPr="00C42CC1">
        <w:rPr>
          <w:rFonts w:ascii="Calibri" w:hAnsi="Calibri"/>
          <w:sz w:val="24"/>
          <w:szCs w:val="24"/>
        </w:rPr>
        <w:t xml:space="preserve">Progress against the overall plan will </w:t>
      </w:r>
      <w:r>
        <w:rPr>
          <w:rFonts w:ascii="Calibri" w:hAnsi="Calibri"/>
          <w:sz w:val="24"/>
          <w:szCs w:val="24"/>
        </w:rPr>
        <w:t xml:space="preserve">reported to the CSP and Southend LSCB on a </w:t>
      </w:r>
      <w:r w:rsidRPr="00B12EBD">
        <w:rPr>
          <w:rFonts w:ascii="Calibri" w:hAnsi="Calibri"/>
          <w:b/>
          <w:sz w:val="24"/>
          <w:szCs w:val="24"/>
        </w:rPr>
        <w:t>quarterly basis</w:t>
      </w:r>
      <w:r w:rsidR="00B12EBD">
        <w:rPr>
          <w:rFonts w:ascii="Calibri" w:hAnsi="Calibri"/>
          <w:b/>
          <w:sz w:val="24"/>
          <w:szCs w:val="24"/>
        </w:rPr>
        <w:t xml:space="preserve"> </w:t>
      </w:r>
      <w:r w:rsidR="00B12EBD">
        <w:rPr>
          <w:rFonts w:ascii="Calibri" w:hAnsi="Calibri"/>
          <w:sz w:val="24"/>
          <w:szCs w:val="24"/>
        </w:rPr>
        <w:t>using the BRAG (blue, red, amber, grey) rating below</w:t>
      </w:r>
      <w:r>
        <w:rPr>
          <w:rFonts w:ascii="Calibri" w:hAnsi="Calibri"/>
          <w:sz w:val="24"/>
          <w:szCs w:val="24"/>
        </w:rPr>
        <w:t>. Southend Borough Council will lead on collating the</w:t>
      </w:r>
      <w:r w:rsidR="0008284E">
        <w:rPr>
          <w:rFonts w:ascii="Calibri" w:hAnsi="Calibri"/>
          <w:sz w:val="24"/>
          <w:szCs w:val="24"/>
        </w:rPr>
        <w:t xml:space="preserve"> progress reports from each organisation</w:t>
      </w:r>
      <w:r>
        <w:rPr>
          <w:rFonts w:ascii="Calibri" w:hAnsi="Calibri"/>
          <w:sz w:val="24"/>
          <w:szCs w:val="24"/>
        </w:rPr>
        <w:t xml:space="preserve"> in order to produce a single report. </w:t>
      </w:r>
      <w:r w:rsidR="00B411B7">
        <w:rPr>
          <w:rFonts w:ascii="Calibri" w:hAnsi="Calibri"/>
          <w:sz w:val="24"/>
          <w:szCs w:val="24"/>
        </w:rPr>
        <w:t xml:space="preserve">Agencies must determine which impact and performance measures they will report to evidence progress. </w:t>
      </w:r>
    </w:p>
    <w:p w:rsidR="0008284E" w:rsidRPr="00C42CC1" w:rsidRDefault="0008284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Individual agencies may choose to create action plans with additional actions however this activity must contribute to this partnership plan.</w:t>
      </w:r>
    </w:p>
    <w:p w:rsidR="00CC0485" w:rsidRPr="00B411B7" w:rsidRDefault="0068070E">
      <w:pPr>
        <w:rPr>
          <w:rFonts w:ascii="Verdana" w:hAnsi="Verdana"/>
          <w:b/>
          <w:sz w:val="24"/>
          <w:szCs w:val="24"/>
        </w:rPr>
      </w:pPr>
      <w:r w:rsidRPr="00B411B7">
        <w:rPr>
          <w:rFonts w:ascii="Verdana" w:hAnsi="Verdana"/>
          <w:b/>
          <w:sz w:val="24"/>
          <w:szCs w:val="24"/>
        </w:rPr>
        <w:lastRenderedPageBreak/>
        <w:t xml:space="preserve">WHAT DOES EXCELLENCE LOOK LIKE </w:t>
      </w:r>
    </w:p>
    <w:p w:rsidR="00CC0485" w:rsidRDefault="00CC04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While developing the action plan the partnership explored what children and families will experience when rece</w:t>
      </w:r>
      <w:r w:rsidR="006606FF">
        <w:rPr>
          <w:rFonts w:cstheme="minorHAnsi"/>
          <w:sz w:val="24"/>
          <w:szCs w:val="24"/>
        </w:rPr>
        <w:t>iving excellent services. Ex</w:t>
      </w:r>
      <w:r>
        <w:rPr>
          <w:rFonts w:cstheme="minorHAnsi"/>
          <w:sz w:val="24"/>
          <w:szCs w:val="24"/>
        </w:rPr>
        <w:t>cellent s</w:t>
      </w:r>
      <w:r w:rsidR="001C1B68">
        <w:rPr>
          <w:rFonts w:cstheme="minorHAnsi"/>
          <w:sz w:val="24"/>
          <w:szCs w:val="24"/>
        </w:rPr>
        <w:t>ervices</w:t>
      </w:r>
      <w:r>
        <w:rPr>
          <w:rFonts w:cstheme="minorHAnsi"/>
          <w:sz w:val="24"/>
          <w:szCs w:val="24"/>
        </w:rPr>
        <w:t>:</w:t>
      </w:r>
    </w:p>
    <w:p w:rsidR="001C1B68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Centre on building relationships</w:t>
      </w:r>
    </w:p>
    <w:p w:rsidR="001C1B68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Responsive not reactive</w:t>
      </w:r>
    </w:p>
    <w:p w:rsidR="001C1B68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 without delay</w:t>
      </w:r>
    </w:p>
    <w:p w:rsidR="001C1B68" w:rsidRPr="001C1B68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Explicitly focus on the child</w:t>
      </w:r>
    </w:p>
    <w:p w:rsidR="00CC0485" w:rsidRDefault="00CC0485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Compassionate</w:t>
      </w:r>
    </w:p>
    <w:p w:rsidR="001C1B68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Outcome focussed – really making a difference</w:t>
      </w:r>
    </w:p>
    <w:p w:rsidR="001C1B68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Seamless</w:t>
      </w:r>
    </w:p>
    <w:p w:rsidR="00CC0485" w:rsidRDefault="00CC0485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Tenacious</w:t>
      </w:r>
    </w:p>
    <w:p w:rsidR="00CC0485" w:rsidRDefault="00CC0485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 the extra mile</w:t>
      </w:r>
    </w:p>
    <w:p w:rsidR="001C1B68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based on the voice of children and families</w:t>
      </w:r>
    </w:p>
    <w:p w:rsidR="00CC0485" w:rsidRDefault="00CC0485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Accessible</w:t>
      </w:r>
    </w:p>
    <w:p w:rsidR="00CC0485" w:rsidRDefault="00CC0485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Learning and Growing</w:t>
      </w:r>
    </w:p>
    <w:p w:rsidR="00CC0485" w:rsidRDefault="00CC0485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Restorative</w:t>
      </w:r>
    </w:p>
    <w:p w:rsidR="00CC0485" w:rsidRDefault="00CC0485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 leaders</w:t>
      </w:r>
    </w:p>
    <w:p w:rsidR="00CC0485" w:rsidRDefault="00CC0485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Explicitly and consistently aim for</w:t>
      </w:r>
      <w:r w:rsidR="001C1B68">
        <w:rPr>
          <w:rFonts w:cstheme="minorHAnsi"/>
          <w:sz w:val="24"/>
          <w:szCs w:val="24"/>
        </w:rPr>
        <w:t xml:space="preserve"> excellence</w:t>
      </w:r>
      <w:r>
        <w:rPr>
          <w:rFonts w:cstheme="minorHAnsi"/>
          <w:sz w:val="24"/>
          <w:szCs w:val="24"/>
        </w:rPr>
        <w:t xml:space="preserve"> rather than satisfactory</w:t>
      </w:r>
    </w:p>
    <w:p w:rsidR="006606FF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Joint working and sharing is business as usual</w:t>
      </w:r>
    </w:p>
    <w:p w:rsidR="001C1B68" w:rsidRPr="00CC0485" w:rsidRDefault="001C1B68" w:rsidP="00A63BFF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 a partnership understanding of what excellence is</w:t>
      </w:r>
    </w:p>
    <w:p w:rsidR="00A63BFF" w:rsidRDefault="00A63BFF">
      <w:pPr>
        <w:rPr>
          <w:rFonts w:ascii="Verdana" w:hAnsi="Verdana"/>
          <w:sz w:val="24"/>
          <w:szCs w:val="24"/>
        </w:rPr>
      </w:pPr>
    </w:p>
    <w:p w:rsidR="004E47D7" w:rsidRDefault="004E47D7">
      <w:pPr>
        <w:rPr>
          <w:rFonts w:ascii="Verdana" w:hAnsi="Verdana"/>
          <w:sz w:val="24"/>
          <w:szCs w:val="24"/>
        </w:rPr>
      </w:pPr>
    </w:p>
    <w:p w:rsidR="004E47D7" w:rsidRDefault="004E47D7">
      <w:pPr>
        <w:rPr>
          <w:rFonts w:ascii="Verdana" w:hAnsi="Verdana"/>
          <w:sz w:val="24"/>
          <w:szCs w:val="24"/>
        </w:rPr>
      </w:pPr>
    </w:p>
    <w:p w:rsidR="004E47D7" w:rsidRDefault="004E47D7">
      <w:pPr>
        <w:rPr>
          <w:rFonts w:ascii="Verdana" w:hAnsi="Verdana"/>
          <w:sz w:val="24"/>
          <w:szCs w:val="24"/>
        </w:rPr>
      </w:pPr>
    </w:p>
    <w:p w:rsidR="004E47D7" w:rsidRDefault="004E47D7">
      <w:pPr>
        <w:rPr>
          <w:rFonts w:ascii="Verdana" w:hAnsi="Verdana"/>
          <w:sz w:val="24"/>
          <w:szCs w:val="24"/>
        </w:rPr>
      </w:pPr>
    </w:p>
    <w:p w:rsidR="0068070E" w:rsidRPr="00B411B7" w:rsidRDefault="0068070E">
      <w:pPr>
        <w:rPr>
          <w:rFonts w:ascii="Verdana" w:hAnsi="Verdana"/>
          <w:b/>
          <w:sz w:val="24"/>
          <w:szCs w:val="24"/>
        </w:rPr>
      </w:pPr>
      <w:r w:rsidRPr="00B411B7">
        <w:rPr>
          <w:rFonts w:ascii="Verdana" w:hAnsi="Verdana"/>
          <w:b/>
          <w:sz w:val="24"/>
          <w:szCs w:val="24"/>
        </w:rPr>
        <w:lastRenderedPageBreak/>
        <w:t xml:space="preserve">PLAN </w:t>
      </w:r>
    </w:p>
    <w:p w:rsidR="00833E40" w:rsidRDefault="00833E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344AE3">
        <w:rPr>
          <w:rFonts w:cstheme="minorHAnsi"/>
          <w:sz w:val="24"/>
          <w:szCs w:val="24"/>
        </w:rPr>
        <w:t xml:space="preserve">inspection report contains 29 areas for improvement. This plan pulls together actions under 6 overarching themes which meet the need for action related to each area for improvement within the report. </w:t>
      </w:r>
      <w:r w:rsidR="004E47D7">
        <w:rPr>
          <w:rFonts w:cstheme="minorHAnsi"/>
          <w:sz w:val="24"/>
          <w:szCs w:val="24"/>
        </w:rPr>
        <w:t xml:space="preserve">Action plans of individual agencies should report progress to LSCB and CSP under these overarching themes.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2780"/>
        <w:gridCol w:w="2583"/>
        <w:gridCol w:w="2470"/>
        <w:gridCol w:w="1772"/>
        <w:gridCol w:w="1772"/>
      </w:tblGrid>
      <w:tr w:rsidR="00257B5B" w:rsidTr="00257B5B">
        <w:tc>
          <w:tcPr>
            <w:tcW w:w="10404" w:type="dxa"/>
            <w:gridSpan w:val="4"/>
          </w:tcPr>
          <w:p w:rsidR="00257B5B" w:rsidRPr="00344AE3" w:rsidRDefault="00257B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THEME 1: Strategic Response</w:t>
            </w:r>
          </w:p>
        </w:tc>
        <w:tc>
          <w:tcPr>
            <w:tcW w:w="1772" w:type="dxa"/>
          </w:tcPr>
          <w:p w:rsidR="00257B5B" w:rsidRDefault="00257B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257B5B" w:rsidRDefault="00257B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B5B" w:rsidTr="00257B5B">
        <w:tc>
          <w:tcPr>
            <w:tcW w:w="2571" w:type="dxa"/>
          </w:tcPr>
          <w:p w:rsidR="00257B5B" w:rsidRPr="001B72FF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780" w:type="dxa"/>
          </w:tcPr>
          <w:p w:rsidR="00257B5B" w:rsidRPr="001B72FF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>LEAD AGENCY/AGENCIES</w:t>
            </w:r>
          </w:p>
        </w:tc>
        <w:tc>
          <w:tcPr>
            <w:tcW w:w="2583" w:type="dxa"/>
          </w:tcPr>
          <w:p w:rsidR="00257B5B" w:rsidRPr="001B72FF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>OUTCOME MEASURE</w:t>
            </w:r>
          </w:p>
        </w:tc>
        <w:tc>
          <w:tcPr>
            <w:tcW w:w="2470" w:type="dxa"/>
          </w:tcPr>
          <w:p w:rsidR="00257B5B" w:rsidRDefault="00257B5B" w:rsidP="00257B5B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 xml:space="preserve">PROGRESS UPDATE </w:t>
            </w:r>
            <w:r>
              <w:rPr>
                <w:rFonts w:cstheme="minorHAnsi"/>
                <w:b/>
                <w:sz w:val="24"/>
                <w:szCs w:val="24"/>
              </w:rPr>
              <w:t xml:space="preserve">PROCESS/ACTIVITY </w:t>
            </w:r>
          </w:p>
          <w:p w:rsidR="005A01A3" w:rsidRPr="005A01A3" w:rsidRDefault="005A01A3" w:rsidP="005A01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Q2 Red/amber Q3 amber/blue Q4 blue</w:t>
            </w:r>
          </w:p>
        </w:tc>
        <w:tc>
          <w:tcPr>
            <w:tcW w:w="1772" w:type="dxa"/>
          </w:tcPr>
          <w:p w:rsidR="00257B5B" w:rsidRDefault="00257B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 UPDATE IMPACT</w:t>
            </w:r>
            <w:r w:rsidR="005A01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A01A3">
              <w:rPr>
                <w:rFonts w:cstheme="minorHAnsi"/>
                <w:sz w:val="20"/>
                <w:szCs w:val="20"/>
              </w:rPr>
              <w:t xml:space="preserve">Expected Q2 Red Q3 amber </w:t>
            </w:r>
          </w:p>
          <w:p w:rsidR="005A01A3" w:rsidRDefault="005A01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Q4 amber/blue</w:t>
            </w:r>
          </w:p>
          <w:p w:rsidR="005A01A3" w:rsidRPr="005A01A3" w:rsidRDefault="005A01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  <w:tc>
          <w:tcPr>
            <w:tcW w:w="1772" w:type="dxa"/>
          </w:tcPr>
          <w:p w:rsidR="005A01A3" w:rsidRDefault="00257B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PROGRESS UPDATE PERFORMANCE </w:t>
            </w:r>
          </w:p>
          <w:p w:rsidR="005A01A3" w:rsidRDefault="005A01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Q2 red Q3 amber Q4 amber/blue</w:t>
            </w:r>
          </w:p>
          <w:p w:rsidR="00257B5B" w:rsidRPr="001B72FF" w:rsidRDefault="005A01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  <w:r w:rsidR="00257B5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41B65" w:rsidTr="005449EE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 Exploitation action plan to be revised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Elizabeth Chidgey (LSCB independent chair) and Carl Robinson (CSP)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 plan is multi-agency and clearly drives forward improved outcomes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5449EE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Strategic review of LSCB and CSPT to be completed and plan to implement changes in place and progressed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Elizabeth Chidgey (LSCB independent chair) and Carl Robinson (CSP)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Improved shared plans and outcomes seen in the work of the boards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5449EE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Violence and Vulnerability strategy completed and progressed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Elizabeth Chidgey (LSCB independent chair) and Carl Robinson (CSP)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Improved identification of children and adults at risk of exploitation. 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Improved partnership response to vulnerable children and adults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5449EE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Partnership performance </w:t>
            </w:r>
            <w:r>
              <w:rPr>
                <w:rFonts w:cstheme="minorHAnsi"/>
                <w:sz w:val="24"/>
                <w:szCs w:val="24"/>
              </w:rPr>
              <w:lastRenderedPageBreak/>
              <w:t>management framework developed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Elizabeth Chidgey (LSCB independent chair) and </w:t>
            </w:r>
            <w:r>
              <w:rPr>
                <w:rFonts w:cstheme="minorHAnsi"/>
                <w:sz w:val="24"/>
                <w:szCs w:val="24"/>
              </w:rPr>
              <w:lastRenderedPageBreak/>
              <w:t>Carl Robinson (CSP)</w:t>
            </w:r>
            <w:r w:rsidDel="0023699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Improved ability to hold partners to account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B5B" w:rsidTr="00257B5B">
        <w:tc>
          <w:tcPr>
            <w:tcW w:w="10404" w:type="dxa"/>
            <w:gridSpan w:val="4"/>
          </w:tcPr>
          <w:p w:rsidR="00257B5B" w:rsidRPr="00851FD3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851FD3">
              <w:rPr>
                <w:rFonts w:cstheme="minorHAnsi"/>
                <w:b/>
                <w:sz w:val="24"/>
                <w:szCs w:val="24"/>
              </w:rPr>
              <w:lastRenderedPageBreak/>
              <w:t>THEME 2: Service Provision</w:t>
            </w:r>
          </w:p>
        </w:tc>
        <w:tc>
          <w:tcPr>
            <w:tcW w:w="1772" w:type="dxa"/>
          </w:tcPr>
          <w:p w:rsidR="00257B5B" w:rsidRPr="00851FD3" w:rsidRDefault="00257B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257B5B" w:rsidRPr="00851FD3" w:rsidRDefault="00257B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B5B" w:rsidTr="00257B5B">
        <w:tc>
          <w:tcPr>
            <w:tcW w:w="2571" w:type="dxa"/>
          </w:tcPr>
          <w:p w:rsidR="00257B5B" w:rsidRPr="00851FD3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851FD3">
              <w:rPr>
                <w:rFonts w:cstheme="minorHAns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780" w:type="dxa"/>
          </w:tcPr>
          <w:p w:rsidR="00257B5B" w:rsidRPr="00851FD3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851FD3">
              <w:rPr>
                <w:rFonts w:cstheme="minorHAnsi"/>
                <w:b/>
                <w:sz w:val="24"/>
                <w:szCs w:val="24"/>
              </w:rPr>
              <w:t>LEAD AGENCY/AGENCIES</w:t>
            </w:r>
          </w:p>
        </w:tc>
        <w:tc>
          <w:tcPr>
            <w:tcW w:w="2583" w:type="dxa"/>
          </w:tcPr>
          <w:p w:rsidR="00257B5B" w:rsidRPr="00851FD3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851FD3">
              <w:rPr>
                <w:rFonts w:cstheme="minorHAnsi"/>
                <w:b/>
                <w:sz w:val="24"/>
                <w:szCs w:val="24"/>
              </w:rPr>
              <w:t xml:space="preserve">OUTCOME MEASURE </w:t>
            </w:r>
          </w:p>
        </w:tc>
        <w:tc>
          <w:tcPr>
            <w:tcW w:w="2470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 xml:space="preserve">PROGRESS UPDATE </w:t>
            </w:r>
            <w:r>
              <w:rPr>
                <w:rFonts w:cstheme="minorHAnsi"/>
                <w:b/>
                <w:sz w:val="24"/>
                <w:szCs w:val="24"/>
              </w:rPr>
              <w:t xml:space="preserve">PROCESS/ACTIVITY </w:t>
            </w:r>
          </w:p>
          <w:p w:rsidR="00257B5B" w:rsidRPr="00851FD3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Expected Q2 Red/amber Q3 amber/blue Q4 blue</w:t>
            </w:r>
          </w:p>
        </w:tc>
        <w:tc>
          <w:tcPr>
            <w:tcW w:w="1772" w:type="dxa"/>
          </w:tcPr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PROGRESS UPDATE IMPACT </w:t>
            </w:r>
            <w:r>
              <w:rPr>
                <w:rFonts w:cstheme="minorHAnsi"/>
                <w:sz w:val="20"/>
                <w:szCs w:val="20"/>
              </w:rPr>
              <w:t xml:space="preserve">Expected Q2 Red Q3 amber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Q4 amber/blue</w:t>
            </w:r>
          </w:p>
          <w:p w:rsidR="00257B5B" w:rsidRPr="00851FD3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  <w:tc>
          <w:tcPr>
            <w:tcW w:w="1772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PROGRESS UPDATE PERFORMANCE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Q2 red Q3 amber Q4 amber/blue</w:t>
            </w:r>
          </w:p>
          <w:p w:rsidR="00257B5B" w:rsidRPr="00851FD3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</w:tr>
      <w:tr w:rsidR="00041B65" w:rsidTr="0030693F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potential of joint training across the partnership on safeguarding processes and child exploitation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Elizabeth Chidgey (LSCB Executive)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Casework evidences shared understanding and a consistent approach across agencies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30693F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referrals to SBC Children’s Services by Essex Police for children in custody and implement plan to address any identified concerns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1F56A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Hendy</w:t>
            </w:r>
            <w:r w:rsidR="00041B65">
              <w:rPr>
                <w:rFonts w:cstheme="minorHAnsi"/>
                <w:sz w:val="24"/>
                <w:szCs w:val="24"/>
              </w:rPr>
              <w:t xml:space="preserve"> - Essex Police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it is identified that a child should be referred to SBC Children’s Social Care this happens.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30693F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Strength of practice identified within Adolescent Prevention and Intervention Team to be enhanced further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Carol Compton - SBC Children’s Services 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Casework with adolescents demonstrates strength in assessment and impact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30693F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Programme for improving the development and progress of child in need plans to be developed and implemented (to cover consistent quality of delivery and impact)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 Keens - SBC Children’s Services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Casework demonstrates strong practice and improved outcomes for this group of children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B5B" w:rsidTr="00257B5B">
        <w:tc>
          <w:tcPr>
            <w:tcW w:w="10404" w:type="dxa"/>
            <w:gridSpan w:val="4"/>
          </w:tcPr>
          <w:p w:rsidR="00257B5B" w:rsidRPr="00805384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805384">
              <w:rPr>
                <w:rFonts w:cstheme="minorHAnsi"/>
                <w:b/>
                <w:sz w:val="24"/>
                <w:szCs w:val="24"/>
              </w:rPr>
              <w:t>THEME 3: Assessment and Risk Assessment</w:t>
            </w:r>
          </w:p>
        </w:tc>
        <w:tc>
          <w:tcPr>
            <w:tcW w:w="1772" w:type="dxa"/>
          </w:tcPr>
          <w:p w:rsidR="00257B5B" w:rsidRPr="00805384" w:rsidRDefault="00257B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257B5B" w:rsidRPr="00805384" w:rsidRDefault="00257B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B5B" w:rsidTr="00257B5B">
        <w:tc>
          <w:tcPr>
            <w:tcW w:w="2571" w:type="dxa"/>
          </w:tcPr>
          <w:p w:rsidR="00257B5B" w:rsidRPr="00805384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805384">
              <w:rPr>
                <w:rFonts w:cstheme="minorHAns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780" w:type="dxa"/>
          </w:tcPr>
          <w:p w:rsidR="00257B5B" w:rsidRPr="00805384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805384">
              <w:rPr>
                <w:rFonts w:cstheme="minorHAnsi"/>
                <w:b/>
                <w:sz w:val="24"/>
                <w:szCs w:val="24"/>
              </w:rPr>
              <w:t>LEAD AGENCY/AGENCIES</w:t>
            </w:r>
          </w:p>
        </w:tc>
        <w:tc>
          <w:tcPr>
            <w:tcW w:w="2583" w:type="dxa"/>
          </w:tcPr>
          <w:p w:rsidR="00257B5B" w:rsidRPr="00805384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805384">
              <w:rPr>
                <w:rFonts w:cstheme="minorHAnsi"/>
                <w:b/>
                <w:sz w:val="24"/>
                <w:szCs w:val="24"/>
              </w:rPr>
              <w:t xml:space="preserve">OUTCOME MEASURE </w:t>
            </w:r>
          </w:p>
        </w:tc>
        <w:tc>
          <w:tcPr>
            <w:tcW w:w="2470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 xml:space="preserve">PROGRESS UPDATE </w:t>
            </w:r>
            <w:r>
              <w:rPr>
                <w:rFonts w:cstheme="minorHAnsi"/>
                <w:b/>
                <w:sz w:val="24"/>
                <w:szCs w:val="24"/>
              </w:rPr>
              <w:t xml:space="preserve">PROCESS/ACTIVITY </w:t>
            </w:r>
          </w:p>
          <w:p w:rsidR="00257B5B" w:rsidRPr="0080538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Expected Q2 Red/amber Q3 amber/blue Q4 blue</w:t>
            </w:r>
          </w:p>
        </w:tc>
        <w:tc>
          <w:tcPr>
            <w:tcW w:w="1772" w:type="dxa"/>
          </w:tcPr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PROGRESS UPDATE IMPACT </w:t>
            </w:r>
            <w:r>
              <w:rPr>
                <w:rFonts w:cstheme="minorHAnsi"/>
                <w:sz w:val="20"/>
                <w:szCs w:val="20"/>
              </w:rPr>
              <w:t xml:space="preserve">Expected Q2 Red Q3 amber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Q4 amber/blue</w:t>
            </w:r>
          </w:p>
          <w:p w:rsidR="00257B5B" w:rsidRPr="0080538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  <w:tc>
          <w:tcPr>
            <w:tcW w:w="1772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PROGRESS UPDATE PERFORMANCE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Q2 red Q3 amber Q4 amber/blue</w:t>
            </w:r>
          </w:p>
          <w:p w:rsidR="00257B5B" w:rsidRPr="0080538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</w:tr>
      <w:tr w:rsidR="00041B65" w:rsidTr="0070685F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Intensive programme of workshops, training and practice assessment to be delivered by each agency during October, November and December 2018 focussing on assessment of need and risk.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Diane Keens - SBC Children’s Services 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Erin Brennan-Douglas - SBC Public Health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Sharon Connell - CCG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Assessments identify need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 includes analysis of risk including all forms of child exploitation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Assessments include analysis of diversity  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Assessment clearly evidence the voice of the child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70685F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Partnership Child Exploitation risk assessment tool to be developed and implemented in all agencies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Elizabeth Chidgey LSCB and Carl Robinson CSP 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Assessment clearly identify risks relating to all forms of Child Exploitation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70685F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Essex Police to review information available to officers on case management systems when they respond to an incident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1F56A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Hendy</w:t>
            </w:r>
            <w:r w:rsidR="00041B65">
              <w:rPr>
                <w:rFonts w:cstheme="minorHAnsi"/>
                <w:sz w:val="24"/>
                <w:szCs w:val="24"/>
              </w:rPr>
              <w:t xml:space="preserve"> Essex Police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Assurance is given the officers have access to information to support appropriate and safe decisions to be made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October and quarterly updates</w:t>
            </w: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B5B" w:rsidTr="00257B5B">
        <w:tc>
          <w:tcPr>
            <w:tcW w:w="10404" w:type="dxa"/>
            <w:gridSpan w:val="4"/>
          </w:tcPr>
          <w:p w:rsidR="00257B5B" w:rsidRPr="00A63BFF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A63BFF">
              <w:rPr>
                <w:rFonts w:cstheme="minorHAnsi"/>
                <w:b/>
                <w:sz w:val="24"/>
                <w:szCs w:val="24"/>
              </w:rPr>
              <w:t>THEME 4: Decision Making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planning</w:t>
            </w:r>
          </w:p>
        </w:tc>
        <w:tc>
          <w:tcPr>
            <w:tcW w:w="1772" w:type="dxa"/>
          </w:tcPr>
          <w:p w:rsidR="00257B5B" w:rsidRPr="00A63BFF" w:rsidRDefault="00257B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257B5B" w:rsidRPr="00A63BFF" w:rsidRDefault="00257B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B5B" w:rsidTr="00257B5B">
        <w:tc>
          <w:tcPr>
            <w:tcW w:w="2571" w:type="dxa"/>
          </w:tcPr>
          <w:p w:rsidR="00257B5B" w:rsidRPr="007F7FC4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7F7FC4">
              <w:rPr>
                <w:rFonts w:cstheme="minorHAns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780" w:type="dxa"/>
          </w:tcPr>
          <w:p w:rsidR="00257B5B" w:rsidRPr="007F7FC4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7F7FC4">
              <w:rPr>
                <w:rFonts w:cstheme="minorHAnsi"/>
                <w:b/>
                <w:sz w:val="24"/>
                <w:szCs w:val="24"/>
              </w:rPr>
              <w:t>LEAD AGENCY/AGENCIES</w:t>
            </w:r>
          </w:p>
        </w:tc>
        <w:tc>
          <w:tcPr>
            <w:tcW w:w="2583" w:type="dxa"/>
          </w:tcPr>
          <w:p w:rsidR="00257B5B" w:rsidRPr="007F7FC4" w:rsidRDefault="00257B5B">
            <w:pPr>
              <w:rPr>
                <w:rFonts w:cstheme="minorHAnsi"/>
                <w:b/>
                <w:sz w:val="24"/>
                <w:szCs w:val="24"/>
              </w:rPr>
            </w:pPr>
            <w:r w:rsidRPr="007F7FC4">
              <w:rPr>
                <w:rFonts w:cstheme="minorHAnsi"/>
                <w:b/>
                <w:sz w:val="24"/>
                <w:szCs w:val="24"/>
              </w:rPr>
              <w:t>OUTCOME MEASURE</w:t>
            </w:r>
          </w:p>
        </w:tc>
        <w:tc>
          <w:tcPr>
            <w:tcW w:w="2470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 xml:space="preserve">PROGRESS UPDATE </w:t>
            </w:r>
            <w:r>
              <w:rPr>
                <w:rFonts w:cstheme="minorHAnsi"/>
                <w:b/>
                <w:sz w:val="24"/>
                <w:szCs w:val="24"/>
              </w:rPr>
              <w:t xml:space="preserve">PROCESS/ACTIVITY </w:t>
            </w:r>
          </w:p>
          <w:p w:rsidR="00257B5B" w:rsidRPr="007F7FC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Expected Q2 Red/amber Q3 amber/blue Q4 blue</w:t>
            </w:r>
          </w:p>
        </w:tc>
        <w:tc>
          <w:tcPr>
            <w:tcW w:w="1772" w:type="dxa"/>
          </w:tcPr>
          <w:p w:rsidR="00B411B7" w:rsidRDefault="00257B5B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 UPDATE IMPACT</w:t>
            </w:r>
            <w:r w:rsidR="00B411B7">
              <w:rPr>
                <w:rFonts w:cstheme="minorHAnsi"/>
                <w:b/>
                <w:sz w:val="24"/>
                <w:szCs w:val="24"/>
              </w:rPr>
              <w:t xml:space="preserve"> PROGRESS UPDATE IMPACT </w:t>
            </w:r>
            <w:r w:rsidR="00B411B7">
              <w:rPr>
                <w:rFonts w:cstheme="minorHAnsi"/>
                <w:sz w:val="20"/>
                <w:szCs w:val="20"/>
              </w:rPr>
              <w:t xml:space="preserve">Expected Q2 Red Q3 amber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Q4 amber/blue</w:t>
            </w:r>
          </w:p>
          <w:p w:rsidR="00257B5B" w:rsidRPr="007F7FC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  <w:tc>
          <w:tcPr>
            <w:tcW w:w="1772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PROGRESS UPDATE PERFORMANCE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Q2 red Q3 amber Q4 amber/blue</w:t>
            </w:r>
          </w:p>
          <w:p w:rsidR="00257B5B" w:rsidRPr="007F7FC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</w:tr>
      <w:tr w:rsidR="00041B65" w:rsidTr="008461E5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effectiveness of MASH decision making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Julie Cole SBC Children’s Services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Sharon Connell – CCG</w:t>
            </w:r>
          </w:p>
          <w:p w:rsidR="00041B65" w:rsidRDefault="001F56A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Hendy</w:t>
            </w:r>
            <w:r w:rsidR="00041B65">
              <w:rPr>
                <w:rFonts w:cstheme="minorHAnsi"/>
                <w:sz w:val="24"/>
                <w:szCs w:val="24"/>
              </w:rPr>
              <w:t xml:space="preserve"> – Essex Police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Decisions take account of full range of historical information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8461E5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of effectiveness of MACE following introduction of new terms of reference and co-chairing by SBC and Essex Police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Carl Robinson - CSP 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MACE improves outcomes for children and meets the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8461E5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and implement protocol of expectations of all agencies within strategy meetings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Elizabeth Chidgey – LSCB Executive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Safeguarding decisions are owned by all participating agencies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8461E5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MAPPA attendance by SBC Children’s Services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Carol Compton - SBC Children’s Services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Shirley Henderson - NPS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Assurance that MAPPA has the information available  to the meeting in order to make appropriate safeguarding decisions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  <w:p w:rsidR="00B12EBD" w:rsidRDefault="00B12EBD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B5B" w:rsidTr="00257B5B">
        <w:tc>
          <w:tcPr>
            <w:tcW w:w="10404" w:type="dxa"/>
            <w:gridSpan w:val="4"/>
          </w:tcPr>
          <w:p w:rsidR="00257B5B" w:rsidRPr="00996D99" w:rsidRDefault="00257B5B" w:rsidP="00122949">
            <w:pPr>
              <w:rPr>
                <w:rFonts w:cstheme="minorHAnsi"/>
                <w:b/>
                <w:sz w:val="24"/>
                <w:szCs w:val="24"/>
              </w:rPr>
            </w:pPr>
            <w:r w:rsidRPr="00996D99">
              <w:rPr>
                <w:rFonts w:cstheme="minorHAnsi"/>
                <w:b/>
                <w:sz w:val="24"/>
                <w:szCs w:val="24"/>
              </w:rPr>
              <w:t>THEME 5: Supervision</w:t>
            </w:r>
          </w:p>
        </w:tc>
        <w:tc>
          <w:tcPr>
            <w:tcW w:w="1772" w:type="dxa"/>
          </w:tcPr>
          <w:p w:rsidR="00257B5B" w:rsidRPr="00996D99" w:rsidRDefault="00257B5B" w:rsidP="001229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257B5B" w:rsidRPr="00996D99" w:rsidRDefault="00257B5B" w:rsidP="001229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B5B" w:rsidTr="00257B5B">
        <w:tc>
          <w:tcPr>
            <w:tcW w:w="2571" w:type="dxa"/>
          </w:tcPr>
          <w:p w:rsidR="00257B5B" w:rsidRPr="00996D99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  <w:r w:rsidRPr="00996D99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2780" w:type="dxa"/>
          </w:tcPr>
          <w:p w:rsidR="00257B5B" w:rsidRPr="00996D99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  <w:r w:rsidRPr="00996D99">
              <w:rPr>
                <w:rFonts w:cstheme="minorHAnsi"/>
                <w:b/>
                <w:sz w:val="24"/>
                <w:szCs w:val="24"/>
              </w:rPr>
              <w:t>LEAD AGENCY/AGENCIES</w:t>
            </w:r>
          </w:p>
        </w:tc>
        <w:tc>
          <w:tcPr>
            <w:tcW w:w="2583" w:type="dxa"/>
          </w:tcPr>
          <w:p w:rsidR="00257B5B" w:rsidRPr="00996D99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  <w:r w:rsidRPr="00996D99">
              <w:rPr>
                <w:rFonts w:cstheme="minorHAnsi"/>
                <w:b/>
                <w:sz w:val="24"/>
                <w:szCs w:val="24"/>
              </w:rPr>
              <w:t>OUTCOME MEASURE</w:t>
            </w:r>
          </w:p>
        </w:tc>
        <w:tc>
          <w:tcPr>
            <w:tcW w:w="2470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 xml:space="preserve">PROGRESS UPDATE </w:t>
            </w:r>
            <w:r>
              <w:rPr>
                <w:rFonts w:cstheme="minorHAnsi"/>
                <w:b/>
                <w:sz w:val="24"/>
                <w:szCs w:val="24"/>
              </w:rPr>
              <w:t xml:space="preserve">PROCESS/ACTIVITY </w:t>
            </w:r>
          </w:p>
          <w:p w:rsidR="00257B5B" w:rsidRPr="00996D99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Expected Q2 Red/amber Q3 amber/blue Q4 blue</w:t>
            </w:r>
          </w:p>
        </w:tc>
        <w:tc>
          <w:tcPr>
            <w:tcW w:w="1772" w:type="dxa"/>
          </w:tcPr>
          <w:p w:rsidR="00B411B7" w:rsidRDefault="00257B5B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 UPDATE IMPACT</w:t>
            </w:r>
            <w:r w:rsidR="00B411B7">
              <w:rPr>
                <w:rFonts w:cstheme="minorHAnsi"/>
                <w:b/>
                <w:sz w:val="24"/>
                <w:szCs w:val="24"/>
              </w:rPr>
              <w:t xml:space="preserve"> PROGRESS UPDATE IMPACT </w:t>
            </w:r>
            <w:r w:rsidR="00B411B7">
              <w:rPr>
                <w:rFonts w:cstheme="minorHAnsi"/>
                <w:sz w:val="20"/>
                <w:szCs w:val="20"/>
              </w:rPr>
              <w:t xml:space="preserve">Expected Q2 Red Q3 amber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Q4 amber/blue</w:t>
            </w:r>
          </w:p>
          <w:p w:rsidR="00257B5B" w:rsidRPr="00996D99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  <w:tc>
          <w:tcPr>
            <w:tcW w:w="1772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PROGRESS UPDATE PERFORMANCE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Q2 red Q3 amber Q4 amber/blue</w:t>
            </w:r>
          </w:p>
          <w:p w:rsidR="00257B5B" w:rsidRPr="00996D99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</w:tr>
      <w:tr w:rsidR="00041B65" w:rsidTr="00011DA3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Guidance on ensuring the lived experience of children is evidence in social work supervision to be developed and shared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Laurence Doe - SBC Children’s Services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Supervision focuses on the impact that intervention is having on the lived experience of children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011DA3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Standard expectations of supervision within health services to be developed and shared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Sharon Connell - Southend CCG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Erin Brennan- Douglas - SBC Public Health 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High quality supervision can be seen to make a difference to the experience of children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011DA3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Programme to ensure management oversight of safeguarding referrals within health settings consistently and strong to be developed and implemented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Sharon Connell Southend CCG 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Safeguarding referrals to children’s services are of a high standard and support swift safeguarding action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B5B" w:rsidTr="00257B5B">
        <w:tc>
          <w:tcPr>
            <w:tcW w:w="10404" w:type="dxa"/>
            <w:gridSpan w:val="4"/>
          </w:tcPr>
          <w:p w:rsidR="00257B5B" w:rsidRPr="007F7FC4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  <w:r w:rsidRPr="007F7FC4">
              <w:rPr>
                <w:rFonts w:cstheme="minorHAnsi"/>
                <w:b/>
                <w:sz w:val="24"/>
                <w:szCs w:val="24"/>
              </w:rPr>
              <w:t xml:space="preserve">THEME 6: Communication </w:t>
            </w:r>
          </w:p>
        </w:tc>
        <w:tc>
          <w:tcPr>
            <w:tcW w:w="1772" w:type="dxa"/>
          </w:tcPr>
          <w:p w:rsidR="00257B5B" w:rsidRPr="007F7FC4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257B5B" w:rsidRPr="007F7FC4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7B5B" w:rsidTr="00257B5B">
        <w:tc>
          <w:tcPr>
            <w:tcW w:w="2571" w:type="dxa"/>
          </w:tcPr>
          <w:p w:rsidR="00257B5B" w:rsidRPr="007F7FC4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  <w:r w:rsidRPr="007F7FC4">
              <w:rPr>
                <w:rFonts w:cstheme="minorHAns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780" w:type="dxa"/>
          </w:tcPr>
          <w:p w:rsidR="00257B5B" w:rsidRPr="007F7FC4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  <w:r w:rsidRPr="007F7FC4">
              <w:rPr>
                <w:rFonts w:cstheme="minorHAnsi"/>
                <w:b/>
                <w:sz w:val="24"/>
                <w:szCs w:val="24"/>
              </w:rPr>
              <w:t xml:space="preserve">LEAD AGENCY/AGENCIES </w:t>
            </w:r>
          </w:p>
        </w:tc>
        <w:tc>
          <w:tcPr>
            <w:tcW w:w="2583" w:type="dxa"/>
          </w:tcPr>
          <w:p w:rsidR="00257B5B" w:rsidRPr="007F7FC4" w:rsidRDefault="00257B5B" w:rsidP="00996D99">
            <w:pPr>
              <w:rPr>
                <w:rFonts w:cstheme="minorHAnsi"/>
                <w:b/>
                <w:sz w:val="24"/>
                <w:szCs w:val="24"/>
              </w:rPr>
            </w:pPr>
            <w:r w:rsidRPr="007F7FC4">
              <w:rPr>
                <w:rFonts w:cstheme="minorHAnsi"/>
                <w:b/>
                <w:sz w:val="24"/>
                <w:szCs w:val="24"/>
              </w:rPr>
              <w:t xml:space="preserve">OUTCOME MEASURE </w:t>
            </w:r>
          </w:p>
        </w:tc>
        <w:tc>
          <w:tcPr>
            <w:tcW w:w="2470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 w:rsidRPr="001B72FF">
              <w:rPr>
                <w:rFonts w:cstheme="minorHAnsi"/>
                <w:b/>
                <w:sz w:val="24"/>
                <w:szCs w:val="24"/>
              </w:rPr>
              <w:t xml:space="preserve">PROGRESS UPDATE </w:t>
            </w:r>
            <w:r>
              <w:rPr>
                <w:rFonts w:cstheme="minorHAnsi"/>
                <w:b/>
                <w:sz w:val="24"/>
                <w:szCs w:val="24"/>
              </w:rPr>
              <w:t xml:space="preserve">PROCESS/ACTIVITY </w:t>
            </w:r>
          </w:p>
          <w:p w:rsidR="00257B5B" w:rsidRPr="007F7FC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Expected Q2 Red/amber Q3 amber/blue Q4 blue</w:t>
            </w:r>
          </w:p>
        </w:tc>
        <w:tc>
          <w:tcPr>
            <w:tcW w:w="1772" w:type="dxa"/>
          </w:tcPr>
          <w:p w:rsidR="00B411B7" w:rsidRDefault="00257B5B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 UPDATE IMPACT</w:t>
            </w:r>
            <w:r w:rsidR="00B411B7">
              <w:rPr>
                <w:rFonts w:cstheme="minorHAnsi"/>
                <w:b/>
                <w:sz w:val="24"/>
                <w:szCs w:val="24"/>
              </w:rPr>
              <w:t xml:space="preserve"> PROGRESS UPDATE IMPACT </w:t>
            </w:r>
            <w:r w:rsidR="00B411B7">
              <w:rPr>
                <w:rFonts w:cstheme="minorHAnsi"/>
                <w:sz w:val="20"/>
                <w:szCs w:val="20"/>
              </w:rPr>
              <w:t xml:space="preserve">Expected Q2 Red Q3 amber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Q4 amber/blue</w:t>
            </w:r>
          </w:p>
          <w:p w:rsidR="00257B5B" w:rsidRPr="007F7FC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</w:p>
        </w:tc>
        <w:tc>
          <w:tcPr>
            <w:tcW w:w="1772" w:type="dxa"/>
          </w:tcPr>
          <w:p w:rsidR="00B411B7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PROGRESS UPDATE PERFORMANCE </w:t>
            </w:r>
          </w:p>
          <w:p w:rsidR="00B411B7" w:rsidRDefault="00B411B7" w:rsidP="00B41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Expected Q2 red Q3 amber Q4 amber/blue</w:t>
            </w:r>
          </w:p>
          <w:p w:rsidR="00257B5B" w:rsidRPr="007F7FC4" w:rsidRDefault="00B411B7" w:rsidP="00B411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Q1 2019/20 blue</w:t>
            </w:r>
            <w:r w:rsidR="00257B5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041B65" w:rsidTr="00EB64BA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MASH+ official launch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O’Loughlin - SBC Children’s Services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 agencies are aware of, and understand, role of MASH+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EB64BA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administrative support for minute taking and sharing minutes from strategy meetings and MACE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O’Loughlin - SBC Children’s Services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 agencies receive minutes containing agreed safeguarding actions without delay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B65" w:rsidTr="00EB64BA">
        <w:tc>
          <w:tcPr>
            <w:tcW w:w="2571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communication challenges between School Nursing and EWMHS to be undertaken and protocol developed and implemented following this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Erin Brennan-Douglas SBC Public Health 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Sharon Hall - EWMHS</w:t>
            </w:r>
          </w:p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Angela Ejoh – SBC Integrated Commissioning team  </w:t>
            </w:r>
          </w:p>
        </w:tc>
        <w:tc>
          <w:tcPr>
            <w:tcW w:w="2583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Communication supports assessment and decision making for children </w:t>
            </w:r>
          </w:p>
        </w:tc>
        <w:tc>
          <w:tcPr>
            <w:tcW w:w="2470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B65" w:rsidRDefault="00041B65" w:rsidP="00041B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4AE3" w:rsidRDefault="00344AE3">
      <w:pPr>
        <w:rPr>
          <w:rFonts w:cstheme="minorHAnsi"/>
          <w:sz w:val="24"/>
          <w:szCs w:val="24"/>
        </w:rPr>
      </w:pPr>
    </w:p>
    <w:p w:rsidR="00257B5B" w:rsidRDefault="00257B5B">
      <w:pPr>
        <w:rPr>
          <w:rFonts w:cstheme="minorHAnsi"/>
          <w:sz w:val="24"/>
          <w:szCs w:val="24"/>
        </w:rPr>
      </w:pPr>
    </w:p>
    <w:tbl>
      <w:tblPr>
        <w:tblStyle w:val="TableGrid"/>
        <w:tblW w:w="14596" w:type="dxa"/>
        <w:tblInd w:w="-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58"/>
        <w:gridCol w:w="6408"/>
        <w:gridCol w:w="1019"/>
        <w:gridCol w:w="6211"/>
      </w:tblGrid>
      <w:tr w:rsidR="00257B5B" w:rsidRPr="002F604E" w:rsidTr="00D32BEA">
        <w:trPr>
          <w:trHeight w:val="51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257B5B" w:rsidRPr="00524B81" w:rsidRDefault="00257B5B" w:rsidP="00D32BEA">
            <w:pPr>
              <w:rPr>
                <w:b/>
                <w:color w:val="FFFFFF" w:themeColor="background1"/>
                <w:sz w:val="24"/>
              </w:rPr>
            </w:pPr>
            <w:r w:rsidRPr="00524B81">
              <w:rPr>
                <w:b/>
                <w:color w:val="FFFFFF" w:themeColor="background1"/>
                <w:sz w:val="24"/>
              </w:rPr>
              <w:t>RED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B5B" w:rsidRPr="002F604E" w:rsidRDefault="00257B5B" w:rsidP="00D32BEA">
            <w:pPr>
              <w:rPr>
                <w:sz w:val="20"/>
              </w:rPr>
            </w:pPr>
            <w:r w:rsidRPr="002F604E">
              <w:rPr>
                <w:b/>
                <w:sz w:val="20"/>
              </w:rPr>
              <w:t xml:space="preserve">Process: </w:t>
            </w:r>
            <w:r w:rsidRPr="002F604E">
              <w:rPr>
                <w:sz w:val="20"/>
              </w:rPr>
              <w:t xml:space="preserve">Tasks not been completed or timescales </w:t>
            </w:r>
            <w:r>
              <w:rPr>
                <w:sz w:val="20"/>
              </w:rPr>
              <w:t>slipped and need attention</w:t>
            </w:r>
          </w:p>
          <w:p w:rsidR="00257B5B" w:rsidRDefault="00257B5B" w:rsidP="00D32BEA">
            <w:pPr>
              <w:ind w:right="-281"/>
              <w:rPr>
                <w:sz w:val="20"/>
              </w:rPr>
            </w:pPr>
            <w:r w:rsidRPr="002F604E">
              <w:rPr>
                <w:b/>
                <w:sz w:val="20"/>
              </w:rPr>
              <w:t>Impact</w:t>
            </w:r>
            <w:r w:rsidRPr="002F604E">
              <w:rPr>
                <w:sz w:val="20"/>
              </w:rPr>
              <w:t xml:space="preserve"> should start to be seen and measured, but are not met.</w:t>
            </w:r>
          </w:p>
          <w:p w:rsidR="00257B5B" w:rsidRPr="002F604E" w:rsidRDefault="00257B5B" w:rsidP="00D32BEA">
            <w:pPr>
              <w:ind w:right="-281"/>
              <w:rPr>
                <w:sz w:val="20"/>
              </w:rPr>
            </w:pPr>
            <w:r w:rsidRPr="00E462A1">
              <w:rPr>
                <w:b/>
                <w:sz w:val="20"/>
              </w:rPr>
              <w:t>Performance:</w:t>
            </w:r>
            <w:r>
              <w:rPr>
                <w:sz w:val="20"/>
              </w:rPr>
              <w:t xml:space="preserve"> Target not achieved to deadline or not forecast to be achieved.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257B5B" w:rsidRPr="00524B81" w:rsidRDefault="00257B5B" w:rsidP="00D32BEA">
            <w:pPr>
              <w:rPr>
                <w:b/>
                <w:color w:val="FFFFFF" w:themeColor="background1"/>
                <w:sz w:val="24"/>
              </w:rPr>
            </w:pPr>
            <w:r w:rsidRPr="00524B81">
              <w:rPr>
                <w:b/>
                <w:color w:val="FFFFFF" w:themeColor="background1"/>
                <w:sz w:val="24"/>
              </w:rPr>
              <w:t>BLUE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7B5B" w:rsidRPr="002F604E" w:rsidRDefault="00257B5B" w:rsidP="00D32BEA">
            <w:pPr>
              <w:rPr>
                <w:b/>
                <w:sz w:val="20"/>
              </w:rPr>
            </w:pPr>
            <w:r w:rsidRPr="002F604E">
              <w:rPr>
                <w:sz w:val="20"/>
              </w:rPr>
              <w:t>Completed</w:t>
            </w:r>
            <w:r>
              <w:rPr>
                <w:sz w:val="20"/>
              </w:rPr>
              <w:t xml:space="preserve"> and impact evidenced, target achieved and this is likely to be sustained.</w:t>
            </w:r>
          </w:p>
        </w:tc>
      </w:tr>
      <w:tr w:rsidR="00257B5B" w:rsidRPr="002F604E" w:rsidTr="00D32BEA">
        <w:trPr>
          <w:trHeight w:val="36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57B5B" w:rsidRPr="00524B81" w:rsidRDefault="00257B5B" w:rsidP="00D32BEA">
            <w:pPr>
              <w:rPr>
                <w:b/>
                <w:color w:val="FFFFFF" w:themeColor="background1"/>
                <w:sz w:val="24"/>
              </w:rPr>
            </w:pPr>
            <w:r w:rsidRPr="00524B81">
              <w:rPr>
                <w:b/>
                <w:color w:val="FFFFFF" w:themeColor="background1"/>
                <w:sz w:val="24"/>
              </w:rPr>
              <w:t>AMBER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B5B" w:rsidRPr="002F604E" w:rsidRDefault="00257B5B" w:rsidP="00D32BEA">
            <w:pPr>
              <w:rPr>
                <w:sz w:val="20"/>
              </w:rPr>
            </w:pPr>
            <w:r w:rsidRPr="002F604E">
              <w:rPr>
                <w:b/>
                <w:sz w:val="20"/>
              </w:rPr>
              <w:t xml:space="preserve">Process: </w:t>
            </w:r>
            <w:r w:rsidRPr="002F604E">
              <w:rPr>
                <w:sz w:val="20"/>
              </w:rPr>
              <w:t xml:space="preserve">Tasks are not fully on track but plans are </w:t>
            </w:r>
            <w:r>
              <w:rPr>
                <w:sz w:val="20"/>
              </w:rPr>
              <w:t xml:space="preserve">in </w:t>
            </w:r>
            <w:r w:rsidRPr="002F604E">
              <w:rPr>
                <w:sz w:val="20"/>
              </w:rPr>
              <w:t>place to ensure progress by identifiable timescale</w:t>
            </w:r>
          </w:p>
          <w:p w:rsidR="00257B5B" w:rsidRDefault="00257B5B" w:rsidP="00D32BEA">
            <w:pPr>
              <w:rPr>
                <w:sz w:val="20"/>
              </w:rPr>
            </w:pPr>
            <w:r w:rsidRPr="002F604E">
              <w:rPr>
                <w:b/>
                <w:sz w:val="20"/>
              </w:rPr>
              <w:t>Impact</w:t>
            </w:r>
            <w:r w:rsidRPr="002F604E">
              <w:rPr>
                <w:sz w:val="20"/>
              </w:rPr>
              <w:t xml:space="preserve"> can start to be measured but are yet to be demonstrable</w:t>
            </w:r>
          </w:p>
          <w:p w:rsidR="00257B5B" w:rsidRPr="002F604E" w:rsidRDefault="00257B5B" w:rsidP="00D32BEA">
            <w:pPr>
              <w:rPr>
                <w:sz w:val="20"/>
              </w:rPr>
            </w:pPr>
            <w:r w:rsidRPr="00E462A1">
              <w:rPr>
                <w:b/>
                <w:sz w:val="20"/>
              </w:rPr>
              <w:t>Performance:</w:t>
            </w:r>
            <w:r>
              <w:rPr>
                <w:sz w:val="20"/>
              </w:rPr>
              <w:t xml:space="preserve"> Potential risk of not achieving target, either progress made and we will be very near to target, and remedial actions in place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57B5B" w:rsidRPr="00524B81" w:rsidRDefault="00257B5B" w:rsidP="00D32BEA">
            <w:pPr>
              <w:rPr>
                <w:b/>
                <w:color w:val="FFFFFF" w:themeColor="background1"/>
                <w:sz w:val="24"/>
              </w:rPr>
            </w:pPr>
            <w:r w:rsidRPr="00524B81">
              <w:rPr>
                <w:b/>
                <w:color w:val="FFFFFF" w:themeColor="background1"/>
                <w:sz w:val="24"/>
              </w:rPr>
              <w:t>GREY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B5B" w:rsidRPr="002F604E" w:rsidRDefault="00257B5B" w:rsidP="00D32BEA">
            <w:pPr>
              <w:rPr>
                <w:sz w:val="20"/>
              </w:rPr>
            </w:pPr>
            <w:r w:rsidRPr="002F604E">
              <w:rPr>
                <w:b/>
                <w:sz w:val="20"/>
              </w:rPr>
              <w:t>Process</w:t>
            </w:r>
            <w:r w:rsidRPr="002F604E">
              <w:rPr>
                <w:sz w:val="20"/>
              </w:rPr>
              <w:t>: Not started - action not scheduled to start in this period.</w:t>
            </w:r>
          </w:p>
          <w:p w:rsidR="00257B5B" w:rsidRPr="002F604E" w:rsidRDefault="00257B5B" w:rsidP="00D32BEA">
            <w:pPr>
              <w:rPr>
                <w:b/>
                <w:sz w:val="20"/>
              </w:rPr>
            </w:pPr>
            <w:r w:rsidRPr="002F604E">
              <w:rPr>
                <w:b/>
                <w:sz w:val="20"/>
              </w:rPr>
              <w:t>Impact</w:t>
            </w:r>
            <w:r>
              <w:rPr>
                <w:sz w:val="20"/>
              </w:rPr>
              <w:t xml:space="preserve"> not yet expected to be realis</w:t>
            </w:r>
            <w:r w:rsidRPr="002F604E">
              <w:rPr>
                <w:sz w:val="20"/>
              </w:rPr>
              <w:t>ed (i.e. actions in progress/not started).</w:t>
            </w:r>
          </w:p>
        </w:tc>
      </w:tr>
    </w:tbl>
    <w:p w:rsidR="00257B5B" w:rsidRPr="00833E40" w:rsidRDefault="00257B5B">
      <w:pPr>
        <w:rPr>
          <w:rFonts w:cstheme="minorHAnsi"/>
          <w:sz w:val="24"/>
          <w:szCs w:val="24"/>
        </w:rPr>
      </w:pPr>
    </w:p>
    <w:sectPr w:rsidR="00257B5B" w:rsidRPr="00833E40" w:rsidSect="006807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611C"/>
    <w:multiLevelType w:val="hybridMultilevel"/>
    <w:tmpl w:val="8F204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64FA"/>
    <w:multiLevelType w:val="multilevel"/>
    <w:tmpl w:val="1A3CE4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F"/>
    <w:rsid w:val="00041B65"/>
    <w:rsid w:val="0008284E"/>
    <w:rsid w:val="00122949"/>
    <w:rsid w:val="001B3828"/>
    <w:rsid w:val="001B72FF"/>
    <w:rsid w:val="001C1B68"/>
    <w:rsid w:val="001F56A5"/>
    <w:rsid w:val="0023259F"/>
    <w:rsid w:val="00257B5B"/>
    <w:rsid w:val="0029638B"/>
    <w:rsid w:val="002D1908"/>
    <w:rsid w:val="0030687D"/>
    <w:rsid w:val="00344AE3"/>
    <w:rsid w:val="0046133F"/>
    <w:rsid w:val="004A73E1"/>
    <w:rsid w:val="004E47D7"/>
    <w:rsid w:val="00577329"/>
    <w:rsid w:val="005A01A3"/>
    <w:rsid w:val="006606FF"/>
    <w:rsid w:val="0068070E"/>
    <w:rsid w:val="007F7FC4"/>
    <w:rsid w:val="00805384"/>
    <w:rsid w:val="00833E40"/>
    <w:rsid w:val="00851FD3"/>
    <w:rsid w:val="00883304"/>
    <w:rsid w:val="00996D99"/>
    <w:rsid w:val="00A63BFF"/>
    <w:rsid w:val="00A91394"/>
    <w:rsid w:val="00AA48FF"/>
    <w:rsid w:val="00B12EBD"/>
    <w:rsid w:val="00B411B7"/>
    <w:rsid w:val="00BE43FB"/>
    <w:rsid w:val="00C42CC1"/>
    <w:rsid w:val="00CA3849"/>
    <w:rsid w:val="00CC0485"/>
    <w:rsid w:val="00D423D5"/>
    <w:rsid w:val="00D717F0"/>
    <w:rsid w:val="00D718BC"/>
    <w:rsid w:val="00F2316A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58ED7-29C8-4C7D-9AA9-829EC9C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C1"/>
  </w:style>
  <w:style w:type="paragraph" w:styleId="Heading1">
    <w:name w:val="heading 1"/>
    <w:basedOn w:val="Normal"/>
    <w:next w:val="Normal"/>
    <w:link w:val="Heading1Char"/>
    <w:uiPriority w:val="9"/>
    <w:qFormat/>
    <w:rsid w:val="00C42C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C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C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C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C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C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C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C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C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CC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C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C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C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CC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C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CC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C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CC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C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2CC1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2CC1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CC1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2CC1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42CC1"/>
    <w:rPr>
      <w:b/>
      <w:bCs/>
    </w:rPr>
  </w:style>
  <w:style w:type="character" w:styleId="Emphasis">
    <w:name w:val="Emphasis"/>
    <w:basedOn w:val="DefaultParagraphFont"/>
    <w:uiPriority w:val="20"/>
    <w:qFormat/>
    <w:rsid w:val="00C42CC1"/>
    <w:rPr>
      <w:i/>
      <w:iCs/>
      <w:color w:val="000000" w:themeColor="text1"/>
    </w:rPr>
  </w:style>
  <w:style w:type="paragraph" w:styleId="NoSpacing">
    <w:name w:val="No Spacing"/>
    <w:uiPriority w:val="1"/>
    <w:qFormat/>
    <w:rsid w:val="00C42C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CC1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2CC1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C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CC1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2C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2CC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42C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2CC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42CC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CC1"/>
    <w:pPr>
      <w:outlineLvl w:val="9"/>
    </w:pPr>
  </w:style>
  <w:style w:type="paragraph" w:styleId="ListParagraph">
    <w:name w:val="List Paragraph"/>
    <w:basedOn w:val="Normal"/>
    <w:uiPriority w:val="34"/>
    <w:qFormat/>
    <w:rsid w:val="00C42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4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Baker</dc:creator>
  <cp:lastModifiedBy>Anna Hook 42078328</cp:lastModifiedBy>
  <cp:revision>2</cp:revision>
  <dcterms:created xsi:type="dcterms:W3CDTF">2018-08-22T13:17:00Z</dcterms:created>
  <dcterms:modified xsi:type="dcterms:W3CDTF">2018-08-22T13:17:00Z</dcterms:modified>
</cp:coreProperties>
</file>