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107DC" wp14:editId="555B80EA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107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575904" wp14:editId="26783856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A547F2" w:rsidRDefault="00B15F8B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Meeting</w:t>
            </w:r>
          </w:p>
        </w:tc>
        <w:tc>
          <w:tcPr>
            <w:tcW w:w="3614" w:type="dxa"/>
          </w:tcPr>
          <w:p w:rsidR="00B15F8B" w:rsidRPr="00A547F2" w:rsidRDefault="00A010E3" w:rsidP="009E572F">
            <w:pPr>
              <w:spacing w:before="120"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>Strategic Board</w:t>
            </w:r>
          </w:p>
        </w:tc>
        <w:tc>
          <w:tcPr>
            <w:tcW w:w="2056" w:type="dxa"/>
          </w:tcPr>
          <w:p w:rsidR="00B15F8B" w:rsidRPr="00A547F2" w:rsidRDefault="00B15F8B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Agenda Item</w:t>
            </w:r>
          </w:p>
        </w:tc>
        <w:tc>
          <w:tcPr>
            <w:tcW w:w="1559" w:type="dxa"/>
          </w:tcPr>
          <w:p w:rsidR="00B15F8B" w:rsidRPr="00A547F2" w:rsidRDefault="00E154E1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</w:tr>
      <w:tr w:rsidR="00B15F8B" w:rsidRPr="009E572F" w:rsidTr="00B15F8B">
        <w:tc>
          <w:tcPr>
            <w:tcW w:w="2518" w:type="dxa"/>
          </w:tcPr>
          <w:p w:rsidR="00B15F8B" w:rsidRPr="00A547F2" w:rsidRDefault="00B15F8B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Meeting Date</w:t>
            </w:r>
          </w:p>
        </w:tc>
        <w:tc>
          <w:tcPr>
            <w:tcW w:w="3614" w:type="dxa"/>
          </w:tcPr>
          <w:p w:rsidR="00B15F8B" w:rsidRPr="00A547F2" w:rsidRDefault="00A010E3" w:rsidP="00A010E3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8</w:t>
            </w:r>
            <w:r w:rsidRPr="00A547F2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A547F2">
              <w:rPr>
                <w:rFonts w:ascii="Calibri" w:hAnsi="Calibri" w:cs="Times New Roman"/>
                <w:sz w:val="22"/>
                <w:szCs w:val="22"/>
              </w:rPr>
              <w:t xml:space="preserve"> June 2018</w:t>
            </w:r>
          </w:p>
        </w:tc>
        <w:tc>
          <w:tcPr>
            <w:tcW w:w="2056" w:type="dxa"/>
          </w:tcPr>
          <w:p w:rsidR="00B15F8B" w:rsidRPr="00A547F2" w:rsidRDefault="00B15F8B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Report Number</w:t>
            </w:r>
          </w:p>
        </w:tc>
        <w:tc>
          <w:tcPr>
            <w:tcW w:w="1559" w:type="dxa"/>
          </w:tcPr>
          <w:p w:rsidR="00B15F8B" w:rsidRPr="00A547F2" w:rsidRDefault="00E154E1" w:rsidP="009E572F">
            <w:pPr>
              <w:spacing w:before="120"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A547F2" w:rsidRDefault="009E572F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9E572F" w:rsidRPr="00A547F2" w:rsidRDefault="00BE0B12" w:rsidP="00A010E3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 xml:space="preserve">Glenn McGuinness – </w:t>
            </w:r>
            <w:r w:rsidR="00A010E3" w:rsidRPr="00A547F2">
              <w:rPr>
                <w:rFonts w:ascii="Calibri" w:hAnsi="Calibri" w:cs="Times New Roman"/>
                <w:sz w:val="22"/>
                <w:szCs w:val="22"/>
              </w:rPr>
              <w:t>Interim Chief Financial Officer</w:t>
            </w:r>
          </w:p>
        </w:tc>
      </w:tr>
      <w:tr w:rsidR="009E572F" w:rsidRPr="009E572F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A547F2" w:rsidRDefault="00B15F8B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A547F2" w:rsidRDefault="00A010E3" w:rsidP="00A010E3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Glenn McGuinness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A547F2" w:rsidRDefault="003A46D1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Subject</w:t>
            </w:r>
          </w:p>
        </w:tc>
        <w:tc>
          <w:tcPr>
            <w:tcW w:w="7229" w:type="dxa"/>
            <w:gridSpan w:val="3"/>
          </w:tcPr>
          <w:p w:rsidR="009E572F" w:rsidRPr="00A547F2" w:rsidRDefault="00BE0B12" w:rsidP="006601E0">
            <w:pPr>
              <w:spacing w:before="120"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>201</w:t>
            </w:r>
            <w:r w:rsidR="00A010E3" w:rsidRPr="00A547F2"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r w:rsidR="00A010E3" w:rsidRPr="00A547F2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6601E0">
              <w:rPr>
                <w:rFonts w:ascii="Calibri" w:hAnsi="Calibri" w:cs="Times New Roman"/>
                <w:b/>
                <w:sz w:val="22"/>
                <w:szCs w:val="22"/>
              </w:rPr>
              <w:t>B</w:t>
            </w: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 xml:space="preserve">udget </w:t>
            </w:r>
            <w:r w:rsidR="006601E0">
              <w:rPr>
                <w:rFonts w:ascii="Calibri" w:hAnsi="Calibri" w:cs="Times New Roman"/>
                <w:b/>
                <w:sz w:val="22"/>
                <w:szCs w:val="22"/>
              </w:rPr>
              <w:t>and Efficiency Plan progress report -</w:t>
            </w: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6601E0">
              <w:rPr>
                <w:rFonts w:ascii="Calibri" w:hAnsi="Calibri" w:cs="Times New Roman"/>
                <w:b/>
                <w:sz w:val="22"/>
                <w:szCs w:val="22"/>
              </w:rPr>
              <w:t>t</w:t>
            </w:r>
            <w:r w:rsidRPr="00A547F2">
              <w:rPr>
                <w:rFonts w:ascii="Calibri" w:hAnsi="Calibri" w:cs="Times New Roman"/>
                <w:b/>
                <w:sz w:val="22"/>
                <w:szCs w:val="22"/>
              </w:rPr>
              <w:t>imetable.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A547F2" w:rsidRDefault="009E572F" w:rsidP="009E572F">
            <w:pPr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9E572F" w:rsidRPr="00A547F2" w:rsidRDefault="002F45F7" w:rsidP="009E572F">
            <w:pPr>
              <w:tabs>
                <w:tab w:val="num" w:pos="567"/>
              </w:tabs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A547F2">
              <w:rPr>
                <w:rFonts w:ascii="Calibri" w:hAnsi="Calibri" w:cs="Times New Roman"/>
                <w:sz w:val="22"/>
                <w:szCs w:val="22"/>
              </w:rPr>
              <w:t>Decis</w:t>
            </w:r>
            <w:r w:rsidR="00C43DFB" w:rsidRPr="00A547F2">
              <w:rPr>
                <w:rFonts w:ascii="Calibri" w:hAnsi="Calibri" w:cs="Times New Roman"/>
                <w:sz w:val="22"/>
                <w:szCs w:val="22"/>
              </w:rPr>
              <w:t xml:space="preserve">ion – 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Recommendations</w:t>
      </w:r>
    </w:p>
    <w:p w:rsidR="00A8212D" w:rsidRPr="00A547F2" w:rsidRDefault="00843E2D" w:rsidP="00A8212D">
      <w:pPr>
        <w:pStyle w:val="NumbList3"/>
        <w:spacing w:after="240"/>
        <w:ind w:left="357" w:hanging="357"/>
        <w:rPr>
          <w:rFonts w:ascii="Calibri" w:hAnsi="Calibri"/>
          <w:sz w:val="22"/>
          <w:szCs w:val="22"/>
        </w:rPr>
        <w:sectPr w:rsidR="00A8212D" w:rsidRPr="00A547F2" w:rsidSect="002F45F7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  <w:r w:rsidRPr="00A547F2">
        <w:rPr>
          <w:rFonts w:ascii="Calibri" w:hAnsi="Calibri"/>
          <w:sz w:val="22"/>
          <w:szCs w:val="22"/>
        </w:rPr>
        <w:t>The Board is asked to agree the timetable for the preparation</w:t>
      </w:r>
      <w:r w:rsidR="00A93713">
        <w:rPr>
          <w:rFonts w:ascii="Calibri" w:hAnsi="Calibri"/>
          <w:sz w:val="22"/>
          <w:szCs w:val="22"/>
        </w:rPr>
        <w:t xml:space="preserve"> of the medium term efficiency plan (2016 to 2020) update</w:t>
      </w:r>
      <w:r w:rsidRPr="00A547F2">
        <w:rPr>
          <w:rFonts w:ascii="Calibri" w:hAnsi="Calibri"/>
          <w:sz w:val="22"/>
          <w:szCs w:val="22"/>
        </w:rPr>
        <w:t xml:space="preserve"> and</w:t>
      </w:r>
      <w:r w:rsidR="00A93713">
        <w:rPr>
          <w:rFonts w:ascii="Calibri" w:hAnsi="Calibri"/>
          <w:sz w:val="22"/>
          <w:szCs w:val="22"/>
        </w:rPr>
        <w:t xml:space="preserve"> the</w:t>
      </w:r>
      <w:r w:rsidRPr="00A547F2">
        <w:rPr>
          <w:rFonts w:ascii="Calibri" w:hAnsi="Calibri"/>
          <w:sz w:val="22"/>
          <w:szCs w:val="22"/>
        </w:rPr>
        <w:t xml:space="preserve"> approval of </w:t>
      </w:r>
      <w:r w:rsidR="00A35AA8" w:rsidRPr="00A547F2">
        <w:rPr>
          <w:rFonts w:ascii="Calibri" w:hAnsi="Calibri"/>
          <w:sz w:val="22"/>
          <w:szCs w:val="22"/>
        </w:rPr>
        <w:t>the 201</w:t>
      </w:r>
      <w:r w:rsidR="00A010E3" w:rsidRPr="00A547F2">
        <w:rPr>
          <w:rFonts w:ascii="Calibri" w:hAnsi="Calibri"/>
          <w:sz w:val="22"/>
          <w:szCs w:val="22"/>
        </w:rPr>
        <w:t>9</w:t>
      </w:r>
      <w:r w:rsidRPr="00A547F2">
        <w:rPr>
          <w:rFonts w:ascii="Calibri" w:hAnsi="Calibri"/>
          <w:sz w:val="22"/>
          <w:szCs w:val="22"/>
        </w:rPr>
        <w:t>-</w:t>
      </w:r>
      <w:r w:rsidR="00A010E3" w:rsidRPr="00A547F2">
        <w:rPr>
          <w:rFonts w:ascii="Calibri" w:hAnsi="Calibri"/>
          <w:sz w:val="22"/>
          <w:szCs w:val="22"/>
        </w:rPr>
        <w:t>20</w:t>
      </w:r>
      <w:r w:rsidRPr="00A547F2">
        <w:rPr>
          <w:rFonts w:ascii="Calibri" w:hAnsi="Calibri"/>
          <w:sz w:val="22"/>
          <w:szCs w:val="22"/>
        </w:rPr>
        <w:t xml:space="preserve"> </w:t>
      </w:r>
      <w:r w:rsidR="00A35AA8" w:rsidRPr="00A547F2">
        <w:rPr>
          <w:rFonts w:ascii="Calibri" w:hAnsi="Calibri"/>
          <w:sz w:val="22"/>
          <w:szCs w:val="22"/>
        </w:rPr>
        <w:t>budget.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BACKGROUND</w:t>
      </w:r>
    </w:p>
    <w:p w:rsidR="00F61792" w:rsidRPr="00A547F2" w:rsidRDefault="00A010E3" w:rsidP="00EC7871">
      <w:pPr>
        <w:pStyle w:val="NumbList3"/>
        <w:spacing w:after="240"/>
        <w:ind w:left="357" w:hanging="357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 xml:space="preserve">The purpose of this paper is to </w:t>
      </w:r>
      <w:r w:rsidR="00A93713">
        <w:rPr>
          <w:rFonts w:ascii="Calibri" w:hAnsi="Calibri"/>
          <w:sz w:val="22"/>
          <w:szCs w:val="22"/>
        </w:rPr>
        <w:t>consider</w:t>
      </w:r>
      <w:r w:rsidRPr="00A547F2">
        <w:rPr>
          <w:rFonts w:ascii="Calibri" w:hAnsi="Calibri"/>
          <w:sz w:val="22"/>
          <w:szCs w:val="22"/>
        </w:rPr>
        <w:t xml:space="preserve"> the</w:t>
      </w:r>
      <w:r w:rsidR="00A547F2" w:rsidRPr="00A547F2">
        <w:rPr>
          <w:rFonts w:ascii="Calibri" w:hAnsi="Calibri"/>
          <w:sz w:val="22"/>
          <w:szCs w:val="22"/>
        </w:rPr>
        <w:t xml:space="preserve"> high-level</w:t>
      </w:r>
      <w:r w:rsidRPr="00A547F2">
        <w:rPr>
          <w:rFonts w:ascii="Calibri" w:hAnsi="Calibri"/>
          <w:sz w:val="22"/>
          <w:szCs w:val="22"/>
        </w:rPr>
        <w:t xml:space="preserve"> timetable for the preparation of the 2019-20 budget and the annual </w:t>
      </w:r>
      <w:r w:rsidR="00D276D0" w:rsidRPr="00A547F2">
        <w:rPr>
          <w:rFonts w:ascii="Calibri" w:hAnsi="Calibri"/>
          <w:sz w:val="22"/>
          <w:szCs w:val="22"/>
        </w:rPr>
        <w:t>progress</w:t>
      </w:r>
      <w:r w:rsidRPr="00A547F2">
        <w:rPr>
          <w:rFonts w:ascii="Calibri" w:hAnsi="Calibri"/>
          <w:sz w:val="22"/>
          <w:szCs w:val="22"/>
        </w:rPr>
        <w:t xml:space="preserve"> report against the efficiency plan</w:t>
      </w:r>
      <w:r w:rsidR="00A547F2" w:rsidRPr="00A547F2">
        <w:rPr>
          <w:rFonts w:ascii="Calibri" w:hAnsi="Calibri"/>
          <w:sz w:val="22"/>
          <w:szCs w:val="22"/>
        </w:rPr>
        <w:t xml:space="preserve"> covering the period</w:t>
      </w:r>
      <w:r w:rsidRPr="00A547F2">
        <w:rPr>
          <w:rFonts w:ascii="Calibri" w:hAnsi="Calibri"/>
          <w:sz w:val="22"/>
          <w:szCs w:val="22"/>
        </w:rPr>
        <w:t xml:space="preserve"> to March 2020</w:t>
      </w:r>
      <w:r w:rsidR="00E154E1">
        <w:rPr>
          <w:rFonts w:ascii="Calibri" w:hAnsi="Calibri"/>
          <w:sz w:val="22"/>
          <w:szCs w:val="22"/>
        </w:rPr>
        <w:t xml:space="preserve">.  </w:t>
      </w:r>
      <w:r w:rsidR="00A547F2" w:rsidRPr="00A547F2">
        <w:rPr>
          <w:rFonts w:ascii="Calibri" w:hAnsi="Calibri"/>
          <w:sz w:val="22"/>
          <w:szCs w:val="22"/>
        </w:rPr>
        <w:t>The medium term efficiency plan was originally prepared in September 2016 and an annual progress report was presented to members in September 2017, a further update is due in September 2018.</w:t>
      </w:r>
      <w:r w:rsidR="00E154E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A547F2">
        <w:rPr>
          <w:rFonts w:ascii="Calibri" w:hAnsi="Calibri"/>
          <w:sz w:val="22"/>
          <w:szCs w:val="22"/>
        </w:rPr>
        <w:t>During the course of this year there is also a need to prepared a</w:t>
      </w:r>
      <w:r w:rsidR="005453A0" w:rsidRPr="00A547F2">
        <w:rPr>
          <w:rFonts w:ascii="Calibri" w:hAnsi="Calibri"/>
          <w:sz w:val="22"/>
          <w:szCs w:val="22"/>
        </w:rPr>
        <w:t xml:space="preserve"> new medium term efficiency plan </w:t>
      </w:r>
      <w:r w:rsidR="00016A73" w:rsidRPr="00A547F2">
        <w:rPr>
          <w:rFonts w:ascii="Calibri" w:hAnsi="Calibri"/>
          <w:sz w:val="22"/>
          <w:szCs w:val="22"/>
        </w:rPr>
        <w:t>to cover the period 2020 to 2024, the planning for this will be covered by a separate paper once our approach becomes clearer.</w:t>
      </w:r>
      <w:r w:rsidR="00FC3E10" w:rsidRPr="00A547F2">
        <w:rPr>
          <w:rFonts w:ascii="Calibri" w:hAnsi="Calibri"/>
          <w:sz w:val="22"/>
          <w:szCs w:val="22"/>
        </w:rPr>
        <w:t xml:space="preserve"> </w:t>
      </w:r>
      <w:r w:rsidR="00843E2D" w:rsidRPr="00A547F2">
        <w:rPr>
          <w:rFonts w:ascii="Calibri" w:hAnsi="Calibri"/>
          <w:sz w:val="22"/>
          <w:szCs w:val="22"/>
        </w:rPr>
        <w:t xml:space="preserve"> </w:t>
      </w:r>
      <w:r w:rsidR="00C0492F" w:rsidRPr="00A547F2">
        <w:rPr>
          <w:rFonts w:ascii="Calibri" w:hAnsi="Calibri"/>
          <w:sz w:val="22"/>
          <w:szCs w:val="22"/>
        </w:rPr>
        <w:t xml:space="preserve"> </w:t>
      </w:r>
    </w:p>
    <w:p w:rsidR="00C0492F" w:rsidRPr="00555573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555573">
        <w:rPr>
          <w:rFonts w:ascii="Calibri" w:hAnsi="Calibri"/>
          <w:sz w:val="22"/>
          <w:szCs w:val="22"/>
        </w:rPr>
        <w:t>Options and Analysis</w:t>
      </w:r>
    </w:p>
    <w:p w:rsidR="00EC7871" w:rsidRPr="000C653B" w:rsidRDefault="00A35AA8" w:rsidP="00A547F2">
      <w:pPr>
        <w:pStyle w:val="NumbList3"/>
        <w:rPr>
          <w:noProof/>
        </w:rPr>
      </w:pPr>
      <w:r w:rsidRPr="00555573">
        <w:rPr>
          <w:rFonts w:ascii="Calibri" w:hAnsi="Calibri"/>
          <w:noProof/>
          <w:sz w:val="22"/>
          <w:szCs w:val="22"/>
        </w:rPr>
        <w:t>The</w:t>
      </w:r>
      <w:r w:rsidR="00FC3E10" w:rsidRPr="00555573">
        <w:rPr>
          <w:rFonts w:ascii="Calibri" w:hAnsi="Calibri"/>
          <w:noProof/>
          <w:sz w:val="22"/>
          <w:szCs w:val="22"/>
        </w:rPr>
        <w:t xml:space="preserve"> proposed timetable including progress to date is </w:t>
      </w:r>
      <w:r w:rsidRPr="00555573">
        <w:rPr>
          <w:rFonts w:ascii="Calibri" w:hAnsi="Calibri"/>
          <w:noProof/>
          <w:sz w:val="22"/>
          <w:szCs w:val="22"/>
        </w:rPr>
        <w:t>given in the table below.</w:t>
      </w:r>
      <w:r w:rsidRPr="00555573">
        <w:rPr>
          <w:rFonts w:ascii="Calibri" w:hAnsi="Calibri"/>
          <w:noProof/>
          <w:sz w:val="22"/>
          <w:szCs w:val="22"/>
        </w:rPr>
        <w:br/>
      </w:r>
      <w:r w:rsidRPr="00A547F2">
        <w:rPr>
          <w:noProof/>
        </w:rPr>
        <w:br/>
      </w:r>
      <w:r w:rsidR="00A547F2" w:rsidRPr="00A547F2">
        <w:rPr>
          <w:noProof/>
          <w:lang w:eastAsia="en-GB"/>
        </w:rPr>
        <w:lastRenderedPageBreak/>
        <w:drawing>
          <wp:inline distT="0" distB="0" distL="0" distR="0">
            <wp:extent cx="5939790" cy="2799578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FC3E10">
        <w:rPr>
          <w:noProof/>
        </w:rPr>
        <w:t xml:space="preserve"> 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Benefits and Risk Implications</w:t>
      </w:r>
    </w:p>
    <w:p w:rsidR="00C0492F" w:rsidRPr="00A547F2" w:rsidRDefault="00FC3E10" w:rsidP="00EC7871">
      <w:pPr>
        <w:pStyle w:val="NumbList3"/>
        <w:spacing w:after="240"/>
        <w:ind w:left="357" w:hanging="357"/>
        <w:rPr>
          <w:rFonts w:ascii="Calibri" w:hAnsi="Calibri"/>
          <w:noProof/>
          <w:sz w:val="22"/>
          <w:szCs w:val="22"/>
        </w:rPr>
      </w:pPr>
      <w:r w:rsidRPr="00A547F2">
        <w:rPr>
          <w:rFonts w:ascii="Calibri" w:hAnsi="Calibri"/>
          <w:noProof/>
          <w:sz w:val="22"/>
          <w:szCs w:val="22"/>
        </w:rPr>
        <w:t>The key risk is that if a formal budget timetable is not agreed there could be a delay in producing and approving the budget and precept for 201</w:t>
      </w:r>
      <w:r w:rsidR="00D276D0" w:rsidRPr="00A547F2">
        <w:rPr>
          <w:rFonts w:ascii="Calibri" w:hAnsi="Calibri"/>
          <w:noProof/>
          <w:sz w:val="22"/>
          <w:szCs w:val="22"/>
        </w:rPr>
        <w:t>9</w:t>
      </w:r>
      <w:r w:rsidRPr="00A547F2">
        <w:rPr>
          <w:rFonts w:ascii="Calibri" w:hAnsi="Calibri"/>
          <w:noProof/>
          <w:sz w:val="22"/>
          <w:szCs w:val="22"/>
        </w:rPr>
        <w:t>-</w:t>
      </w:r>
      <w:r w:rsidR="00D276D0" w:rsidRPr="00A547F2">
        <w:rPr>
          <w:rFonts w:ascii="Calibri" w:hAnsi="Calibri"/>
          <w:noProof/>
          <w:sz w:val="22"/>
          <w:szCs w:val="22"/>
        </w:rPr>
        <w:t>20</w:t>
      </w:r>
      <w:r w:rsidRPr="00A547F2">
        <w:rPr>
          <w:rFonts w:ascii="Calibri" w:hAnsi="Calibri"/>
          <w:noProof/>
          <w:sz w:val="22"/>
          <w:szCs w:val="22"/>
        </w:rPr>
        <w:t xml:space="preserve">.   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Financial Implications</w:t>
      </w:r>
    </w:p>
    <w:p w:rsidR="00C0492F" w:rsidRPr="00A547F2" w:rsidRDefault="00B5608E" w:rsidP="00C0492F">
      <w:pPr>
        <w:pStyle w:val="NumbList3"/>
        <w:spacing w:after="240"/>
        <w:ind w:left="357" w:hanging="357"/>
        <w:rPr>
          <w:rFonts w:ascii="Calibri" w:hAnsi="Calibri"/>
          <w:noProof/>
          <w:sz w:val="22"/>
          <w:szCs w:val="22"/>
        </w:rPr>
      </w:pPr>
      <w:r w:rsidRPr="00A547F2">
        <w:rPr>
          <w:rFonts w:ascii="Calibri" w:hAnsi="Calibri"/>
          <w:noProof/>
          <w:sz w:val="22"/>
          <w:szCs w:val="22"/>
        </w:rPr>
        <w:t>As 4. Above.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Equality and Diversity Implications</w:t>
      </w:r>
    </w:p>
    <w:p w:rsidR="00C0492F" w:rsidRPr="00A547F2" w:rsidRDefault="00B5608E" w:rsidP="00C0492F">
      <w:pPr>
        <w:pStyle w:val="NumbList3"/>
        <w:spacing w:after="240"/>
        <w:ind w:left="357" w:hanging="357"/>
        <w:rPr>
          <w:rFonts w:ascii="Calibri" w:hAnsi="Calibri"/>
          <w:noProof/>
          <w:sz w:val="22"/>
          <w:szCs w:val="22"/>
        </w:rPr>
      </w:pPr>
      <w:r w:rsidRPr="00A547F2">
        <w:rPr>
          <w:rFonts w:ascii="Calibri" w:hAnsi="Calibri"/>
          <w:noProof/>
          <w:sz w:val="22"/>
          <w:szCs w:val="22"/>
        </w:rPr>
        <w:t xml:space="preserve">None. 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Workforce Engagement</w:t>
      </w:r>
    </w:p>
    <w:p w:rsidR="00C0492F" w:rsidRPr="00A547F2" w:rsidRDefault="00B5608E" w:rsidP="00C0492F">
      <w:pPr>
        <w:pStyle w:val="NumbList3"/>
        <w:spacing w:after="240"/>
        <w:ind w:left="357" w:hanging="357"/>
        <w:rPr>
          <w:rFonts w:ascii="Calibri" w:hAnsi="Calibri"/>
          <w:noProof/>
          <w:sz w:val="22"/>
          <w:szCs w:val="22"/>
        </w:rPr>
      </w:pPr>
      <w:r w:rsidRPr="00A547F2">
        <w:rPr>
          <w:rFonts w:ascii="Calibri" w:hAnsi="Calibri"/>
          <w:noProof/>
          <w:sz w:val="22"/>
          <w:szCs w:val="22"/>
        </w:rPr>
        <w:t>None.</w:t>
      </w:r>
    </w:p>
    <w:p w:rsidR="00C0492F" w:rsidRPr="00A547F2" w:rsidRDefault="00C0492F" w:rsidP="00C0492F">
      <w:pPr>
        <w:pStyle w:val="Heading1"/>
        <w:rPr>
          <w:rFonts w:ascii="Calibri" w:hAnsi="Calibri"/>
          <w:sz w:val="22"/>
          <w:szCs w:val="22"/>
        </w:rPr>
      </w:pPr>
      <w:r w:rsidRPr="00A547F2">
        <w:rPr>
          <w:rFonts w:ascii="Calibri" w:hAnsi="Calibri"/>
          <w:sz w:val="22"/>
          <w:szCs w:val="22"/>
        </w:rPr>
        <w:t>Legal Implications</w:t>
      </w:r>
    </w:p>
    <w:p w:rsidR="002F45F7" w:rsidRPr="00A547F2" w:rsidRDefault="00B5608E" w:rsidP="00A8212D">
      <w:pPr>
        <w:pStyle w:val="NumbList3"/>
        <w:spacing w:after="240"/>
        <w:ind w:left="357" w:hanging="357"/>
        <w:rPr>
          <w:rFonts w:ascii="Calibri" w:hAnsi="Calibri"/>
          <w:noProof/>
          <w:sz w:val="22"/>
          <w:szCs w:val="22"/>
        </w:rPr>
      </w:pPr>
      <w:r w:rsidRPr="00A547F2">
        <w:rPr>
          <w:rFonts w:ascii="Calibri" w:hAnsi="Calibri"/>
          <w:noProof/>
          <w:sz w:val="22"/>
          <w:szCs w:val="22"/>
        </w:rPr>
        <w:t>None.</w:t>
      </w:r>
    </w:p>
    <w:sectPr w:rsidR="002F45F7" w:rsidRPr="00A547F2" w:rsidSect="00A93713">
      <w:type w:val="continuous"/>
      <w:pgSz w:w="11906" w:h="16838" w:code="9"/>
      <w:pgMar w:top="624" w:right="1440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13" w:rsidRDefault="00587513">
      <w:r>
        <w:separator/>
      </w:r>
    </w:p>
  </w:endnote>
  <w:endnote w:type="continuationSeparator" w:id="0">
    <w:p w:rsidR="00587513" w:rsidRDefault="005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154E1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154E1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154E1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154E1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93713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13" w:rsidRDefault="00587513">
      <w:r>
        <w:separator/>
      </w:r>
    </w:p>
  </w:footnote>
  <w:footnote w:type="continuationSeparator" w:id="0">
    <w:p w:rsidR="00587513" w:rsidRDefault="0058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4B58"/>
    <w:rsid w:val="0001605A"/>
    <w:rsid w:val="00016A73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8B1"/>
    <w:rsid w:val="00325B97"/>
    <w:rsid w:val="00326EE8"/>
    <w:rsid w:val="00327063"/>
    <w:rsid w:val="0032754E"/>
    <w:rsid w:val="00330F33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272C3"/>
    <w:rsid w:val="00531668"/>
    <w:rsid w:val="00534B30"/>
    <w:rsid w:val="005357B0"/>
    <w:rsid w:val="00535F5C"/>
    <w:rsid w:val="00543DC6"/>
    <w:rsid w:val="005453A0"/>
    <w:rsid w:val="005461F6"/>
    <w:rsid w:val="00550384"/>
    <w:rsid w:val="005509FE"/>
    <w:rsid w:val="005525B4"/>
    <w:rsid w:val="0055273B"/>
    <w:rsid w:val="00552EF2"/>
    <w:rsid w:val="00552FA4"/>
    <w:rsid w:val="00555573"/>
    <w:rsid w:val="00555BA5"/>
    <w:rsid w:val="00562129"/>
    <w:rsid w:val="00563B7E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513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01E0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20F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3E2D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1DF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4585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10E3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5AA8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36B1"/>
    <w:rsid w:val="00A547F2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3713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608E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E007E"/>
    <w:rsid w:val="00BE02C9"/>
    <w:rsid w:val="00BE0B12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20A32"/>
    <w:rsid w:val="00C20BF4"/>
    <w:rsid w:val="00C2318C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533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68A0"/>
    <w:rsid w:val="00D27313"/>
    <w:rsid w:val="00D276D0"/>
    <w:rsid w:val="00D27DDF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25BF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54E1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A20"/>
    <w:rsid w:val="00F86C5A"/>
    <w:rsid w:val="00F87485"/>
    <w:rsid w:val="00F90B3E"/>
    <w:rsid w:val="00F916A3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3E10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002D66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096E-0EC3-43C3-B168-EF0F8EC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Anthony Maude 42078422</cp:lastModifiedBy>
  <cp:revision>3</cp:revision>
  <cp:lastPrinted>2018-05-23T09:19:00Z</cp:lastPrinted>
  <dcterms:created xsi:type="dcterms:W3CDTF">2018-05-23T16:50:00Z</dcterms:created>
  <dcterms:modified xsi:type="dcterms:W3CDTF">2018-05-23T16:51:00Z</dcterms:modified>
</cp:coreProperties>
</file>