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0727"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6CB3D1C3" wp14:editId="498321B2">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2581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7BB5D40"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3D1C3"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11C2581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7BB5D40"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46B08D3E" wp14:editId="7E276CB8">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F0CF49" w14:textId="77777777" w:rsidTr="00B15F8B">
        <w:trPr>
          <w:trHeight w:val="557"/>
        </w:trPr>
        <w:tc>
          <w:tcPr>
            <w:tcW w:w="2518" w:type="dxa"/>
          </w:tcPr>
          <w:p w14:paraId="7B266A2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0BC3E18B" w14:textId="77777777" w:rsidR="00B15F8B" w:rsidRPr="00B15F8B" w:rsidRDefault="00FA72E5" w:rsidP="009E572F">
            <w:pPr>
              <w:spacing w:before="120" w:after="120"/>
              <w:rPr>
                <w:rFonts w:cs="Times New Roman"/>
                <w:b/>
                <w:szCs w:val="20"/>
              </w:rPr>
            </w:pPr>
            <w:r>
              <w:rPr>
                <w:rFonts w:cs="Times New Roman"/>
                <w:b/>
                <w:szCs w:val="20"/>
              </w:rPr>
              <w:t>ECFRS Strategic Board</w:t>
            </w:r>
          </w:p>
        </w:tc>
        <w:tc>
          <w:tcPr>
            <w:tcW w:w="2056" w:type="dxa"/>
          </w:tcPr>
          <w:p w14:paraId="74B056F4"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2C04B718" w14:textId="797153F3" w:rsidR="00B15F8B" w:rsidRPr="00B15F8B" w:rsidRDefault="005C21E3" w:rsidP="009E572F">
            <w:pPr>
              <w:spacing w:before="120" w:after="120"/>
              <w:rPr>
                <w:rFonts w:cs="Times New Roman"/>
                <w:sz w:val="32"/>
                <w:szCs w:val="32"/>
              </w:rPr>
            </w:pPr>
            <w:r>
              <w:rPr>
                <w:rFonts w:cs="Times New Roman"/>
                <w:sz w:val="32"/>
                <w:szCs w:val="32"/>
              </w:rPr>
              <w:t>13</w:t>
            </w:r>
          </w:p>
        </w:tc>
      </w:tr>
      <w:tr w:rsidR="00B15F8B" w:rsidRPr="009E572F" w14:paraId="0CF3BA15" w14:textId="77777777" w:rsidTr="00B15F8B">
        <w:tc>
          <w:tcPr>
            <w:tcW w:w="2518" w:type="dxa"/>
          </w:tcPr>
          <w:p w14:paraId="704D0CDE"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56F38952" w14:textId="76AB66BB" w:rsidR="00B15F8B" w:rsidRPr="009E572F" w:rsidRDefault="008B5A97" w:rsidP="00EC7871">
            <w:pPr>
              <w:spacing w:before="120" w:after="120"/>
              <w:rPr>
                <w:rFonts w:cs="Times New Roman"/>
                <w:szCs w:val="20"/>
              </w:rPr>
            </w:pPr>
            <w:r>
              <w:rPr>
                <w:rFonts w:cs="Times New Roman"/>
                <w:szCs w:val="20"/>
              </w:rPr>
              <w:t>8</w:t>
            </w:r>
            <w:r w:rsidRPr="008B5A97">
              <w:rPr>
                <w:rFonts w:cs="Times New Roman"/>
                <w:szCs w:val="20"/>
                <w:vertAlign w:val="superscript"/>
              </w:rPr>
              <w:t>th</w:t>
            </w:r>
            <w:r>
              <w:rPr>
                <w:rFonts w:cs="Times New Roman"/>
                <w:szCs w:val="20"/>
              </w:rPr>
              <w:t xml:space="preserve"> June 2018</w:t>
            </w:r>
            <w:bookmarkStart w:id="0" w:name="_GoBack"/>
            <w:bookmarkEnd w:id="0"/>
          </w:p>
        </w:tc>
        <w:tc>
          <w:tcPr>
            <w:tcW w:w="2056" w:type="dxa"/>
          </w:tcPr>
          <w:p w14:paraId="57E8058D"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7B29C83D" w14:textId="551E0E02" w:rsidR="00B15F8B" w:rsidRPr="00B15F8B" w:rsidRDefault="005C21E3" w:rsidP="009E572F">
            <w:pPr>
              <w:spacing w:before="120" w:after="120"/>
              <w:rPr>
                <w:rFonts w:cs="Times New Roman"/>
                <w:b/>
                <w:szCs w:val="20"/>
              </w:rPr>
            </w:pPr>
            <w:r>
              <w:rPr>
                <w:rFonts w:cs="Times New Roman"/>
                <w:b/>
                <w:szCs w:val="20"/>
              </w:rPr>
              <w:t>7</w:t>
            </w:r>
          </w:p>
        </w:tc>
      </w:tr>
      <w:tr w:rsidR="009E572F" w:rsidRPr="009E572F" w14:paraId="24C9D9FC" w14:textId="77777777" w:rsidTr="00B15F8B">
        <w:tc>
          <w:tcPr>
            <w:tcW w:w="2518" w:type="dxa"/>
          </w:tcPr>
          <w:p w14:paraId="7D367D16"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2E699D72" w14:textId="77777777" w:rsidR="009E572F" w:rsidRPr="00B15F8B" w:rsidRDefault="00FA72E5" w:rsidP="009E572F">
            <w:pPr>
              <w:spacing w:before="120" w:after="120"/>
              <w:rPr>
                <w:rFonts w:cs="Times New Roman"/>
                <w:szCs w:val="20"/>
              </w:rPr>
            </w:pPr>
            <w:r>
              <w:rPr>
                <w:rFonts w:cs="Times New Roman"/>
                <w:szCs w:val="20"/>
              </w:rPr>
              <w:t>Assistant Director Programme 2020 - Ben Pilkington</w:t>
            </w:r>
          </w:p>
        </w:tc>
      </w:tr>
      <w:tr w:rsidR="0063108A" w:rsidRPr="009E572F" w14:paraId="4D364B07" w14:textId="77777777" w:rsidTr="00B15F8B">
        <w:tc>
          <w:tcPr>
            <w:tcW w:w="2518" w:type="dxa"/>
            <w:tcBorders>
              <w:top w:val="single" w:sz="6" w:space="0" w:color="auto"/>
              <w:left w:val="single" w:sz="6" w:space="0" w:color="auto"/>
              <w:bottom w:val="single" w:sz="6" w:space="0" w:color="auto"/>
              <w:right w:val="single" w:sz="6" w:space="0" w:color="auto"/>
            </w:tcBorders>
          </w:tcPr>
          <w:p w14:paraId="6EBC5B88" w14:textId="77777777" w:rsidR="0063108A" w:rsidRPr="009E572F" w:rsidRDefault="0063108A" w:rsidP="0063108A">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4B105915" w14:textId="47489C55" w:rsidR="0063108A" w:rsidRPr="00B15F8B" w:rsidRDefault="005C21E3" w:rsidP="0063108A">
            <w:pPr>
              <w:spacing w:before="120" w:after="120"/>
              <w:rPr>
                <w:rFonts w:cs="Times New Roman"/>
                <w:szCs w:val="20"/>
              </w:rPr>
            </w:pPr>
            <w:r>
              <w:rPr>
                <w:rFonts w:cs="Times New Roman"/>
                <w:szCs w:val="20"/>
              </w:rPr>
              <w:t>Assistant Director Programme 2020 - Ben Pilkington</w:t>
            </w:r>
          </w:p>
        </w:tc>
      </w:tr>
      <w:tr w:rsidR="0063108A" w:rsidRPr="009E572F" w14:paraId="69932865" w14:textId="77777777" w:rsidTr="00B15F8B">
        <w:tc>
          <w:tcPr>
            <w:tcW w:w="2518" w:type="dxa"/>
          </w:tcPr>
          <w:p w14:paraId="36E92190" w14:textId="77777777" w:rsidR="0063108A" w:rsidRPr="009E572F" w:rsidRDefault="0063108A" w:rsidP="0063108A">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28B958DF" w14:textId="77777777" w:rsidR="0063108A" w:rsidRPr="003A46D1" w:rsidRDefault="00076529" w:rsidP="0063108A">
            <w:pPr>
              <w:spacing w:before="120" w:after="120"/>
              <w:rPr>
                <w:rFonts w:cs="Times New Roman"/>
                <w:b/>
                <w:szCs w:val="20"/>
              </w:rPr>
            </w:pPr>
            <w:r>
              <w:rPr>
                <w:rFonts w:cs="Times New Roman"/>
                <w:b/>
                <w:szCs w:val="20"/>
              </w:rPr>
              <w:t>Integrated Risk Management Plan</w:t>
            </w:r>
            <w:r w:rsidR="00CD3208">
              <w:rPr>
                <w:rFonts w:cs="Times New Roman"/>
                <w:b/>
                <w:szCs w:val="20"/>
              </w:rPr>
              <w:t xml:space="preserve"> Update</w:t>
            </w:r>
          </w:p>
        </w:tc>
      </w:tr>
      <w:tr w:rsidR="0063108A" w:rsidRPr="009E572F" w14:paraId="48E43481" w14:textId="77777777" w:rsidTr="00B15F8B">
        <w:tc>
          <w:tcPr>
            <w:tcW w:w="2518" w:type="dxa"/>
          </w:tcPr>
          <w:p w14:paraId="4D818C2C" w14:textId="77777777" w:rsidR="0063108A" w:rsidRPr="009E572F" w:rsidRDefault="0063108A" w:rsidP="0063108A">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7DEB59E2" w14:textId="77777777" w:rsidR="0063108A" w:rsidRPr="009E572F" w:rsidRDefault="00960CC4" w:rsidP="0063108A">
            <w:pPr>
              <w:tabs>
                <w:tab w:val="num" w:pos="567"/>
              </w:tabs>
              <w:spacing w:before="120" w:after="120"/>
              <w:rPr>
                <w:rFonts w:cs="Times New Roman"/>
                <w:szCs w:val="20"/>
              </w:rPr>
            </w:pPr>
            <w:r>
              <w:rPr>
                <w:rFonts w:cs="Times New Roman"/>
                <w:szCs w:val="20"/>
              </w:rPr>
              <w:t>Information</w:t>
            </w:r>
          </w:p>
        </w:tc>
      </w:tr>
    </w:tbl>
    <w:p w14:paraId="75BF0703"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3C7CE93D" w14:textId="77777777" w:rsidR="00A20145" w:rsidRDefault="00C0492F" w:rsidP="00A20145">
      <w:pPr>
        <w:pStyle w:val="Heading1"/>
      </w:pPr>
      <w:r w:rsidRPr="00C0492F">
        <w:t>Recommendations</w:t>
      </w:r>
    </w:p>
    <w:p w14:paraId="1F0C9969" w14:textId="77777777" w:rsidR="00960CC4" w:rsidRDefault="00A20145" w:rsidP="00173E83">
      <w:pPr>
        <w:pStyle w:val="ListParagraph"/>
        <w:numPr>
          <w:ilvl w:val="0"/>
          <w:numId w:val="18"/>
        </w:numPr>
      </w:pPr>
      <w:r>
        <w:t>Me</w:t>
      </w:r>
      <w:r w:rsidR="00ED61DF">
        <w:t>mbers of the</w:t>
      </w:r>
      <w:r w:rsidR="00FA72E5">
        <w:t xml:space="preserve"> ECFRS Strategic </w:t>
      </w:r>
      <w:r w:rsidR="00ED61DF">
        <w:t>Board are asked to</w:t>
      </w:r>
      <w:r w:rsidR="00A65329">
        <w:t xml:space="preserve"> </w:t>
      </w:r>
      <w:r w:rsidR="009C7B21">
        <w:t xml:space="preserve">note the contents of the report. </w:t>
      </w:r>
    </w:p>
    <w:p w14:paraId="4166193A" w14:textId="77777777" w:rsidR="009C7B21" w:rsidRDefault="009C7B21" w:rsidP="009C7B21">
      <w:pPr>
        <w:pStyle w:val="ListParagraph"/>
        <w:ind w:left="360"/>
      </w:pPr>
    </w:p>
    <w:p w14:paraId="04E295DF" w14:textId="77777777" w:rsidR="00960CC4" w:rsidRDefault="00960CC4" w:rsidP="00D54631">
      <w:pPr>
        <w:pStyle w:val="Heading1"/>
      </w:pPr>
      <w:r>
        <w:t xml:space="preserve">BACKGROUND </w:t>
      </w:r>
    </w:p>
    <w:p w14:paraId="039C50A6" w14:textId="77777777" w:rsidR="00076529" w:rsidRDefault="00076529" w:rsidP="00076529">
      <w:pPr>
        <w:pStyle w:val="ListParagraph"/>
        <w:numPr>
          <w:ilvl w:val="0"/>
          <w:numId w:val="18"/>
        </w:numPr>
      </w:pPr>
      <w:r>
        <w:t>The Integrated risk management plan</w:t>
      </w:r>
      <w:r w:rsidR="00F92801">
        <w:t xml:space="preserve"> (IRMP)</w:t>
      </w:r>
      <w:r>
        <w:t xml:space="preserve"> is the document which demonstrates how the Service uses prevention, protection and response activities to mitigate the risks on its communities. </w:t>
      </w:r>
      <w:r w:rsidR="00280618">
        <w:t xml:space="preserve">The requirement to produce an IRMP is set out the National Framework and is detailed in the legal implications of this report. </w:t>
      </w:r>
    </w:p>
    <w:p w14:paraId="1ECEB278" w14:textId="77777777" w:rsidR="00076529" w:rsidRDefault="00076529" w:rsidP="00076529">
      <w:pPr>
        <w:pStyle w:val="ListParagraph"/>
        <w:ind w:left="360"/>
      </w:pPr>
    </w:p>
    <w:p w14:paraId="7AA167FA" w14:textId="77777777" w:rsidR="00076529" w:rsidRDefault="00076529" w:rsidP="00076529">
      <w:pPr>
        <w:pStyle w:val="ListParagraph"/>
        <w:numPr>
          <w:ilvl w:val="0"/>
          <w:numId w:val="18"/>
        </w:numPr>
        <w:jc w:val="both"/>
      </w:pPr>
      <w:r>
        <w:t>The current IRMP was published in June 2016 as part of the work undertaken through Programme 2020 and covers the period through to 2020.</w:t>
      </w:r>
    </w:p>
    <w:p w14:paraId="1D1EDF7A" w14:textId="77777777" w:rsidR="00280618" w:rsidRDefault="00280618" w:rsidP="00280618">
      <w:pPr>
        <w:pStyle w:val="ListParagraph"/>
        <w:ind w:left="360"/>
        <w:jc w:val="both"/>
      </w:pPr>
    </w:p>
    <w:p w14:paraId="44701653" w14:textId="77777777" w:rsidR="00076529" w:rsidRDefault="00280618" w:rsidP="00280618">
      <w:pPr>
        <w:pStyle w:val="ListParagraph"/>
        <w:numPr>
          <w:ilvl w:val="0"/>
          <w:numId w:val="18"/>
        </w:numPr>
        <w:jc w:val="both"/>
      </w:pPr>
      <w:r>
        <w:t>Work is</w:t>
      </w:r>
      <w:r w:rsidR="00076529">
        <w:t xml:space="preserve"> underway to develop the Fire and Rescue Plan</w:t>
      </w:r>
      <w:r w:rsidR="005650E7">
        <w:t xml:space="preserve"> (FR Plan)</w:t>
      </w:r>
      <w:r w:rsidR="00076529">
        <w:t xml:space="preserve"> for Essex </w:t>
      </w:r>
      <w:r>
        <w:t>which will establish a new set of priorities for ECFRS. The process to review and update the IRMP will need to follow in order that the Service remains aligned to these new priorities.</w:t>
      </w:r>
    </w:p>
    <w:p w14:paraId="1B15412D" w14:textId="77777777" w:rsidR="00354AEA" w:rsidRDefault="00354AEA" w:rsidP="00354AEA">
      <w:pPr>
        <w:pStyle w:val="ListParagraph"/>
        <w:ind w:left="360"/>
        <w:jc w:val="both"/>
      </w:pPr>
    </w:p>
    <w:p w14:paraId="197218B7" w14:textId="77777777" w:rsidR="00354AEA" w:rsidRDefault="00F92801" w:rsidP="00280618">
      <w:pPr>
        <w:pStyle w:val="ListParagraph"/>
        <w:numPr>
          <w:ilvl w:val="0"/>
          <w:numId w:val="18"/>
        </w:numPr>
        <w:jc w:val="both"/>
      </w:pPr>
      <w:r>
        <w:t xml:space="preserve">The Strategic Assessment of Risk (SAOR) is a key input to the IRMP and is covered on this agenda under separate cover. </w:t>
      </w:r>
    </w:p>
    <w:p w14:paraId="492AF541" w14:textId="77777777" w:rsidR="00960CC4" w:rsidRPr="00960CC4" w:rsidRDefault="00960CC4" w:rsidP="00960CC4"/>
    <w:p w14:paraId="100F911D" w14:textId="77777777" w:rsidR="00280618" w:rsidRDefault="007A6429" w:rsidP="00D54631">
      <w:pPr>
        <w:pStyle w:val="Heading1"/>
      </w:pPr>
      <w:r>
        <w:t>initial PLAN OF ACTIVITY</w:t>
      </w:r>
    </w:p>
    <w:p w14:paraId="77126848" w14:textId="2193F576" w:rsidR="00B7735C" w:rsidRDefault="009374F0" w:rsidP="008208CF">
      <w:pPr>
        <w:pStyle w:val="ListParagraph"/>
        <w:numPr>
          <w:ilvl w:val="0"/>
          <w:numId w:val="18"/>
        </w:numPr>
        <w:jc w:val="both"/>
      </w:pPr>
      <w:r>
        <w:t xml:space="preserve">The development of the IRMP is a key strategic planning activity. The strategic planning timetable, </w:t>
      </w:r>
      <w:r w:rsidR="003E07AB">
        <w:t>below,</w:t>
      </w:r>
      <w:r>
        <w:t xml:space="preserve"> shows the plan for production of the FR plan</w:t>
      </w:r>
      <w:r w:rsidR="00B7735C">
        <w:t xml:space="preserve"> </w:t>
      </w:r>
      <w:r>
        <w:t>and</w:t>
      </w:r>
      <w:r w:rsidR="00B7735C">
        <w:t xml:space="preserve"> the IRMP</w:t>
      </w:r>
      <w:r>
        <w:t>.</w:t>
      </w:r>
    </w:p>
    <w:p w14:paraId="443C72C7" w14:textId="20DE23DB" w:rsidR="003E07AB" w:rsidRDefault="003E07AB" w:rsidP="003E07AB">
      <w:pPr>
        <w:pStyle w:val="ListParagraph"/>
        <w:ind w:left="360"/>
        <w:jc w:val="both"/>
      </w:pPr>
    </w:p>
    <w:p w14:paraId="261BA2B2" w14:textId="77777777" w:rsidR="003E07AB" w:rsidRDefault="003E07AB" w:rsidP="003E07AB">
      <w:pPr>
        <w:pStyle w:val="ListParagraph"/>
        <w:ind w:left="360"/>
        <w:jc w:val="both"/>
        <w:sectPr w:rsidR="003E07AB" w:rsidSect="00A8212D">
          <w:headerReference w:type="even" r:id="rId10"/>
          <w:headerReference w:type="default" r:id="rId11"/>
          <w:footerReference w:type="default" r:id="rId12"/>
          <w:headerReference w:type="first" r:id="rId13"/>
          <w:footerReference w:type="first" r:id="rId14"/>
          <w:type w:val="continuous"/>
          <w:pgSz w:w="11906" w:h="16838" w:code="9"/>
          <w:pgMar w:top="1134" w:right="1276" w:bottom="1134" w:left="1276" w:header="709" w:footer="709" w:gutter="0"/>
          <w:cols w:space="708"/>
          <w:titlePg/>
          <w:docGrid w:linePitch="360"/>
        </w:sectPr>
      </w:pPr>
    </w:p>
    <w:p w14:paraId="05125CEF" w14:textId="2135C036" w:rsidR="003E07AB" w:rsidRDefault="003E07AB" w:rsidP="003E07AB">
      <w:pPr>
        <w:pStyle w:val="ListParagraph"/>
        <w:ind w:left="360"/>
        <w:jc w:val="both"/>
      </w:pPr>
    </w:p>
    <w:p w14:paraId="1C76B934" w14:textId="472A1994" w:rsidR="003E07AB" w:rsidRDefault="003E07AB" w:rsidP="003E07AB">
      <w:pPr>
        <w:pStyle w:val="ListParagraph"/>
        <w:ind w:left="360"/>
        <w:jc w:val="both"/>
      </w:pPr>
      <w:r w:rsidRPr="003E07AB">
        <w:rPr>
          <w:noProof/>
          <w:lang w:eastAsia="en-GB"/>
        </w:rPr>
        <w:drawing>
          <wp:inline distT="0" distB="0" distL="0" distR="0" wp14:anchorId="52990D12" wp14:editId="55ED4C50">
            <wp:extent cx="8661460" cy="3238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9030" cy="3241330"/>
                    </a:xfrm>
                    <a:prstGeom prst="rect">
                      <a:avLst/>
                    </a:prstGeom>
                    <a:noFill/>
                    <a:ln>
                      <a:noFill/>
                    </a:ln>
                  </pic:spPr>
                </pic:pic>
              </a:graphicData>
            </a:graphic>
          </wp:inline>
        </w:drawing>
      </w:r>
    </w:p>
    <w:p w14:paraId="35240A9F" w14:textId="58CFC407" w:rsidR="003E07AB" w:rsidRDefault="003E07AB" w:rsidP="003E07AB">
      <w:pPr>
        <w:pStyle w:val="ListParagraph"/>
        <w:ind w:left="360"/>
        <w:jc w:val="both"/>
      </w:pPr>
    </w:p>
    <w:p w14:paraId="35A033EF" w14:textId="0F81C4FF" w:rsidR="003E07AB" w:rsidRDefault="003E07AB" w:rsidP="003E07AB">
      <w:pPr>
        <w:pStyle w:val="ListParagraph"/>
        <w:ind w:left="360"/>
        <w:jc w:val="both"/>
      </w:pPr>
      <w:r>
        <w:t xml:space="preserve">Figure 1. Strategic Planning Timetable. </w:t>
      </w:r>
    </w:p>
    <w:p w14:paraId="31BB5852" w14:textId="77777777" w:rsidR="003E07AB" w:rsidRDefault="003E07AB" w:rsidP="003E07AB">
      <w:pPr>
        <w:pStyle w:val="ListParagraph"/>
        <w:ind w:left="360"/>
        <w:jc w:val="both"/>
        <w:sectPr w:rsidR="003E07AB" w:rsidSect="003E07AB">
          <w:pgSz w:w="16838" w:h="11906" w:orient="landscape" w:code="9"/>
          <w:pgMar w:top="1276" w:right="1134" w:bottom="1276" w:left="1134" w:header="709" w:footer="709" w:gutter="0"/>
          <w:cols w:space="708"/>
          <w:titlePg/>
          <w:docGrid w:linePitch="360"/>
        </w:sectPr>
      </w:pPr>
    </w:p>
    <w:p w14:paraId="122B18E1" w14:textId="63904BDD" w:rsidR="003E07AB" w:rsidRDefault="003E07AB" w:rsidP="003E07AB">
      <w:pPr>
        <w:pStyle w:val="ListParagraph"/>
        <w:ind w:left="360"/>
        <w:jc w:val="both"/>
      </w:pPr>
    </w:p>
    <w:p w14:paraId="403EB87D" w14:textId="640E42F2" w:rsidR="00354AEA" w:rsidRDefault="008208CF" w:rsidP="008208CF">
      <w:pPr>
        <w:pStyle w:val="ListParagraph"/>
        <w:numPr>
          <w:ilvl w:val="0"/>
          <w:numId w:val="18"/>
        </w:numPr>
        <w:jc w:val="both"/>
      </w:pPr>
      <w:r>
        <w:t>Whilst development of</w:t>
      </w:r>
      <w:r w:rsidR="007A6429">
        <w:t xml:space="preserve"> the IRMP </w:t>
      </w:r>
      <w:r>
        <w:t>must</w:t>
      </w:r>
      <w:r w:rsidR="007A6429">
        <w:t xml:space="preserve"> be informed by the priorities laid out in </w:t>
      </w:r>
      <w:r w:rsidR="005650E7">
        <w:t>the FR</w:t>
      </w:r>
      <w:r w:rsidR="007A6429">
        <w:t xml:space="preserve"> Plan</w:t>
      </w:r>
      <w:r>
        <w:t xml:space="preserve"> research, analysis and engagement on the next IRMP can be started and run in parallel. Specifically: </w:t>
      </w:r>
    </w:p>
    <w:p w14:paraId="41385AAB" w14:textId="77777777" w:rsidR="008208CF" w:rsidRDefault="008208CF" w:rsidP="008208CF">
      <w:pPr>
        <w:pStyle w:val="ListParagraph"/>
        <w:numPr>
          <w:ilvl w:val="1"/>
          <w:numId w:val="18"/>
        </w:numPr>
        <w:jc w:val="both"/>
      </w:pPr>
      <w:r>
        <w:t>Review and update of the SAOR (presented on this agenda)</w:t>
      </w:r>
    </w:p>
    <w:p w14:paraId="29FB21FF" w14:textId="42013630" w:rsidR="008208CF" w:rsidRDefault="00466399" w:rsidP="008208CF">
      <w:pPr>
        <w:pStyle w:val="ListParagraph"/>
        <w:numPr>
          <w:ilvl w:val="1"/>
          <w:numId w:val="18"/>
        </w:numPr>
        <w:jc w:val="both"/>
      </w:pPr>
      <w:r>
        <w:t>Annual review of Service response for2017/18</w:t>
      </w:r>
      <w:r w:rsidR="008208CF">
        <w:t xml:space="preserve">  - July/August 2018</w:t>
      </w:r>
    </w:p>
    <w:p w14:paraId="2253FF3E" w14:textId="77777777" w:rsidR="008208CF" w:rsidRDefault="008208CF" w:rsidP="008208CF">
      <w:pPr>
        <w:ind w:left="360"/>
        <w:jc w:val="both"/>
      </w:pPr>
    </w:p>
    <w:p w14:paraId="0B73AB91" w14:textId="77777777" w:rsidR="005650E7" w:rsidRDefault="008208CF" w:rsidP="007E1C8A">
      <w:pPr>
        <w:pStyle w:val="ListParagraph"/>
        <w:numPr>
          <w:ilvl w:val="0"/>
          <w:numId w:val="18"/>
        </w:numPr>
        <w:jc w:val="both"/>
      </w:pPr>
      <w:r>
        <w:t xml:space="preserve">Stakeholder engagement is critical to developing a robust </w:t>
      </w:r>
      <w:r w:rsidR="005650E7">
        <w:t xml:space="preserve">IRMP, </w:t>
      </w:r>
      <w:r>
        <w:t xml:space="preserve">around which </w:t>
      </w:r>
      <w:r w:rsidR="005650E7">
        <w:t>future activity will be focussed. The National Framework also makes it clear that the plan should reflect consultation at all stages throughout its development. There is currently a need to focus stakeholder engagement on the development of the FR Plan. Once the strategic priorities within the FR Plan are clear the engagement with stak</w:t>
      </w:r>
      <w:r w:rsidR="00F07171">
        <w:t xml:space="preserve">eholders on the IRMP can begin, most likely in July 2018. </w:t>
      </w:r>
    </w:p>
    <w:p w14:paraId="6F899C6F" w14:textId="77777777" w:rsidR="008208CF" w:rsidRDefault="008208CF" w:rsidP="00F07171">
      <w:pPr>
        <w:pStyle w:val="ListParagraph"/>
        <w:ind w:left="360"/>
        <w:jc w:val="both"/>
      </w:pPr>
    </w:p>
    <w:p w14:paraId="0D434876" w14:textId="77777777" w:rsidR="00354AEA" w:rsidRPr="008208CF" w:rsidRDefault="00354AEA" w:rsidP="008208CF">
      <w:pPr>
        <w:pStyle w:val="ListParagraph"/>
        <w:numPr>
          <w:ilvl w:val="0"/>
          <w:numId w:val="18"/>
        </w:numPr>
        <w:jc w:val="both"/>
      </w:pPr>
      <w:r w:rsidRPr="008208CF">
        <w:t xml:space="preserve">Public consultation </w:t>
      </w:r>
      <w:r w:rsidR="00F07171">
        <w:t xml:space="preserve">will need to follow the published final FR Plan and, importantly the development </w:t>
      </w:r>
      <w:r w:rsidRPr="008208CF">
        <w:t xml:space="preserve">of </w:t>
      </w:r>
      <w:r w:rsidR="00F07171">
        <w:t xml:space="preserve">any resulting proposals for </w:t>
      </w:r>
      <w:r w:rsidRPr="008208CF">
        <w:t>change</w:t>
      </w:r>
      <w:r w:rsidRPr="007A6429">
        <w:t xml:space="preserve"> </w:t>
      </w:r>
      <w:r w:rsidR="00F07171">
        <w:t xml:space="preserve">which will impact upon the IRMP, most </w:t>
      </w:r>
      <w:r w:rsidRPr="007A6429">
        <w:t>likely April 2019</w:t>
      </w:r>
      <w:r w:rsidR="006A6333">
        <w:t>.</w:t>
      </w:r>
    </w:p>
    <w:p w14:paraId="693F8D56" w14:textId="77777777" w:rsidR="00354AEA" w:rsidRPr="00280618" w:rsidRDefault="00354AEA" w:rsidP="00354AEA">
      <w:pPr>
        <w:jc w:val="both"/>
      </w:pPr>
    </w:p>
    <w:p w14:paraId="461E1E78" w14:textId="77777777" w:rsidR="00D54631" w:rsidRDefault="00D54631" w:rsidP="00D54631">
      <w:pPr>
        <w:pStyle w:val="Heading1"/>
      </w:pPr>
      <w:r w:rsidRPr="002E1E94">
        <w:t>Benefits and Risk Implications</w:t>
      </w:r>
    </w:p>
    <w:p w14:paraId="0C83AF99" w14:textId="6AADD32A" w:rsidR="00D54631" w:rsidRDefault="00F92801" w:rsidP="00F92801">
      <w:pPr>
        <w:pStyle w:val="ListParagraph"/>
        <w:numPr>
          <w:ilvl w:val="0"/>
          <w:numId w:val="18"/>
        </w:numPr>
        <w:jc w:val="both"/>
      </w:pPr>
      <w:r w:rsidRPr="00F92801">
        <w:t xml:space="preserve">The </w:t>
      </w:r>
      <w:r w:rsidR="006A6333">
        <w:t>IRMP</w:t>
      </w:r>
      <w:r w:rsidRPr="00F92801">
        <w:t xml:space="preserve"> is of itself a way of managing community risks. These are identified in the Authority’s a </w:t>
      </w:r>
      <w:r w:rsidR="006A6333">
        <w:t>SAOR</w:t>
      </w:r>
      <w:r w:rsidRPr="00F92801">
        <w:t xml:space="preserve"> across Essex, Thurrock and Southend. </w:t>
      </w:r>
      <w:r w:rsidR="00D54631" w:rsidRPr="0091149C">
        <w:t xml:space="preserve">  </w:t>
      </w:r>
    </w:p>
    <w:p w14:paraId="32F4376E" w14:textId="77777777" w:rsidR="00F92801" w:rsidRPr="0091149C" w:rsidRDefault="00F92801" w:rsidP="00F92801">
      <w:pPr>
        <w:pStyle w:val="ListParagraph"/>
        <w:ind w:left="360"/>
        <w:jc w:val="both"/>
      </w:pPr>
    </w:p>
    <w:p w14:paraId="5DFF4F4D" w14:textId="77777777" w:rsidR="00960CC4" w:rsidRPr="00960CC4" w:rsidRDefault="00960CC4" w:rsidP="00960CC4">
      <w:pPr>
        <w:rPr>
          <w:b/>
        </w:rPr>
      </w:pPr>
      <w:r w:rsidRPr="00960CC4">
        <w:rPr>
          <w:b/>
        </w:rPr>
        <w:t xml:space="preserve">FINANCIAL IMPLICATIONS </w:t>
      </w:r>
    </w:p>
    <w:p w14:paraId="26921CBC" w14:textId="77777777" w:rsidR="00960CC4" w:rsidRDefault="00960CC4" w:rsidP="00960CC4"/>
    <w:p w14:paraId="4E651104" w14:textId="7A3B9C6F" w:rsidR="00F92801" w:rsidRDefault="00F92801" w:rsidP="00F92801">
      <w:pPr>
        <w:pStyle w:val="ListParagraph"/>
        <w:numPr>
          <w:ilvl w:val="0"/>
          <w:numId w:val="18"/>
        </w:numPr>
        <w:jc w:val="both"/>
      </w:pPr>
      <w:r>
        <w:t xml:space="preserve"> Based on previous experience the following are likely to be required to support the development of an IRMP to support the delivery of the strategic priorities: </w:t>
      </w:r>
    </w:p>
    <w:p w14:paraId="164AB38D" w14:textId="77777777" w:rsidR="00F92801" w:rsidRPr="009C7B21" w:rsidRDefault="00F92801" w:rsidP="00455A60">
      <w:pPr>
        <w:pStyle w:val="ListParagraph"/>
        <w:numPr>
          <w:ilvl w:val="1"/>
          <w:numId w:val="32"/>
        </w:numPr>
        <w:jc w:val="both"/>
      </w:pPr>
      <w:r w:rsidRPr="009C7B21">
        <w:t xml:space="preserve">Analytical support - assuming a similar level of activity to previous exercises a budget of £30k would be appropriate.  </w:t>
      </w:r>
    </w:p>
    <w:p w14:paraId="4AD6EDAE" w14:textId="298ADF81" w:rsidR="00F92801" w:rsidRPr="009C7B21" w:rsidRDefault="00F92801" w:rsidP="00455A60">
      <w:pPr>
        <w:pStyle w:val="ListParagraph"/>
        <w:numPr>
          <w:ilvl w:val="1"/>
          <w:numId w:val="32"/>
        </w:numPr>
        <w:jc w:val="both"/>
      </w:pPr>
      <w:r w:rsidRPr="009C7B21">
        <w:t>Opinion research – Experience in previous consultation suggests that there will be significant interest and response levels. Contracting quantitative and qualitative research and the analysis of consultation responses so a specialist provider would cost circa £30k.</w:t>
      </w:r>
    </w:p>
    <w:p w14:paraId="326914AA" w14:textId="77777777" w:rsidR="00F92801" w:rsidRPr="009C7B21" w:rsidRDefault="00F92801" w:rsidP="00455A60">
      <w:pPr>
        <w:pStyle w:val="ListParagraph"/>
        <w:numPr>
          <w:ilvl w:val="1"/>
          <w:numId w:val="32"/>
        </w:numPr>
        <w:jc w:val="both"/>
      </w:pPr>
      <w:r w:rsidRPr="009C7B21">
        <w:t>Consultation support and advice - The Service has developed significant expertise in undertaking consultations through the work of Programme 2020. Some level of advice and assurance would be beneficial in providing stakeholders with an increased level of confidence in the process. Support for a single consultation would likely cost £10k.</w:t>
      </w:r>
    </w:p>
    <w:p w14:paraId="044A792E" w14:textId="77777777" w:rsidR="00354AEA" w:rsidRPr="009C7B21" w:rsidRDefault="00F92801" w:rsidP="00455A60">
      <w:pPr>
        <w:pStyle w:val="ListParagraph"/>
        <w:numPr>
          <w:ilvl w:val="1"/>
          <w:numId w:val="32"/>
        </w:numPr>
        <w:jc w:val="both"/>
      </w:pPr>
      <w:r w:rsidRPr="009C7B21">
        <w:t>The Communications and Marketing function has capacity and capability to undertake a significant public consultation but would require an additional budget of circa £30k.</w:t>
      </w:r>
    </w:p>
    <w:p w14:paraId="38178EC3" w14:textId="77777777" w:rsidR="00960CC4" w:rsidRDefault="00960CC4" w:rsidP="00960CC4"/>
    <w:p w14:paraId="7ACC9964" w14:textId="77777777" w:rsidR="00960CC4" w:rsidRPr="00960CC4" w:rsidRDefault="00960CC4" w:rsidP="00960CC4">
      <w:pPr>
        <w:rPr>
          <w:b/>
        </w:rPr>
      </w:pPr>
      <w:r w:rsidRPr="00960CC4">
        <w:rPr>
          <w:b/>
        </w:rPr>
        <w:t xml:space="preserve">EQUALITY AND DIVERSITY IMPLICATIONS </w:t>
      </w:r>
    </w:p>
    <w:p w14:paraId="16258745" w14:textId="77777777" w:rsidR="00960CC4" w:rsidRDefault="00960CC4" w:rsidP="00960CC4"/>
    <w:p w14:paraId="4A7B405F" w14:textId="4FAD2B42" w:rsidR="004A0607" w:rsidRDefault="00960CC4" w:rsidP="004D2289">
      <w:pPr>
        <w:pStyle w:val="ListParagraph"/>
        <w:numPr>
          <w:ilvl w:val="0"/>
          <w:numId w:val="18"/>
        </w:numPr>
        <w:jc w:val="both"/>
      </w:pPr>
      <w:r>
        <w:t xml:space="preserve">None </w:t>
      </w:r>
      <w:r w:rsidR="00280618">
        <w:t>speci</w:t>
      </w:r>
      <w:r w:rsidR="00354AEA">
        <w:t>fic</w:t>
      </w:r>
      <w:r w:rsidR="00280618">
        <w:t xml:space="preserve">ally </w:t>
      </w:r>
      <w:r>
        <w:t>arising from this report</w:t>
      </w:r>
      <w:r w:rsidR="004A0607">
        <w:t xml:space="preserve"> however t</w:t>
      </w:r>
      <w:r w:rsidR="00466399">
        <w:t>he process underway which includes the development of the FR Plan and the IRMP</w:t>
      </w:r>
      <w:r w:rsidR="004A0607">
        <w:t xml:space="preserve"> will ensure activity is focussed on identifying and supporting the more vulnerable within Essex. </w:t>
      </w:r>
    </w:p>
    <w:p w14:paraId="2E944D61" w14:textId="77777777" w:rsidR="00960CC4" w:rsidRDefault="00960CC4" w:rsidP="004D2289">
      <w:pPr>
        <w:pStyle w:val="ListParagraph"/>
        <w:ind w:left="360"/>
        <w:jc w:val="both"/>
      </w:pPr>
    </w:p>
    <w:p w14:paraId="0A693B43" w14:textId="77777777" w:rsidR="00D54631" w:rsidRDefault="00960CC4" w:rsidP="00960CC4">
      <w:pPr>
        <w:rPr>
          <w:b/>
        </w:rPr>
      </w:pPr>
      <w:r w:rsidRPr="00960CC4">
        <w:rPr>
          <w:b/>
        </w:rPr>
        <w:t>WORKFORCE ENGAGEMENT</w:t>
      </w:r>
    </w:p>
    <w:p w14:paraId="02133596" w14:textId="77777777" w:rsidR="00960CC4" w:rsidRDefault="00960CC4" w:rsidP="00960CC4">
      <w:pPr>
        <w:rPr>
          <w:b/>
        </w:rPr>
      </w:pPr>
    </w:p>
    <w:p w14:paraId="35FB7078" w14:textId="77777777" w:rsidR="00960CC4" w:rsidRDefault="00280618" w:rsidP="001C7165">
      <w:pPr>
        <w:pStyle w:val="ListParagraph"/>
        <w:numPr>
          <w:ilvl w:val="0"/>
          <w:numId w:val="18"/>
        </w:numPr>
      </w:pPr>
      <w:r>
        <w:t xml:space="preserve">The National Framework sets out that the production of an IRMP reflect consultation with the workforce and representative bodies. </w:t>
      </w:r>
    </w:p>
    <w:p w14:paraId="0A166F2F" w14:textId="77777777" w:rsidR="00280618" w:rsidRDefault="00280618" w:rsidP="00280618">
      <w:pPr>
        <w:pStyle w:val="ListParagraph"/>
        <w:ind w:left="360"/>
      </w:pPr>
    </w:p>
    <w:p w14:paraId="19B42269" w14:textId="26B4305C" w:rsidR="00280618" w:rsidRPr="00917B8F" w:rsidRDefault="00917B8F" w:rsidP="00917B8F">
      <w:pPr>
        <w:pStyle w:val="ListParagraph"/>
        <w:numPr>
          <w:ilvl w:val="0"/>
          <w:numId w:val="18"/>
        </w:numPr>
        <w:jc w:val="both"/>
      </w:pPr>
      <w:r w:rsidRPr="00917B8F">
        <w:t xml:space="preserve">Workforce engagement is currently focussed on the development of the </w:t>
      </w:r>
      <w:r w:rsidR="00466399">
        <w:t>FR</w:t>
      </w:r>
      <w:r w:rsidRPr="00917B8F">
        <w:t xml:space="preserve"> Plan. Th</w:t>
      </w:r>
      <w:r>
        <w:t>is is helpful as it is begins a dialogue about the future of the Service which can continue and become more detailed with the development of the IRMP.</w:t>
      </w:r>
    </w:p>
    <w:p w14:paraId="2E98E2CC" w14:textId="77777777" w:rsidR="00960CC4" w:rsidRDefault="00960CC4" w:rsidP="00960CC4">
      <w:pPr>
        <w:rPr>
          <w:b/>
        </w:rPr>
      </w:pPr>
    </w:p>
    <w:p w14:paraId="3A417EFB" w14:textId="77777777" w:rsidR="00960CC4" w:rsidRDefault="00960CC4" w:rsidP="00960CC4">
      <w:pPr>
        <w:rPr>
          <w:b/>
        </w:rPr>
      </w:pPr>
      <w:r w:rsidRPr="00960CC4">
        <w:rPr>
          <w:b/>
        </w:rPr>
        <w:t>LEGAL IMPLICATIONS</w:t>
      </w:r>
    </w:p>
    <w:p w14:paraId="7DB138F9" w14:textId="77777777" w:rsidR="00960CC4" w:rsidRDefault="00960CC4" w:rsidP="00960CC4">
      <w:pPr>
        <w:rPr>
          <w:b/>
        </w:rPr>
      </w:pPr>
    </w:p>
    <w:p w14:paraId="12E3A7D7" w14:textId="69B00639" w:rsidR="001C7165" w:rsidRPr="001C7165" w:rsidRDefault="001C7165" w:rsidP="001C7165">
      <w:pPr>
        <w:pStyle w:val="ListParagraph"/>
        <w:numPr>
          <w:ilvl w:val="0"/>
          <w:numId w:val="18"/>
        </w:numPr>
      </w:pPr>
      <w:r>
        <w:t xml:space="preserve">The Fire and Rescue Framework for England (May 2018) states that each </w:t>
      </w:r>
      <w:r w:rsidR="00917B8F">
        <w:t>fire</w:t>
      </w:r>
      <w:r>
        <w:t xml:space="preserve"> and rescue authority must produce an </w:t>
      </w:r>
      <w:r w:rsidR="006A6333">
        <w:t>IRMP</w:t>
      </w:r>
      <w:r>
        <w:t xml:space="preserve">. </w:t>
      </w:r>
      <w:r w:rsidRPr="001C7165">
        <w:t xml:space="preserve">Each plan must: </w:t>
      </w:r>
    </w:p>
    <w:p w14:paraId="42AA8E7D" w14:textId="77777777" w:rsidR="001C7165" w:rsidRPr="001C7165" w:rsidRDefault="001C7165" w:rsidP="001C7165">
      <w:pPr>
        <w:rPr>
          <w:color w:val="000000"/>
          <w:sz w:val="23"/>
          <w:szCs w:val="23"/>
          <w:lang w:eastAsia="en-GB"/>
        </w:rPr>
      </w:pPr>
    </w:p>
    <w:p w14:paraId="242931C5"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reflect up to date risk analyses including an assessment of all foreseeable fire and rescue related risks that could affect the area of the authority; </w:t>
      </w:r>
    </w:p>
    <w:p w14:paraId="5B671CAB"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demonstrate how prevention, protection and response activities will best be used to prevent fires and other incidents and mitigate the impact of identified risks on its communities, through authorities working either individually or collectively, in a way that makes best use of available resources; </w:t>
      </w:r>
    </w:p>
    <w:p w14:paraId="1DC3BE9D"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outline required service delivery outcomes including the allocation of resources for the mitigation of risks; </w:t>
      </w:r>
    </w:p>
    <w:p w14:paraId="7974557D"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set out its management strategy and risk-based programme for enforcing the provisions of the Regulatory Reform (Fire Safety) Order 2005 in accordance with the principles of better regulation set out in the Statutory Code of Compliance for Regulators, and the Enforcement Concordat; </w:t>
      </w:r>
    </w:p>
    <w:p w14:paraId="7F008F0C"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cover at least a three-year time span and be reviewed and revised as often as it is necessary to ensure that the authority is able to deliver the requirements set out in this Framework; </w:t>
      </w:r>
    </w:p>
    <w:p w14:paraId="537CBC44" w14:textId="77777777" w:rsidR="001C7165" w:rsidRPr="001C7165" w:rsidRDefault="001C7165" w:rsidP="001C7165">
      <w:pPr>
        <w:pStyle w:val="ListParagraph"/>
        <w:numPr>
          <w:ilvl w:val="0"/>
          <w:numId w:val="26"/>
        </w:numPr>
        <w:autoSpaceDE w:val="0"/>
        <w:autoSpaceDN w:val="0"/>
        <w:adjustRightInd w:val="0"/>
        <w:spacing w:after="37"/>
        <w:rPr>
          <w:color w:val="000000"/>
          <w:lang w:eastAsia="en-GB"/>
        </w:rPr>
      </w:pPr>
      <w:r w:rsidRPr="001C7165">
        <w:rPr>
          <w:color w:val="000000"/>
          <w:lang w:eastAsia="en-GB"/>
        </w:rPr>
        <w:t xml:space="preserve">reflect effective consultation throughout its development and at all review stages with the community, its workforce and representative bodies and partners; and </w:t>
      </w:r>
    </w:p>
    <w:p w14:paraId="734F4EBF" w14:textId="096D2A82" w:rsidR="001C7165" w:rsidRPr="001C7165" w:rsidRDefault="001C7165" w:rsidP="001C7165">
      <w:pPr>
        <w:pStyle w:val="ListParagraph"/>
        <w:numPr>
          <w:ilvl w:val="0"/>
          <w:numId w:val="26"/>
        </w:numPr>
        <w:autoSpaceDE w:val="0"/>
        <w:autoSpaceDN w:val="0"/>
        <w:adjustRightInd w:val="0"/>
        <w:rPr>
          <w:color w:val="000000"/>
          <w:lang w:eastAsia="en-GB"/>
        </w:rPr>
      </w:pPr>
      <w:r w:rsidRPr="001C7165">
        <w:rPr>
          <w:color w:val="000000"/>
          <w:lang w:eastAsia="en-GB"/>
        </w:rPr>
        <w:t xml:space="preserve">be easily accessible and available. </w:t>
      </w:r>
    </w:p>
    <w:p w14:paraId="448CF19E" w14:textId="77777777" w:rsidR="00960CC4" w:rsidRPr="001C7165" w:rsidRDefault="00960CC4" w:rsidP="00960CC4">
      <w:r w:rsidRPr="001C7165">
        <w:t xml:space="preserve">  </w:t>
      </w:r>
    </w:p>
    <w:p w14:paraId="6E1E1A87" w14:textId="3C0470A1" w:rsidR="001C7165" w:rsidRDefault="001C7165" w:rsidP="001C7165">
      <w:pPr>
        <w:pStyle w:val="ListParagraph"/>
        <w:numPr>
          <w:ilvl w:val="0"/>
          <w:numId w:val="18"/>
        </w:numPr>
      </w:pPr>
      <w:r w:rsidRPr="001C7165">
        <w:t xml:space="preserve">A police, fire and crime commissioner (PFCC) must additionally produce a fire and rescue plan. The Government’s expectation is that this plan should inform the </w:t>
      </w:r>
      <w:r w:rsidR="006A6333">
        <w:t>IRMP</w:t>
      </w:r>
      <w:r w:rsidRPr="001C7165">
        <w:t xml:space="preserve"> which should in turn outline how the PFCC’s priorities will be met.</w:t>
      </w:r>
    </w:p>
    <w:p w14:paraId="13ECAEF9" w14:textId="77777777" w:rsidR="001C7165" w:rsidRPr="001C7165" w:rsidRDefault="001C7165" w:rsidP="001C7165">
      <w:pPr>
        <w:pStyle w:val="ListParagraph"/>
        <w:autoSpaceDE w:val="0"/>
        <w:autoSpaceDN w:val="0"/>
        <w:adjustRightInd w:val="0"/>
        <w:ind w:left="360"/>
        <w:rPr>
          <w:color w:val="000000"/>
          <w:lang w:eastAsia="en-GB"/>
        </w:rPr>
      </w:pPr>
    </w:p>
    <w:p w14:paraId="7A0138BB" w14:textId="11619B32" w:rsidR="001C7165" w:rsidRPr="001C7165" w:rsidRDefault="001C7165" w:rsidP="001C7165">
      <w:pPr>
        <w:pStyle w:val="ListParagraph"/>
        <w:numPr>
          <w:ilvl w:val="0"/>
          <w:numId w:val="18"/>
        </w:numPr>
      </w:pPr>
      <w:r w:rsidRPr="001C7165">
        <w:t xml:space="preserve">The function of preparing and issuing the </w:t>
      </w:r>
      <w:r w:rsidR="006A6333">
        <w:t>IRMP</w:t>
      </w:r>
      <w:r w:rsidRPr="001C7165">
        <w:t xml:space="preserve"> may be delegated to the Chief Fire Officer however, the plan must be approved by the PFCC as the fire and rescue authority. </w:t>
      </w:r>
    </w:p>
    <w:p w14:paraId="1BEA5991" w14:textId="77777777" w:rsidR="001C7165" w:rsidRPr="001C7165" w:rsidRDefault="001C7165" w:rsidP="00076529"/>
    <w:p w14:paraId="087ADE6E" w14:textId="77777777" w:rsidR="00960CC4" w:rsidRPr="00960CC4" w:rsidRDefault="00960CC4" w:rsidP="00960CC4">
      <w:pPr>
        <w:rPr>
          <w:b/>
        </w:rPr>
      </w:pPr>
    </w:p>
    <w:sectPr w:rsidR="00960CC4" w:rsidRPr="00960CC4" w:rsidSect="003E07AB">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068D" w14:textId="77777777" w:rsidR="00DD59D6" w:rsidRDefault="00DD59D6">
      <w:r>
        <w:separator/>
      </w:r>
    </w:p>
  </w:endnote>
  <w:endnote w:type="continuationSeparator" w:id="0">
    <w:p w14:paraId="349DECE5" w14:textId="77777777" w:rsidR="00DD59D6" w:rsidRDefault="00DD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D387" w14:textId="77777777" w:rsidR="00A8212D" w:rsidRDefault="00A8212D" w:rsidP="00A8212D">
    <w:pPr>
      <w:pStyle w:val="Footer"/>
      <w:jc w:val="center"/>
      <w:rPr>
        <w:sz w:val="22"/>
        <w:szCs w:val="22"/>
      </w:rPr>
    </w:pPr>
  </w:p>
  <w:p w14:paraId="6E98DC8C" w14:textId="63941AD0"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B5A97">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B5A97">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AF23" w14:textId="77777777" w:rsidR="00C0492F" w:rsidRDefault="00C0492F" w:rsidP="00AA60E6">
    <w:pPr>
      <w:pStyle w:val="Footer"/>
      <w:jc w:val="center"/>
      <w:rPr>
        <w:sz w:val="22"/>
        <w:szCs w:val="22"/>
      </w:rPr>
    </w:pPr>
  </w:p>
  <w:p w14:paraId="5240B1D9" w14:textId="6A89933D"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C21E3">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C21E3">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2AA1" w14:textId="0B873700"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B5A97">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B5A97">
      <w:rPr>
        <w:noProof/>
        <w:sz w:val="22"/>
        <w:szCs w:val="22"/>
      </w:rPr>
      <w:t>4</w:t>
    </w:r>
    <w:r w:rsidRPr="00AA60E6">
      <w:rPr>
        <w:sz w:val="22"/>
        <w:szCs w:val="22"/>
      </w:rPr>
      <w:fldChar w:fldCharType="end"/>
    </w:r>
  </w:p>
  <w:p w14:paraId="6B49039B"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7C7D" w14:textId="77777777" w:rsidR="00DD59D6" w:rsidRDefault="00DD59D6">
      <w:r>
        <w:separator/>
      </w:r>
    </w:p>
  </w:footnote>
  <w:footnote w:type="continuationSeparator" w:id="0">
    <w:p w14:paraId="70548FFE" w14:textId="77777777" w:rsidR="00DD59D6" w:rsidRDefault="00DD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2398" w14:textId="77777777" w:rsidR="00282A5A" w:rsidRDefault="0028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70D" w14:textId="77777777" w:rsidR="00C0492F" w:rsidRPr="00A8212D" w:rsidRDefault="00C0492F" w:rsidP="00A82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D42F" w14:textId="77777777" w:rsidR="00282A5A" w:rsidRDefault="0028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16BBA"/>
    <w:multiLevelType w:val="hybridMultilevel"/>
    <w:tmpl w:val="3A48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CD0065"/>
    <w:multiLevelType w:val="hybridMultilevel"/>
    <w:tmpl w:val="A680F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465EAB"/>
    <w:multiLevelType w:val="hybridMultilevel"/>
    <w:tmpl w:val="4216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864ED"/>
    <w:multiLevelType w:val="hybridMultilevel"/>
    <w:tmpl w:val="8654B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C520A7"/>
    <w:multiLevelType w:val="multilevel"/>
    <w:tmpl w:val="9BA695E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26CAA"/>
    <w:multiLevelType w:val="hybridMultilevel"/>
    <w:tmpl w:val="1A5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2111A"/>
    <w:multiLevelType w:val="multilevel"/>
    <w:tmpl w:val="C7C8F1B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294D54"/>
    <w:multiLevelType w:val="hybridMultilevel"/>
    <w:tmpl w:val="A8AE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0"/>
  </w:num>
  <w:num w:numId="5">
    <w:abstractNumId w:val="22"/>
  </w:num>
  <w:num w:numId="6">
    <w:abstractNumId w:val="9"/>
  </w:num>
  <w:num w:numId="7">
    <w:abstractNumId w:val="5"/>
  </w:num>
  <w:num w:numId="8">
    <w:abstractNumId w:val="2"/>
  </w:num>
  <w:num w:numId="9">
    <w:abstractNumId w:val="14"/>
  </w:num>
  <w:num w:numId="10">
    <w:abstractNumId w:val="14"/>
  </w:num>
  <w:num w:numId="11">
    <w:abstractNumId w:val="15"/>
  </w:num>
  <w:num w:numId="12">
    <w:abstractNumId w:val="20"/>
  </w:num>
  <w:num w:numId="13">
    <w:abstractNumId w:val="18"/>
  </w:num>
  <w:num w:numId="14">
    <w:abstractNumId w:val="21"/>
  </w:num>
  <w:num w:numId="15">
    <w:abstractNumId w:val="3"/>
  </w:num>
  <w:num w:numId="16">
    <w:abstractNumId w:val="12"/>
  </w:num>
  <w:num w:numId="17">
    <w:abstractNumId w:val="27"/>
  </w:num>
  <w:num w:numId="18">
    <w:abstractNumId w:val="23"/>
  </w:num>
  <w:num w:numId="19">
    <w:abstractNumId w:val="11"/>
  </w:num>
  <w:num w:numId="20">
    <w:abstractNumId w:val="17"/>
  </w:num>
  <w:num w:numId="21">
    <w:abstractNumId w:val="6"/>
  </w:num>
  <w:num w:numId="22">
    <w:abstractNumId w:val="25"/>
  </w:num>
  <w:num w:numId="23">
    <w:abstractNumId w:val="2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num>
  <w:num w:numId="28">
    <w:abstractNumId w:val="1"/>
  </w:num>
  <w:num w:numId="29">
    <w:abstractNumId w:val="13"/>
  </w:num>
  <w:num w:numId="30">
    <w:abstractNumId w:val="8"/>
  </w:num>
  <w:num w:numId="31">
    <w:abstractNumId w:val="26"/>
  </w:num>
  <w:num w:numId="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0D5"/>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4FFB"/>
    <w:rsid w:val="00076529"/>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B1A"/>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2F72"/>
    <w:rsid w:val="00175029"/>
    <w:rsid w:val="0017517B"/>
    <w:rsid w:val="00176705"/>
    <w:rsid w:val="00181604"/>
    <w:rsid w:val="00181851"/>
    <w:rsid w:val="0018191C"/>
    <w:rsid w:val="0018427B"/>
    <w:rsid w:val="001846AE"/>
    <w:rsid w:val="00185EDC"/>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0F2F"/>
    <w:rsid w:val="001B2635"/>
    <w:rsid w:val="001B2E8F"/>
    <w:rsid w:val="001B4A01"/>
    <w:rsid w:val="001B4C05"/>
    <w:rsid w:val="001B7629"/>
    <w:rsid w:val="001C2A15"/>
    <w:rsid w:val="001C38A3"/>
    <w:rsid w:val="001C474C"/>
    <w:rsid w:val="001C5581"/>
    <w:rsid w:val="001C5E31"/>
    <w:rsid w:val="001C5FD5"/>
    <w:rsid w:val="001C6A87"/>
    <w:rsid w:val="001C7165"/>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3F5"/>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8"/>
    <w:rsid w:val="0028061A"/>
    <w:rsid w:val="00280A2B"/>
    <w:rsid w:val="00280D92"/>
    <w:rsid w:val="00280DCB"/>
    <w:rsid w:val="00281A3E"/>
    <w:rsid w:val="00281EF4"/>
    <w:rsid w:val="00282A5A"/>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9A8"/>
    <w:rsid w:val="00321BED"/>
    <w:rsid w:val="00322997"/>
    <w:rsid w:val="00322E3E"/>
    <w:rsid w:val="003242F3"/>
    <w:rsid w:val="00324549"/>
    <w:rsid w:val="003247B7"/>
    <w:rsid w:val="003247D0"/>
    <w:rsid w:val="00325339"/>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AEA"/>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8306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2B6"/>
    <w:rsid w:val="003D3327"/>
    <w:rsid w:val="003D3504"/>
    <w:rsid w:val="003D5E8A"/>
    <w:rsid w:val="003E0237"/>
    <w:rsid w:val="003E07AB"/>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5A60"/>
    <w:rsid w:val="004576F0"/>
    <w:rsid w:val="00457FF3"/>
    <w:rsid w:val="00460210"/>
    <w:rsid w:val="00463C77"/>
    <w:rsid w:val="00464B78"/>
    <w:rsid w:val="00464C3C"/>
    <w:rsid w:val="00465BBB"/>
    <w:rsid w:val="00466399"/>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38AF"/>
    <w:rsid w:val="004944C6"/>
    <w:rsid w:val="00495F79"/>
    <w:rsid w:val="00496384"/>
    <w:rsid w:val="00496C27"/>
    <w:rsid w:val="00497525"/>
    <w:rsid w:val="004A0607"/>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289"/>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2DAA"/>
    <w:rsid w:val="004F3663"/>
    <w:rsid w:val="004F3A47"/>
    <w:rsid w:val="004F550C"/>
    <w:rsid w:val="004F7179"/>
    <w:rsid w:val="00500754"/>
    <w:rsid w:val="00502356"/>
    <w:rsid w:val="0050277E"/>
    <w:rsid w:val="00502ADB"/>
    <w:rsid w:val="00503D85"/>
    <w:rsid w:val="005042EA"/>
    <w:rsid w:val="00505420"/>
    <w:rsid w:val="005063F1"/>
    <w:rsid w:val="0050677A"/>
    <w:rsid w:val="005103A0"/>
    <w:rsid w:val="00510C59"/>
    <w:rsid w:val="00511043"/>
    <w:rsid w:val="00511D2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50E7"/>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97C7E"/>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1E3"/>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108A"/>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6333"/>
    <w:rsid w:val="006A7058"/>
    <w:rsid w:val="006A7F0D"/>
    <w:rsid w:val="006B0A82"/>
    <w:rsid w:val="006B0C26"/>
    <w:rsid w:val="006B2378"/>
    <w:rsid w:val="006B27CC"/>
    <w:rsid w:val="006B2D2F"/>
    <w:rsid w:val="006B2F88"/>
    <w:rsid w:val="006B328C"/>
    <w:rsid w:val="006B41B0"/>
    <w:rsid w:val="006B4381"/>
    <w:rsid w:val="006B4E92"/>
    <w:rsid w:val="006B5ACC"/>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47EE"/>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4CE3"/>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000"/>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0B47"/>
    <w:rsid w:val="007A41CD"/>
    <w:rsid w:val="007A49E0"/>
    <w:rsid w:val="007A5ECC"/>
    <w:rsid w:val="007A602E"/>
    <w:rsid w:val="007A6429"/>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23D"/>
    <w:rsid w:val="008124C0"/>
    <w:rsid w:val="00815866"/>
    <w:rsid w:val="00815C39"/>
    <w:rsid w:val="00815FD5"/>
    <w:rsid w:val="008208CF"/>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092"/>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5A97"/>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0F1"/>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149C"/>
    <w:rsid w:val="00912B69"/>
    <w:rsid w:val="00915416"/>
    <w:rsid w:val="0091584A"/>
    <w:rsid w:val="009164AC"/>
    <w:rsid w:val="00916E87"/>
    <w:rsid w:val="00917B8F"/>
    <w:rsid w:val="00921C55"/>
    <w:rsid w:val="00921D85"/>
    <w:rsid w:val="00923C0A"/>
    <w:rsid w:val="00923EFB"/>
    <w:rsid w:val="00924146"/>
    <w:rsid w:val="00927693"/>
    <w:rsid w:val="00927A9D"/>
    <w:rsid w:val="00927FD4"/>
    <w:rsid w:val="00931CFF"/>
    <w:rsid w:val="00932949"/>
    <w:rsid w:val="00933D7D"/>
    <w:rsid w:val="009374F0"/>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0CC4"/>
    <w:rsid w:val="0096118B"/>
    <w:rsid w:val="00961F27"/>
    <w:rsid w:val="00961FF4"/>
    <w:rsid w:val="009626BB"/>
    <w:rsid w:val="0096286A"/>
    <w:rsid w:val="00965569"/>
    <w:rsid w:val="009704BD"/>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C7B21"/>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65329"/>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0E7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35C"/>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3D27"/>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7EB"/>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B6F06"/>
    <w:rsid w:val="00CC0109"/>
    <w:rsid w:val="00CC03B8"/>
    <w:rsid w:val="00CC12AE"/>
    <w:rsid w:val="00CC312A"/>
    <w:rsid w:val="00CC4CB3"/>
    <w:rsid w:val="00CC5ABA"/>
    <w:rsid w:val="00CC6373"/>
    <w:rsid w:val="00CD0041"/>
    <w:rsid w:val="00CD07C2"/>
    <w:rsid w:val="00CD09D7"/>
    <w:rsid w:val="00CD1C47"/>
    <w:rsid w:val="00CD2864"/>
    <w:rsid w:val="00CD3208"/>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1CF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47A1B"/>
    <w:rsid w:val="00D518EC"/>
    <w:rsid w:val="00D528B8"/>
    <w:rsid w:val="00D54008"/>
    <w:rsid w:val="00D542EC"/>
    <w:rsid w:val="00D54631"/>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9D6"/>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0A13"/>
    <w:rsid w:val="00E8111B"/>
    <w:rsid w:val="00E817C8"/>
    <w:rsid w:val="00E81E86"/>
    <w:rsid w:val="00E83F6A"/>
    <w:rsid w:val="00E8448E"/>
    <w:rsid w:val="00E85B54"/>
    <w:rsid w:val="00E862C6"/>
    <w:rsid w:val="00E875A1"/>
    <w:rsid w:val="00E87734"/>
    <w:rsid w:val="00E900E0"/>
    <w:rsid w:val="00E90174"/>
    <w:rsid w:val="00E9028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A6C"/>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171"/>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303"/>
    <w:rsid w:val="00F8140B"/>
    <w:rsid w:val="00F81F3D"/>
    <w:rsid w:val="00F8234E"/>
    <w:rsid w:val="00F83450"/>
    <w:rsid w:val="00F83CB6"/>
    <w:rsid w:val="00F84A40"/>
    <w:rsid w:val="00F85995"/>
    <w:rsid w:val="00F85E39"/>
    <w:rsid w:val="00F86A20"/>
    <w:rsid w:val="00F86C5A"/>
    <w:rsid w:val="00F87485"/>
    <w:rsid w:val="00F90B3E"/>
    <w:rsid w:val="00F916A3"/>
    <w:rsid w:val="00F92801"/>
    <w:rsid w:val="00F943FB"/>
    <w:rsid w:val="00F966B7"/>
    <w:rsid w:val="00FA0BA1"/>
    <w:rsid w:val="00FA152D"/>
    <w:rsid w:val="00FA4E4E"/>
    <w:rsid w:val="00FA50D9"/>
    <w:rsid w:val="00FA5772"/>
    <w:rsid w:val="00FA5D7D"/>
    <w:rsid w:val="00FA61F8"/>
    <w:rsid w:val="00FA650E"/>
    <w:rsid w:val="00FA72E5"/>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C9C2B2"/>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rsid w:val="00074FFB"/>
    <w:rPr>
      <w:sz w:val="16"/>
      <w:szCs w:val="16"/>
    </w:rPr>
  </w:style>
  <w:style w:type="paragraph" w:styleId="CommentText">
    <w:name w:val="annotation text"/>
    <w:basedOn w:val="Normal"/>
    <w:link w:val="CommentTextChar"/>
    <w:rsid w:val="00074FFB"/>
    <w:rPr>
      <w:sz w:val="20"/>
      <w:szCs w:val="20"/>
    </w:rPr>
  </w:style>
  <w:style w:type="character" w:customStyle="1" w:styleId="CommentTextChar">
    <w:name w:val="Comment Text Char"/>
    <w:basedOn w:val="DefaultParagraphFont"/>
    <w:link w:val="CommentText"/>
    <w:rsid w:val="00074FFB"/>
    <w:rPr>
      <w:rFonts w:ascii="Arial" w:hAnsi="Arial" w:cs="Arial"/>
      <w:lang w:eastAsia="en-US"/>
    </w:rPr>
  </w:style>
  <w:style w:type="paragraph" w:styleId="CommentSubject">
    <w:name w:val="annotation subject"/>
    <w:basedOn w:val="CommentText"/>
    <w:next w:val="CommentText"/>
    <w:link w:val="CommentSubjectChar"/>
    <w:rsid w:val="00074FFB"/>
    <w:rPr>
      <w:b/>
      <w:bCs/>
    </w:rPr>
  </w:style>
  <w:style w:type="character" w:customStyle="1" w:styleId="CommentSubjectChar">
    <w:name w:val="Comment Subject Char"/>
    <w:basedOn w:val="CommentTextChar"/>
    <w:link w:val="CommentSubject"/>
    <w:rsid w:val="00074FF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1627">
      <w:bodyDiv w:val="1"/>
      <w:marLeft w:val="0"/>
      <w:marRight w:val="0"/>
      <w:marTop w:val="0"/>
      <w:marBottom w:val="0"/>
      <w:divBdr>
        <w:top w:val="none" w:sz="0" w:space="0" w:color="auto"/>
        <w:left w:val="none" w:sz="0" w:space="0" w:color="auto"/>
        <w:bottom w:val="none" w:sz="0" w:space="0" w:color="auto"/>
        <w:right w:val="none" w:sz="0" w:space="0" w:color="auto"/>
      </w:divBdr>
    </w:div>
    <w:div w:id="227691402">
      <w:bodyDiv w:val="1"/>
      <w:marLeft w:val="0"/>
      <w:marRight w:val="0"/>
      <w:marTop w:val="0"/>
      <w:marBottom w:val="0"/>
      <w:divBdr>
        <w:top w:val="none" w:sz="0" w:space="0" w:color="auto"/>
        <w:left w:val="none" w:sz="0" w:space="0" w:color="auto"/>
        <w:bottom w:val="none" w:sz="0" w:space="0" w:color="auto"/>
        <w:right w:val="none" w:sz="0" w:space="0" w:color="auto"/>
      </w:divBdr>
    </w:div>
    <w:div w:id="262691223">
      <w:bodyDiv w:val="1"/>
      <w:marLeft w:val="0"/>
      <w:marRight w:val="0"/>
      <w:marTop w:val="0"/>
      <w:marBottom w:val="0"/>
      <w:divBdr>
        <w:top w:val="none" w:sz="0" w:space="0" w:color="auto"/>
        <w:left w:val="none" w:sz="0" w:space="0" w:color="auto"/>
        <w:bottom w:val="none" w:sz="0" w:space="0" w:color="auto"/>
        <w:right w:val="none" w:sz="0" w:space="0" w:color="auto"/>
      </w:divBdr>
    </w:div>
    <w:div w:id="578757580">
      <w:bodyDiv w:val="1"/>
      <w:marLeft w:val="0"/>
      <w:marRight w:val="0"/>
      <w:marTop w:val="0"/>
      <w:marBottom w:val="0"/>
      <w:divBdr>
        <w:top w:val="none" w:sz="0" w:space="0" w:color="auto"/>
        <w:left w:val="none" w:sz="0" w:space="0" w:color="auto"/>
        <w:bottom w:val="none" w:sz="0" w:space="0" w:color="auto"/>
        <w:right w:val="none" w:sz="0" w:space="0" w:color="auto"/>
      </w:divBdr>
    </w:div>
    <w:div w:id="686520727">
      <w:bodyDiv w:val="1"/>
      <w:marLeft w:val="0"/>
      <w:marRight w:val="0"/>
      <w:marTop w:val="0"/>
      <w:marBottom w:val="0"/>
      <w:divBdr>
        <w:top w:val="none" w:sz="0" w:space="0" w:color="auto"/>
        <w:left w:val="none" w:sz="0" w:space="0" w:color="auto"/>
        <w:bottom w:val="none" w:sz="0" w:space="0" w:color="auto"/>
        <w:right w:val="none" w:sz="0" w:space="0" w:color="auto"/>
      </w:divBdr>
    </w:div>
    <w:div w:id="727531188">
      <w:bodyDiv w:val="1"/>
      <w:marLeft w:val="0"/>
      <w:marRight w:val="0"/>
      <w:marTop w:val="0"/>
      <w:marBottom w:val="0"/>
      <w:divBdr>
        <w:top w:val="none" w:sz="0" w:space="0" w:color="auto"/>
        <w:left w:val="none" w:sz="0" w:space="0" w:color="auto"/>
        <w:bottom w:val="none" w:sz="0" w:space="0" w:color="auto"/>
        <w:right w:val="none" w:sz="0" w:space="0" w:color="auto"/>
      </w:divBdr>
    </w:div>
    <w:div w:id="854155289">
      <w:bodyDiv w:val="1"/>
      <w:marLeft w:val="0"/>
      <w:marRight w:val="0"/>
      <w:marTop w:val="0"/>
      <w:marBottom w:val="0"/>
      <w:divBdr>
        <w:top w:val="none" w:sz="0" w:space="0" w:color="auto"/>
        <w:left w:val="none" w:sz="0" w:space="0" w:color="auto"/>
        <w:bottom w:val="none" w:sz="0" w:space="0" w:color="auto"/>
        <w:right w:val="none" w:sz="0" w:space="0" w:color="auto"/>
      </w:divBdr>
    </w:div>
    <w:div w:id="940529434">
      <w:bodyDiv w:val="1"/>
      <w:marLeft w:val="0"/>
      <w:marRight w:val="0"/>
      <w:marTop w:val="0"/>
      <w:marBottom w:val="0"/>
      <w:divBdr>
        <w:top w:val="none" w:sz="0" w:space="0" w:color="auto"/>
        <w:left w:val="none" w:sz="0" w:space="0" w:color="auto"/>
        <w:bottom w:val="none" w:sz="0" w:space="0" w:color="auto"/>
        <w:right w:val="none" w:sz="0" w:space="0" w:color="auto"/>
      </w:divBdr>
    </w:div>
    <w:div w:id="1402753158">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25037500">
      <w:bodyDiv w:val="1"/>
      <w:marLeft w:val="0"/>
      <w:marRight w:val="0"/>
      <w:marTop w:val="0"/>
      <w:marBottom w:val="0"/>
      <w:divBdr>
        <w:top w:val="none" w:sz="0" w:space="0" w:color="auto"/>
        <w:left w:val="none" w:sz="0" w:space="0" w:color="auto"/>
        <w:bottom w:val="none" w:sz="0" w:space="0" w:color="auto"/>
        <w:right w:val="none" w:sz="0" w:space="0" w:color="auto"/>
      </w:divBdr>
    </w:div>
    <w:div w:id="1774205376">
      <w:bodyDiv w:val="1"/>
      <w:marLeft w:val="0"/>
      <w:marRight w:val="0"/>
      <w:marTop w:val="0"/>
      <w:marBottom w:val="0"/>
      <w:divBdr>
        <w:top w:val="none" w:sz="0" w:space="0" w:color="auto"/>
        <w:left w:val="none" w:sz="0" w:space="0" w:color="auto"/>
        <w:bottom w:val="none" w:sz="0" w:space="0" w:color="auto"/>
        <w:right w:val="none" w:sz="0" w:space="0" w:color="auto"/>
      </w:divBdr>
    </w:div>
    <w:div w:id="1987280121">
      <w:bodyDiv w:val="1"/>
      <w:marLeft w:val="0"/>
      <w:marRight w:val="0"/>
      <w:marTop w:val="0"/>
      <w:marBottom w:val="0"/>
      <w:divBdr>
        <w:top w:val="none" w:sz="0" w:space="0" w:color="auto"/>
        <w:left w:val="none" w:sz="0" w:space="0" w:color="auto"/>
        <w:bottom w:val="none" w:sz="0" w:space="0" w:color="auto"/>
        <w:right w:val="none" w:sz="0" w:space="0" w:color="auto"/>
      </w:divBdr>
    </w:div>
    <w:div w:id="2146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364B-03FD-4FD0-91F3-50299B44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Anthony Maude 42078422</cp:lastModifiedBy>
  <cp:revision>3</cp:revision>
  <cp:lastPrinted>2018-05-22T13:35:00Z</cp:lastPrinted>
  <dcterms:created xsi:type="dcterms:W3CDTF">2018-05-24T09:39:00Z</dcterms:created>
  <dcterms:modified xsi:type="dcterms:W3CDTF">2018-05-24T09:40:00Z</dcterms:modified>
</cp:coreProperties>
</file>