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3831EE" w:rsidP="009E572F">
            <w:pPr>
              <w:spacing w:before="120" w:after="120"/>
              <w:rPr>
                <w:rFonts w:cs="Times New Roman"/>
                <w:b/>
                <w:szCs w:val="20"/>
              </w:rPr>
            </w:pPr>
            <w:r>
              <w:rPr>
                <w:rFonts w:cs="Times New Roman"/>
                <w:b/>
                <w:szCs w:val="20"/>
              </w:rPr>
              <w:t>Performance &amp; Resources Board</w:t>
            </w:r>
            <w:r w:rsidR="00C9346B">
              <w:rPr>
                <w:rFonts w:cs="Times New Roman"/>
                <w:b/>
                <w:szCs w:val="20"/>
              </w:rPr>
              <w:t xml:space="preserve"> </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6E5A1B" w:rsidP="00C9346B">
            <w:pPr>
              <w:spacing w:before="120" w:after="120"/>
              <w:jc w:val="center"/>
              <w:rPr>
                <w:rFonts w:cs="Times New Roman"/>
                <w:sz w:val="32"/>
                <w:szCs w:val="32"/>
              </w:rPr>
            </w:pPr>
            <w:r>
              <w:rPr>
                <w:rFonts w:cs="Times New Roman"/>
                <w:sz w:val="32"/>
                <w:szCs w:val="32"/>
              </w:rPr>
              <w:t>9</w:t>
            </w:r>
            <w:bookmarkStart w:id="0" w:name="_GoBack"/>
            <w:bookmarkEnd w:id="0"/>
            <w:r w:rsidR="001B3328">
              <w:rPr>
                <w:rFonts w:cs="Times New Roman"/>
                <w:sz w:val="32"/>
                <w:szCs w:val="32"/>
              </w:rPr>
              <w:t xml:space="preserve"> </w:t>
            </w: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3831EE" w:rsidP="00AA5C86">
            <w:pPr>
              <w:spacing w:before="120" w:after="120"/>
              <w:rPr>
                <w:rFonts w:cs="Times New Roman"/>
                <w:szCs w:val="20"/>
              </w:rPr>
            </w:pPr>
            <w:r>
              <w:rPr>
                <w:rFonts w:cs="Times New Roman"/>
                <w:szCs w:val="20"/>
              </w:rPr>
              <w:t>2</w:t>
            </w:r>
            <w:r w:rsidR="00AA5C86">
              <w:rPr>
                <w:rFonts w:cs="Times New Roman"/>
                <w:szCs w:val="20"/>
              </w:rPr>
              <w:t>4</w:t>
            </w:r>
            <w:r w:rsidR="00AA5C86" w:rsidRPr="00AA5C86">
              <w:rPr>
                <w:rFonts w:cs="Times New Roman"/>
                <w:szCs w:val="20"/>
                <w:vertAlign w:val="superscript"/>
              </w:rPr>
              <w:t>th</w:t>
            </w:r>
            <w:r w:rsidR="00AA5C86">
              <w:rPr>
                <w:rFonts w:cs="Times New Roman"/>
                <w:szCs w:val="20"/>
              </w:rPr>
              <w:t xml:space="preserve"> September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3C4D29" w:rsidP="003831EE">
            <w:pPr>
              <w:spacing w:before="120" w:after="120"/>
              <w:rPr>
                <w:rFonts w:cs="Times New Roman"/>
                <w:b/>
                <w:szCs w:val="20"/>
              </w:rPr>
            </w:pPr>
            <w:r>
              <w:rPr>
                <w:rFonts w:cs="Times New Roman"/>
                <w:b/>
                <w:szCs w:val="20"/>
              </w:rPr>
              <w:t xml:space="preserve"> </w:t>
            </w:r>
            <w:r w:rsidR="001B3328">
              <w:rPr>
                <w:rFonts w:cs="Times New Roman"/>
                <w:b/>
                <w:szCs w:val="20"/>
              </w:rPr>
              <w:t xml:space="preserve"> </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C95FF0" w:rsidP="009E572F">
            <w:pPr>
              <w:spacing w:before="120" w:after="120"/>
              <w:rPr>
                <w:rFonts w:cs="Times New Roman"/>
                <w:szCs w:val="20"/>
              </w:rPr>
            </w:pPr>
            <w:r w:rsidRPr="00C95FF0">
              <w:rPr>
                <w:rFonts w:cs="Times New Roman"/>
                <w:szCs w:val="20"/>
              </w:rPr>
              <w:t>Director of Prevention, Protection &amp; Response</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C9346B" w:rsidP="009E572F">
            <w:pPr>
              <w:spacing w:before="120" w:after="120"/>
              <w:rPr>
                <w:rFonts w:cs="Times New Roman"/>
                <w:szCs w:val="20"/>
              </w:rPr>
            </w:pPr>
            <w:r w:rsidRPr="00C9346B">
              <w:rPr>
                <w:rFonts w:cs="Times New Roman"/>
                <w:szCs w:val="20"/>
              </w:rPr>
              <w:t>Director of Prevention, Protection &amp; Response</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C9346B" w:rsidP="001F1AAD">
            <w:pPr>
              <w:spacing w:before="120" w:after="120"/>
              <w:rPr>
                <w:rFonts w:cs="Times New Roman"/>
                <w:b/>
                <w:szCs w:val="20"/>
              </w:rPr>
            </w:pPr>
            <w:r>
              <w:rPr>
                <w:rFonts w:cs="Times New Roman"/>
                <w:b/>
                <w:szCs w:val="20"/>
              </w:rPr>
              <w:t xml:space="preserve">Safeguarding Update </w:t>
            </w:r>
            <w:r w:rsidR="001A44CA">
              <w:rPr>
                <w:rFonts w:cs="Times New Roman"/>
                <w:b/>
                <w:szCs w:val="20"/>
              </w:rPr>
              <w:t>–</w:t>
            </w:r>
            <w:r>
              <w:rPr>
                <w:rFonts w:cs="Times New Roman"/>
                <w:b/>
                <w:szCs w:val="20"/>
              </w:rPr>
              <w:t xml:space="preserve"> </w:t>
            </w:r>
            <w:r w:rsidR="001F1AAD">
              <w:rPr>
                <w:rFonts w:cs="Times New Roman"/>
                <w:b/>
                <w:szCs w:val="20"/>
              </w:rPr>
              <w:t>August</w:t>
            </w:r>
            <w:r w:rsidR="001A44CA">
              <w:rPr>
                <w:rFonts w:cs="Times New Roman"/>
                <w:b/>
                <w:szCs w:val="20"/>
              </w:rPr>
              <w:t xml:space="preserve"> 2018</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145906" w:rsidP="009E572F">
            <w:pPr>
              <w:tabs>
                <w:tab w:val="num" w:pos="567"/>
              </w:tabs>
              <w:spacing w:before="120" w:after="120"/>
              <w:rPr>
                <w:rFonts w:cs="Times New Roman"/>
                <w:szCs w:val="20"/>
              </w:rPr>
            </w:pPr>
            <w:r>
              <w:rPr>
                <w:rFonts w:cs="Times New Roman"/>
                <w:szCs w:val="20"/>
              </w:rPr>
              <w:t>Information</w:t>
            </w:r>
            <w:r w:rsidR="00C43DFB">
              <w:rPr>
                <w:rFonts w:cs="Times New Roman"/>
                <w:szCs w:val="20"/>
              </w:rPr>
              <w:t xml:space="preserve"> </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C0492F" w:rsidRPr="009C4F98" w:rsidRDefault="00C0492F" w:rsidP="00C0492F">
      <w:pPr>
        <w:pStyle w:val="Heading1"/>
      </w:pPr>
      <w:r w:rsidRPr="00C0492F">
        <w:t>Recommendations</w:t>
      </w:r>
    </w:p>
    <w:p w:rsidR="00C9346B" w:rsidRDefault="00C9346B" w:rsidP="00C9346B">
      <w:pPr>
        <w:pStyle w:val="NumbList3"/>
        <w:numPr>
          <w:ilvl w:val="0"/>
          <w:numId w:val="0"/>
        </w:numPr>
        <w:spacing w:after="240"/>
        <w:jc w:val="both"/>
      </w:pPr>
      <w:r>
        <w:t>Members of the board are asked to note the following contents of the report for information.</w:t>
      </w:r>
    </w:p>
    <w:p w:rsidR="00C0492F" w:rsidRPr="002E1E94" w:rsidRDefault="00C0492F" w:rsidP="00C0492F">
      <w:pPr>
        <w:pStyle w:val="Heading1"/>
      </w:pPr>
      <w:r>
        <w:t>BACKGROUND</w:t>
      </w:r>
    </w:p>
    <w:p w:rsidR="00164879" w:rsidRDefault="00C9346B" w:rsidP="00C9346B">
      <w:pPr>
        <w:pStyle w:val="NumbList3"/>
        <w:numPr>
          <w:ilvl w:val="0"/>
          <w:numId w:val="0"/>
        </w:numPr>
        <w:spacing w:after="240"/>
        <w:jc w:val="both"/>
      </w:pPr>
      <w:r w:rsidRPr="00C9346B">
        <w:t>Safeguarding updates are submitted to the Servi</w:t>
      </w:r>
      <w:r>
        <w:t xml:space="preserve">ce Leadership Team Meeting on a </w:t>
      </w:r>
      <w:r w:rsidRPr="00C9346B">
        <w:t>monthly basis.</w:t>
      </w:r>
    </w:p>
    <w:p w:rsidR="00C0492F" w:rsidRPr="002E1E94" w:rsidRDefault="00C0492F" w:rsidP="00C0492F">
      <w:pPr>
        <w:pStyle w:val="Heading1"/>
      </w:pPr>
      <w:r>
        <w:t>Options and Analysis</w:t>
      </w:r>
    </w:p>
    <w:p w:rsidR="00065289" w:rsidRPr="00C9346B" w:rsidRDefault="00C9346B" w:rsidP="00C9346B">
      <w:pPr>
        <w:rPr>
          <w:rFonts w:eastAsiaTheme="minorHAnsi"/>
          <w:b/>
        </w:rPr>
      </w:pPr>
      <w:r w:rsidRPr="00C9346B">
        <w:rPr>
          <w:rFonts w:eastAsiaTheme="minorHAnsi"/>
          <w:b/>
        </w:rPr>
        <w:t xml:space="preserve">Adult Safeguarding referrals </w:t>
      </w:r>
      <w:r w:rsidR="001F1AAD">
        <w:rPr>
          <w:rFonts w:eastAsiaTheme="minorHAnsi"/>
          <w:b/>
        </w:rPr>
        <w:t>August</w:t>
      </w:r>
      <w:r w:rsidR="003852EA">
        <w:rPr>
          <w:rFonts w:eastAsiaTheme="minorHAnsi"/>
          <w:b/>
        </w:rPr>
        <w:t xml:space="preserve"> 2018</w:t>
      </w:r>
    </w:p>
    <w:tbl>
      <w:tblPr>
        <w:tblStyle w:val="TableGrid11"/>
        <w:tblW w:w="0" w:type="auto"/>
        <w:tblLook w:val="04A0" w:firstRow="1" w:lastRow="0" w:firstColumn="1" w:lastColumn="0" w:noHBand="0" w:noVBand="1"/>
      </w:tblPr>
      <w:tblGrid>
        <w:gridCol w:w="4508"/>
        <w:gridCol w:w="4508"/>
      </w:tblGrid>
      <w:tr w:rsidR="00C9346B" w:rsidRPr="00C9346B" w:rsidTr="00C45006">
        <w:tc>
          <w:tcPr>
            <w:tcW w:w="4508" w:type="dxa"/>
          </w:tcPr>
          <w:p w:rsidR="00C9346B" w:rsidRPr="00C9346B" w:rsidRDefault="00C9346B" w:rsidP="00C9346B">
            <w:r w:rsidRPr="00C9346B">
              <w:t xml:space="preserve">Crews North West </w:t>
            </w:r>
          </w:p>
        </w:tc>
        <w:tc>
          <w:tcPr>
            <w:tcW w:w="4508" w:type="dxa"/>
          </w:tcPr>
          <w:p w:rsidR="00C9346B" w:rsidRPr="00C9346B" w:rsidRDefault="001F1AAD" w:rsidP="00C9346B">
            <w:r>
              <w:t>2</w:t>
            </w:r>
          </w:p>
        </w:tc>
      </w:tr>
      <w:tr w:rsidR="00C9346B" w:rsidRPr="00C9346B" w:rsidTr="00C45006">
        <w:tc>
          <w:tcPr>
            <w:tcW w:w="4508" w:type="dxa"/>
          </w:tcPr>
          <w:p w:rsidR="00C9346B" w:rsidRPr="00C9346B" w:rsidRDefault="00C9346B" w:rsidP="00C9346B">
            <w:r w:rsidRPr="00C9346B">
              <w:t xml:space="preserve">Crews North East </w:t>
            </w:r>
          </w:p>
        </w:tc>
        <w:tc>
          <w:tcPr>
            <w:tcW w:w="4508" w:type="dxa"/>
          </w:tcPr>
          <w:p w:rsidR="00C9346B" w:rsidRPr="00C9346B" w:rsidRDefault="001F1AAD" w:rsidP="00C9346B">
            <w:r>
              <w:t>3</w:t>
            </w:r>
          </w:p>
        </w:tc>
      </w:tr>
      <w:tr w:rsidR="00C9346B" w:rsidRPr="00C9346B" w:rsidTr="00C45006">
        <w:tc>
          <w:tcPr>
            <w:tcW w:w="4508" w:type="dxa"/>
          </w:tcPr>
          <w:p w:rsidR="00C9346B" w:rsidRPr="00C9346B" w:rsidRDefault="00C9346B" w:rsidP="00C9346B">
            <w:r w:rsidRPr="00C9346B">
              <w:t xml:space="preserve">Crews South West </w:t>
            </w:r>
          </w:p>
        </w:tc>
        <w:tc>
          <w:tcPr>
            <w:tcW w:w="4508" w:type="dxa"/>
          </w:tcPr>
          <w:p w:rsidR="00C9346B" w:rsidRPr="00C9346B" w:rsidRDefault="001F1AAD" w:rsidP="003852EA">
            <w:r>
              <w:t>5</w:t>
            </w:r>
          </w:p>
        </w:tc>
      </w:tr>
      <w:tr w:rsidR="00C9346B" w:rsidRPr="00C9346B" w:rsidTr="00C45006">
        <w:tc>
          <w:tcPr>
            <w:tcW w:w="4508" w:type="dxa"/>
          </w:tcPr>
          <w:p w:rsidR="00C9346B" w:rsidRPr="00C9346B" w:rsidRDefault="00C9346B" w:rsidP="00C9346B">
            <w:r w:rsidRPr="00C9346B">
              <w:t xml:space="preserve">Crews South East </w:t>
            </w:r>
          </w:p>
        </w:tc>
        <w:tc>
          <w:tcPr>
            <w:tcW w:w="4508" w:type="dxa"/>
          </w:tcPr>
          <w:p w:rsidR="00C9346B" w:rsidRPr="00C9346B" w:rsidRDefault="00C62765" w:rsidP="00C9346B">
            <w:r>
              <w:t>7</w:t>
            </w:r>
          </w:p>
        </w:tc>
      </w:tr>
      <w:tr w:rsidR="00C9346B" w:rsidRPr="00C9346B" w:rsidTr="00C45006">
        <w:tc>
          <w:tcPr>
            <w:tcW w:w="4508" w:type="dxa"/>
          </w:tcPr>
          <w:p w:rsidR="00C9346B" w:rsidRPr="00C9346B" w:rsidRDefault="00E72F78" w:rsidP="00C9346B">
            <w:r>
              <w:t>Safe and Well</w:t>
            </w:r>
          </w:p>
        </w:tc>
        <w:tc>
          <w:tcPr>
            <w:tcW w:w="4508" w:type="dxa"/>
          </w:tcPr>
          <w:p w:rsidR="00C9346B" w:rsidRPr="00C9346B" w:rsidRDefault="001F1AAD" w:rsidP="00C9346B">
            <w:r>
              <w:t>6</w:t>
            </w:r>
          </w:p>
        </w:tc>
      </w:tr>
      <w:tr w:rsidR="00C9346B" w:rsidRPr="00C9346B" w:rsidTr="00C45006">
        <w:tc>
          <w:tcPr>
            <w:tcW w:w="4508" w:type="dxa"/>
          </w:tcPr>
          <w:p w:rsidR="00C9346B" w:rsidRPr="00C9346B" w:rsidRDefault="00C9346B" w:rsidP="00C9346B">
            <w:r w:rsidRPr="00C9346B">
              <w:t>Community Builders</w:t>
            </w:r>
          </w:p>
        </w:tc>
        <w:tc>
          <w:tcPr>
            <w:tcW w:w="4508" w:type="dxa"/>
          </w:tcPr>
          <w:p w:rsidR="00C9346B" w:rsidRPr="00C9346B" w:rsidRDefault="001F1AAD" w:rsidP="00C9346B">
            <w:r>
              <w:t>1</w:t>
            </w:r>
          </w:p>
        </w:tc>
      </w:tr>
      <w:tr w:rsidR="00F978B2" w:rsidRPr="00C9346B" w:rsidTr="00C45006">
        <w:tc>
          <w:tcPr>
            <w:tcW w:w="4508" w:type="dxa"/>
          </w:tcPr>
          <w:p w:rsidR="00F978B2" w:rsidRPr="00C9346B" w:rsidRDefault="001F1AAD" w:rsidP="00C9346B">
            <w:r>
              <w:t>Volunteer</w:t>
            </w:r>
          </w:p>
        </w:tc>
        <w:tc>
          <w:tcPr>
            <w:tcW w:w="4508" w:type="dxa"/>
          </w:tcPr>
          <w:p w:rsidR="00F978B2" w:rsidRDefault="001F1AAD" w:rsidP="00C9346B">
            <w:r>
              <w:t>1</w:t>
            </w:r>
          </w:p>
        </w:tc>
      </w:tr>
      <w:tr w:rsidR="00C9346B" w:rsidRPr="00C9346B" w:rsidTr="00C45006">
        <w:tc>
          <w:tcPr>
            <w:tcW w:w="4508" w:type="dxa"/>
          </w:tcPr>
          <w:p w:rsidR="00C9346B" w:rsidRPr="00C9346B" w:rsidRDefault="00C9346B" w:rsidP="00C9346B">
            <w:r w:rsidRPr="00C9346B">
              <w:t>Internal referrals</w:t>
            </w:r>
          </w:p>
        </w:tc>
        <w:tc>
          <w:tcPr>
            <w:tcW w:w="4508" w:type="dxa"/>
          </w:tcPr>
          <w:p w:rsidR="00C9346B" w:rsidRPr="00C9346B" w:rsidRDefault="00455574" w:rsidP="00C9346B">
            <w:r>
              <w:t>1</w:t>
            </w:r>
          </w:p>
        </w:tc>
      </w:tr>
      <w:tr w:rsidR="001F1AAD" w:rsidRPr="00C9346B" w:rsidTr="00C45006">
        <w:tc>
          <w:tcPr>
            <w:tcW w:w="4508" w:type="dxa"/>
          </w:tcPr>
          <w:p w:rsidR="001F1AAD" w:rsidRPr="00C9346B" w:rsidRDefault="001F1AAD" w:rsidP="00C9346B"/>
        </w:tc>
        <w:tc>
          <w:tcPr>
            <w:tcW w:w="4508" w:type="dxa"/>
          </w:tcPr>
          <w:p w:rsidR="001F1AAD" w:rsidRDefault="001F1AAD" w:rsidP="00C9346B"/>
        </w:tc>
      </w:tr>
      <w:tr w:rsidR="001A44CA" w:rsidRPr="00C9346B" w:rsidTr="001A44CA">
        <w:tc>
          <w:tcPr>
            <w:tcW w:w="4508" w:type="dxa"/>
            <w:shd w:val="clear" w:color="auto" w:fill="D9D9D9" w:themeFill="background1" w:themeFillShade="D9"/>
          </w:tcPr>
          <w:p w:rsidR="001A44CA" w:rsidRPr="001A44CA" w:rsidRDefault="001A44CA" w:rsidP="00C9346B">
            <w:pPr>
              <w:rPr>
                <w:b/>
              </w:rPr>
            </w:pPr>
            <w:r w:rsidRPr="001A44CA">
              <w:rPr>
                <w:b/>
              </w:rPr>
              <w:t>TOTAL</w:t>
            </w:r>
          </w:p>
        </w:tc>
        <w:tc>
          <w:tcPr>
            <w:tcW w:w="4508" w:type="dxa"/>
            <w:shd w:val="clear" w:color="auto" w:fill="D9D9D9" w:themeFill="background1" w:themeFillShade="D9"/>
          </w:tcPr>
          <w:p w:rsidR="001A44CA" w:rsidRPr="001A44CA" w:rsidRDefault="001F1AAD" w:rsidP="00C62765">
            <w:pPr>
              <w:rPr>
                <w:b/>
              </w:rPr>
            </w:pPr>
            <w:r>
              <w:rPr>
                <w:b/>
              </w:rPr>
              <w:t>2</w:t>
            </w:r>
            <w:r w:rsidR="00C62765">
              <w:rPr>
                <w:b/>
              </w:rPr>
              <w:t>6</w:t>
            </w:r>
          </w:p>
        </w:tc>
      </w:tr>
    </w:tbl>
    <w:p w:rsidR="00164879" w:rsidRDefault="00164879" w:rsidP="00C9346B">
      <w:pPr>
        <w:rPr>
          <w:rFonts w:eastAsiaTheme="minorHAnsi"/>
        </w:rPr>
      </w:pPr>
    </w:p>
    <w:p w:rsidR="00164879" w:rsidRPr="00C9346B" w:rsidRDefault="00C9346B" w:rsidP="00C9346B">
      <w:pPr>
        <w:rPr>
          <w:rFonts w:eastAsiaTheme="minorHAnsi"/>
          <w:b/>
        </w:rPr>
      </w:pPr>
      <w:r w:rsidRPr="00C9346B">
        <w:rPr>
          <w:rFonts w:eastAsiaTheme="minorHAnsi"/>
          <w:b/>
        </w:rPr>
        <w:t xml:space="preserve">Children’s Safeguarding referrals </w:t>
      </w:r>
      <w:r w:rsidR="001F1AAD">
        <w:rPr>
          <w:rFonts w:eastAsiaTheme="minorHAnsi"/>
          <w:b/>
        </w:rPr>
        <w:t>August</w:t>
      </w:r>
      <w:r w:rsidR="00795919">
        <w:rPr>
          <w:rFonts w:eastAsiaTheme="minorHAnsi"/>
          <w:b/>
        </w:rPr>
        <w:t xml:space="preserve"> </w:t>
      </w:r>
      <w:r w:rsidR="003852EA">
        <w:rPr>
          <w:rFonts w:eastAsiaTheme="minorHAnsi"/>
          <w:b/>
        </w:rPr>
        <w:t>2018</w:t>
      </w:r>
    </w:p>
    <w:tbl>
      <w:tblPr>
        <w:tblStyle w:val="TableGrid11"/>
        <w:tblW w:w="0" w:type="auto"/>
        <w:tblLook w:val="04A0" w:firstRow="1" w:lastRow="0" w:firstColumn="1" w:lastColumn="0" w:noHBand="0" w:noVBand="1"/>
      </w:tblPr>
      <w:tblGrid>
        <w:gridCol w:w="4508"/>
        <w:gridCol w:w="4508"/>
      </w:tblGrid>
      <w:tr w:rsidR="00C9346B" w:rsidRPr="00C9346B" w:rsidTr="00164879">
        <w:trPr>
          <w:trHeight w:val="436"/>
        </w:trPr>
        <w:tc>
          <w:tcPr>
            <w:tcW w:w="4508" w:type="dxa"/>
          </w:tcPr>
          <w:p w:rsidR="00164879" w:rsidRPr="00C9346B" w:rsidRDefault="001F1AAD" w:rsidP="00164879">
            <w:r>
              <w:t>Crew</w:t>
            </w:r>
          </w:p>
        </w:tc>
        <w:tc>
          <w:tcPr>
            <w:tcW w:w="4508" w:type="dxa"/>
          </w:tcPr>
          <w:p w:rsidR="00C9346B" w:rsidRPr="00C9346B" w:rsidRDefault="001F1AAD" w:rsidP="00C9346B">
            <w:r>
              <w:t>1</w:t>
            </w:r>
          </w:p>
        </w:tc>
      </w:tr>
      <w:tr w:rsidR="001A44CA" w:rsidRPr="00C9346B" w:rsidTr="001A44CA">
        <w:tc>
          <w:tcPr>
            <w:tcW w:w="4508" w:type="dxa"/>
            <w:shd w:val="clear" w:color="auto" w:fill="D9D9D9" w:themeFill="background1" w:themeFillShade="D9"/>
          </w:tcPr>
          <w:p w:rsidR="001A44CA" w:rsidRPr="001A44CA" w:rsidRDefault="001A44CA" w:rsidP="00C9346B">
            <w:pPr>
              <w:rPr>
                <w:b/>
              </w:rPr>
            </w:pPr>
            <w:r w:rsidRPr="001A44CA">
              <w:rPr>
                <w:b/>
              </w:rPr>
              <w:t>TOTAL</w:t>
            </w:r>
          </w:p>
        </w:tc>
        <w:tc>
          <w:tcPr>
            <w:tcW w:w="4508" w:type="dxa"/>
            <w:shd w:val="clear" w:color="auto" w:fill="D9D9D9" w:themeFill="background1" w:themeFillShade="D9"/>
          </w:tcPr>
          <w:p w:rsidR="001A44CA" w:rsidRPr="001A44CA" w:rsidRDefault="001F1AAD" w:rsidP="00C9346B">
            <w:pPr>
              <w:rPr>
                <w:b/>
              </w:rPr>
            </w:pPr>
            <w:r>
              <w:rPr>
                <w:b/>
              </w:rPr>
              <w:t>1</w:t>
            </w:r>
          </w:p>
        </w:tc>
      </w:tr>
    </w:tbl>
    <w:p w:rsidR="00164879" w:rsidRDefault="00795919" w:rsidP="00C9346B">
      <w:pPr>
        <w:rPr>
          <w:rFonts w:eastAsiaTheme="minorHAnsi"/>
        </w:rPr>
      </w:pPr>
      <w:r>
        <w:rPr>
          <w:rFonts w:eastAsiaTheme="minorHAnsi"/>
        </w:rPr>
        <w:t xml:space="preserve"> </w:t>
      </w:r>
    </w:p>
    <w:p w:rsidR="00795919" w:rsidRDefault="00795919" w:rsidP="00C9346B">
      <w:pPr>
        <w:rPr>
          <w:rFonts w:eastAsiaTheme="minorHAnsi"/>
        </w:rPr>
      </w:pPr>
    </w:p>
    <w:p w:rsidR="00795919" w:rsidRDefault="00795919" w:rsidP="00C9346B">
      <w:pPr>
        <w:rPr>
          <w:rFonts w:eastAsiaTheme="minorHAnsi"/>
          <w:b/>
        </w:rPr>
      </w:pPr>
    </w:p>
    <w:p w:rsidR="001A44CA" w:rsidRPr="00C9346B" w:rsidRDefault="00C9346B" w:rsidP="00C9346B">
      <w:pPr>
        <w:rPr>
          <w:rFonts w:eastAsiaTheme="minorHAnsi"/>
          <w:b/>
        </w:rPr>
      </w:pPr>
      <w:r w:rsidRPr="00C9346B">
        <w:rPr>
          <w:rFonts w:eastAsiaTheme="minorHAnsi"/>
          <w:b/>
        </w:rPr>
        <w:lastRenderedPageBreak/>
        <w:t xml:space="preserve">Community Builder Engagements </w:t>
      </w:r>
      <w:r w:rsidR="001F1AAD">
        <w:rPr>
          <w:rFonts w:eastAsiaTheme="minorHAnsi"/>
          <w:b/>
        </w:rPr>
        <w:t>August</w:t>
      </w:r>
      <w:r w:rsidR="00795919">
        <w:rPr>
          <w:rFonts w:eastAsiaTheme="minorHAnsi"/>
          <w:b/>
        </w:rPr>
        <w:t xml:space="preserve"> 2018</w:t>
      </w:r>
    </w:p>
    <w:tbl>
      <w:tblPr>
        <w:tblStyle w:val="TableGrid11"/>
        <w:tblW w:w="0" w:type="auto"/>
        <w:tblLook w:val="04A0" w:firstRow="1" w:lastRow="0" w:firstColumn="1" w:lastColumn="0" w:noHBand="0" w:noVBand="1"/>
      </w:tblPr>
      <w:tblGrid>
        <w:gridCol w:w="2689"/>
        <w:gridCol w:w="3118"/>
      </w:tblGrid>
      <w:tr w:rsidR="001A44CA" w:rsidRPr="00C9346B" w:rsidTr="00DC076C">
        <w:tc>
          <w:tcPr>
            <w:tcW w:w="2689" w:type="dxa"/>
          </w:tcPr>
          <w:p w:rsidR="001A44CA" w:rsidRPr="00C9346B" w:rsidRDefault="001A44CA" w:rsidP="00C9346B">
            <w:r w:rsidRPr="00C9346B">
              <w:t>North East</w:t>
            </w:r>
          </w:p>
        </w:tc>
        <w:tc>
          <w:tcPr>
            <w:tcW w:w="3118" w:type="dxa"/>
          </w:tcPr>
          <w:p w:rsidR="001A44CA" w:rsidRPr="00C9346B" w:rsidRDefault="00DA6761" w:rsidP="00C9346B">
            <w:r>
              <w:t>6</w:t>
            </w:r>
          </w:p>
        </w:tc>
      </w:tr>
      <w:tr w:rsidR="001A44CA" w:rsidRPr="00C9346B" w:rsidTr="00DC076C">
        <w:tc>
          <w:tcPr>
            <w:tcW w:w="2689" w:type="dxa"/>
          </w:tcPr>
          <w:p w:rsidR="001A44CA" w:rsidRPr="00C9346B" w:rsidRDefault="001A44CA" w:rsidP="00C9346B">
            <w:r w:rsidRPr="00C9346B">
              <w:t>North West</w:t>
            </w:r>
          </w:p>
        </w:tc>
        <w:tc>
          <w:tcPr>
            <w:tcW w:w="3118" w:type="dxa"/>
          </w:tcPr>
          <w:p w:rsidR="001A44CA" w:rsidRPr="00C9346B" w:rsidRDefault="00DA6761" w:rsidP="00152ABF">
            <w:r>
              <w:t>1</w:t>
            </w:r>
          </w:p>
        </w:tc>
      </w:tr>
      <w:tr w:rsidR="001A44CA" w:rsidRPr="00C9346B" w:rsidTr="00DC076C">
        <w:tc>
          <w:tcPr>
            <w:tcW w:w="2689" w:type="dxa"/>
          </w:tcPr>
          <w:p w:rsidR="001A44CA" w:rsidRPr="00C9346B" w:rsidRDefault="001A44CA" w:rsidP="00C9346B">
            <w:r w:rsidRPr="00C9346B">
              <w:t>South East</w:t>
            </w:r>
          </w:p>
        </w:tc>
        <w:tc>
          <w:tcPr>
            <w:tcW w:w="3118" w:type="dxa"/>
          </w:tcPr>
          <w:p w:rsidR="001A44CA" w:rsidRPr="00C9346B" w:rsidRDefault="00DA6761" w:rsidP="00C9346B">
            <w:r>
              <w:t>3</w:t>
            </w:r>
          </w:p>
        </w:tc>
      </w:tr>
      <w:tr w:rsidR="001A44CA" w:rsidRPr="00C9346B" w:rsidTr="00DC076C">
        <w:trPr>
          <w:trHeight w:val="70"/>
        </w:trPr>
        <w:tc>
          <w:tcPr>
            <w:tcW w:w="2689" w:type="dxa"/>
          </w:tcPr>
          <w:p w:rsidR="001A44CA" w:rsidRPr="00C9346B" w:rsidRDefault="001A44CA" w:rsidP="00C9346B">
            <w:r w:rsidRPr="00C9346B">
              <w:t>South West</w:t>
            </w:r>
          </w:p>
        </w:tc>
        <w:tc>
          <w:tcPr>
            <w:tcW w:w="3118" w:type="dxa"/>
          </w:tcPr>
          <w:p w:rsidR="001A44CA" w:rsidRPr="00C9346B" w:rsidRDefault="00DA6761" w:rsidP="00C9346B">
            <w:r>
              <w:t>3</w:t>
            </w:r>
          </w:p>
        </w:tc>
      </w:tr>
      <w:tr w:rsidR="001A44CA" w:rsidRPr="00C9346B" w:rsidTr="001A44CA">
        <w:trPr>
          <w:trHeight w:val="70"/>
        </w:trPr>
        <w:tc>
          <w:tcPr>
            <w:tcW w:w="2689" w:type="dxa"/>
            <w:shd w:val="clear" w:color="auto" w:fill="D9D9D9" w:themeFill="background1" w:themeFillShade="D9"/>
          </w:tcPr>
          <w:p w:rsidR="001A44CA" w:rsidRPr="001A44CA" w:rsidRDefault="001A44CA" w:rsidP="00C9346B">
            <w:pPr>
              <w:rPr>
                <w:b/>
              </w:rPr>
            </w:pPr>
            <w:r w:rsidRPr="001A44CA">
              <w:rPr>
                <w:b/>
              </w:rPr>
              <w:t>TOTAL</w:t>
            </w:r>
          </w:p>
        </w:tc>
        <w:tc>
          <w:tcPr>
            <w:tcW w:w="3118" w:type="dxa"/>
            <w:shd w:val="clear" w:color="auto" w:fill="D9D9D9" w:themeFill="background1" w:themeFillShade="D9"/>
          </w:tcPr>
          <w:p w:rsidR="001A44CA" w:rsidRPr="001A44CA" w:rsidRDefault="00DA6761" w:rsidP="00152ABF">
            <w:pPr>
              <w:rPr>
                <w:b/>
              </w:rPr>
            </w:pPr>
            <w:r>
              <w:rPr>
                <w:b/>
              </w:rPr>
              <w:t>13</w:t>
            </w:r>
          </w:p>
        </w:tc>
      </w:tr>
    </w:tbl>
    <w:p w:rsidR="00164879" w:rsidRDefault="00164879" w:rsidP="00C9346B">
      <w:pPr>
        <w:rPr>
          <w:rFonts w:eastAsiaTheme="minorHAnsi"/>
          <w:b/>
        </w:rPr>
      </w:pPr>
    </w:p>
    <w:p w:rsidR="008A0876" w:rsidRDefault="008A0876" w:rsidP="00C9346B">
      <w:pPr>
        <w:rPr>
          <w:rFonts w:eastAsiaTheme="minorHAnsi"/>
          <w:b/>
        </w:rPr>
      </w:pPr>
    </w:p>
    <w:p w:rsidR="00772286" w:rsidRDefault="00C9346B" w:rsidP="00C9346B">
      <w:pPr>
        <w:rPr>
          <w:rFonts w:eastAsiaTheme="minorHAnsi"/>
          <w:b/>
        </w:rPr>
      </w:pPr>
      <w:r w:rsidRPr="00C9346B">
        <w:rPr>
          <w:rFonts w:eastAsiaTheme="minorHAnsi"/>
          <w:b/>
        </w:rPr>
        <w:t>Comparison Trends for the previous 12 months</w:t>
      </w:r>
    </w:p>
    <w:p w:rsidR="008A0876" w:rsidRDefault="008A0876" w:rsidP="00C9346B">
      <w:pPr>
        <w:rPr>
          <w:rFonts w:eastAsiaTheme="minorHAnsi"/>
          <w:b/>
        </w:rPr>
      </w:pPr>
    </w:p>
    <w:p w:rsidR="003C4D29" w:rsidRPr="00C9346B" w:rsidRDefault="00165D99" w:rsidP="00C9346B">
      <w:pPr>
        <w:rPr>
          <w:rFonts w:eastAsiaTheme="minorHAnsi"/>
          <w:b/>
        </w:rPr>
      </w:pPr>
      <w:r w:rsidRPr="00C9346B">
        <w:rPr>
          <w:rFonts w:eastAsiaTheme="minorHAnsi"/>
          <w:b/>
          <w:noProof/>
          <w:lang w:eastAsia="en-GB"/>
        </w:rPr>
        <w:drawing>
          <wp:inline distT="0" distB="0" distL="0" distR="0" wp14:anchorId="1C1E71EE" wp14:editId="57057101">
            <wp:extent cx="5972538" cy="3645725"/>
            <wp:effectExtent l="0" t="0" r="952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4879" w:rsidRPr="00C9346B" w:rsidRDefault="00164879" w:rsidP="00C9346B">
      <w:pPr>
        <w:rPr>
          <w:rFonts w:eastAsiaTheme="minorHAnsi"/>
          <w:b/>
        </w:rPr>
      </w:pPr>
    </w:p>
    <w:p w:rsidR="00C9346B" w:rsidRDefault="00C9346B" w:rsidP="00C9346B">
      <w:pPr>
        <w:jc w:val="both"/>
        <w:rPr>
          <w:rFonts w:eastAsiaTheme="minorHAnsi"/>
          <w:b/>
        </w:rPr>
      </w:pPr>
      <w:r w:rsidRPr="00C9346B">
        <w:rPr>
          <w:rFonts w:eastAsiaTheme="minorHAnsi"/>
          <w:b/>
        </w:rPr>
        <w:t>Total number of outstanding</w:t>
      </w:r>
      <w:r w:rsidR="003C4D29">
        <w:rPr>
          <w:rFonts w:eastAsiaTheme="minorHAnsi"/>
          <w:b/>
        </w:rPr>
        <w:t xml:space="preserve">/open </w:t>
      </w:r>
      <w:r w:rsidRPr="00C9346B">
        <w:rPr>
          <w:rFonts w:eastAsiaTheme="minorHAnsi"/>
          <w:b/>
        </w:rPr>
        <w:t>referrals</w:t>
      </w:r>
    </w:p>
    <w:p w:rsidR="003C4D29" w:rsidRPr="00C9346B" w:rsidRDefault="003C4D29" w:rsidP="00C9346B">
      <w:pPr>
        <w:jc w:val="both"/>
        <w:rPr>
          <w:rFonts w:eastAsiaTheme="minorHAnsi"/>
          <w:b/>
        </w:rPr>
      </w:pPr>
    </w:p>
    <w:p w:rsidR="00795919" w:rsidRDefault="001727CD" w:rsidP="00C9346B">
      <w:pPr>
        <w:jc w:val="both"/>
        <w:rPr>
          <w:rFonts w:eastAsiaTheme="minorHAnsi"/>
          <w:b/>
        </w:rPr>
      </w:pPr>
      <w:r>
        <w:rPr>
          <w:rFonts w:eastAsiaTheme="minorHAnsi"/>
        </w:rPr>
        <w:t xml:space="preserve">The Service has liaised with </w:t>
      </w:r>
      <w:r w:rsidR="00EF5497">
        <w:rPr>
          <w:rFonts w:eastAsiaTheme="minorHAnsi"/>
        </w:rPr>
        <w:t>the safeguarding boards and lists of th</w:t>
      </w:r>
      <w:r>
        <w:rPr>
          <w:rFonts w:eastAsiaTheme="minorHAnsi"/>
        </w:rPr>
        <w:t>ose referred for which the Service is awaiting feedback has</w:t>
      </w:r>
      <w:r w:rsidR="00EF5497">
        <w:rPr>
          <w:rFonts w:eastAsiaTheme="minorHAnsi"/>
        </w:rPr>
        <w:t xml:space="preserve"> been sent to them. </w:t>
      </w:r>
      <w:r>
        <w:rPr>
          <w:rFonts w:eastAsiaTheme="minorHAnsi"/>
        </w:rPr>
        <w:t>U</w:t>
      </w:r>
      <w:r w:rsidR="00EF5497">
        <w:rPr>
          <w:rFonts w:eastAsiaTheme="minorHAnsi"/>
        </w:rPr>
        <w:t>pdates</w:t>
      </w:r>
      <w:r>
        <w:rPr>
          <w:rFonts w:eastAsiaTheme="minorHAnsi"/>
        </w:rPr>
        <w:t xml:space="preserve"> have been received</w:t>
      </w:r>
      <w:r w:rsidR="00EF5497">
        <w:rPr>
          <w:rFonts w:eastAsiaTheme="minorHAnsi"/>
        </w:rPr>
        <w:t xml:space="preserve"> from Southend and Thurrock, Essex are currently working</w:t>
      </w:r>
      <w:r>
        <w:rPr>
          <w:rFonts w:eastAsiaTheme="minorHAnsi"/>
        </w:rPr>
        <w:t xml:space="preserve"> on the list forwarded to them.</w:t>
      </w:r>
    </w:p>
    <w:p w:rsidR="003E2350" w:rsidRDefault="003E2350" w:rsidP="00C9346B">
      <w:pPr>
        <w:jc w:val="both"/>
        <w:rPr>
          <w:rFonts w:eastAsiaTheme="minorHAnsi"/>
          <w:b/>
        </w:rPr>
      </w:pPr>
    </w:p>
    <w:p w:rsidR="00C9346B" w:rsidRDefault="00C9346B" w:rsidP="00C9346B">
      <w:pPr>
        <w:jc w:val="both"/>
        <w:rPr>
          <w:rFonts w:eastAsiaTheme="minorHAnsi"/>
          <w:b/>
        </w:rPr>
      </w:pPr>
      <w:r w:rsidRPr="00C9346B">
        <w:rPr>
          <w:rFonts w:eastAsiaTheme="minorHAnsi"/>
          <w:b/>
        </w:rPr>
        <w:t>Any trends/ areas attracting most referrals</w:t>
      </w:r>
    </w:p>
    <w:p w:rsidR="00802E3E" w:rsidRPr="00C9346B" w:rsidRDefault="00802E3E" w:rsidP="00C9346B">
      <w:pPr>
        <w:jc w:val="both"/>
        <w:rPr>
          <w:rFonts w:eastAsiaTheme="minorHAnsi"/>
          <w:b/>
        </w:rPr>
      </w:pPr>
    </w:p>
    <w:p w:rsidR="003C4D29" w:rsidRDefault="00C9346B" w:rsidP="00C9346B">
      <w:pPr>
        <w:jc w:val="both"/>
        <w:rPr>
          <w:rFonts w:eastAsiaTheme="minorHAnsi"/>
        </w:rPr>
      </w:pPr>
      <w:r w:rsidRPr="00C9346B">
        <w:rPr>
          <w:rFonts w:eastAsiaTheme="minorHAnsi"/>
        </w:rPr>
        <w:t xml:space="preserve">The majority of referrals are regarding concerns for older people and their welfare, including hoarding. </w:t>
      </w:r>
    </w:p>
    <w:p w:rsidR="00EF5497" w:rsidRDefault="00EF5497" w:rsidP="00C9346B">
      <w:pPr>
        <w:jc w:val="both"/>
        <w:rPr>
          <w:rFonts w:eastAsiaTheme="minorHAnsi"/>
        </w:rPr>
      </w:pPr>
    </w:p>
    <w:p w:rsidR="008A0876" w:rsidRDefault="008A0876" w:rsidP="00C9346B">
      <w:pPr>
        <w:jc w:val="both"/>
        <w:rPr>
          <w:rFonts w:eastAsiaTheme="minorHAnsi"/>
        </w:rPr>
      </w:pPr>
    </w:p>
    <w:p w:rsidR="00B606F8" w:rsidRDefault="00B606F8" w:rsidP="00B606F8">
      <w:pPr>
        <w:jc w:val="both"/>
        <w:rPr>
          <w:rFonts w:eastAsiaTheme="minorHAnsi"/>
          <w:b/>
        </w:rPr>
      </w:pPr>
      <w:r w:rsidRPr="00C62765">
        <w:rPr>
          <w:rFonts w:eastAsiaTheme="minorHAnsi"/>
          <w:b/>
        </w:rPr>
        <w:t>NFCC Safeguarding Working Group</w:t>
      </w:r>
    </w:p>
    <w:p w:rsidR="00B606F8" w:rsidRDefault="00B606F8" w:rsidP="00B606F8">
      <w:pPr>
        <w:jc w:val="both"/>
        <w:rPr>
          <w:rFonts w:eastAsiaTheme="minorHAnsi"/>
          <w:b/>
        </w:rPr>
      </w:pPr>
    </w:p>
    <w:p w:rsidR="00B606F8" w:rsidRPr="00772286" w:rsidRDefault="00B606F8" w:rsidP="00B606F8">
      <w:pPr>
        <w:jc w:val="both"/>
        <w:rPr>
          <w:rFonts w:eastAsiaTheme="minorHAnsi"/>
        </w:rPr>
      </w:pPr>
      <w:r w:rsidRPr="00C62765">
        <w:rPr>
          <w:rFonts w:eastAsiaTheme="minorHAnsi"/>
        </w:rPr>
        <w:t>The third meeting took place in Merseyside this month</w:t>
      </w:r>
      <w:r>
        <w:rPr>
          <w:rFonts w:eastAsiaTheme="minorHAnsi"/>
        </w:rPr>
        <w:t xml:space="preserve"> and as previous meetings was very well attended. The NFCC Safeguarding Guidance was signed off and the new Safeguarding self-assessment document produced was reviewed and following minor adjustments is ready to go out to be agreed and signed off. </w:t>
      </w:r>
      <w:r w:rsidR="001727CD">
        <w:rPr>
          <w:rFonts w:eastAsiaTheme="minorHAnsi"/>
        </w:rPr>
        <w:t xml:space="preserve">Essex’s </w:t>
      </w:r>
      <w:r w:rsidR="001727CD" w:rsidRPr="001727CD">
        <w:rPr>
          <w:rFonts w:eastAsiaTheme="minorHAnsi"/>
        </w:rPr>
        <w:t xml:space="preserve">Community Development and Safeguarding Manager </w:t>
      </w:r>
      <w:r>
        <w:rPr>
          <w:rFonts w:eastAsiaTheme="minorHAnsi"/>
        </w:rPr>
        <w:t xml:space="preserve">discussed the Peer review document </w:t>
      </w:r>
      <w:r w:rsidR="001727CD">
        <w:rPr>
          <w:rFonts w:eastAsiaTheme="minorHAnsi"/>
        </w:rPr>
        <w:t xml:space="preserve">which </w:t>
      </w:r>
      <w:r>
        <w:rPr>
          <w:rFonts w:eastAsiaTheme="minorHAnsi"/>
        </w:rPr>
        <w:t xml:space="preserve">is near completion.     </w:t>
      </w:r>
    </w:p>
    <w:p w:rsidR="00B606F8" w:rsidRDefault="00B606F8" w:rsidP="00C9346B">
      <w:pPr>
        <w:jc w:val="both"/>
        <w:rPr>
          <w:rFonts w:eastAsiaTheme="minorHAnsi"/>
          <w:b/>
        </w:rPr>
      </w:pPr>
    </w:p>
    <w:p w:rsidR="00B606F8" w:rsidRDefault="00B606F8" w:rsidP="00C9346B">
      <w:pPr>
        <w:jc w:val="both"/>
        <w:rPr>
          <w:rFonts w:eastAsiaTheme="minorHAnsi"/>
          <w:b/>
        </w:rPr>
      </w:pPr>
    </w:p>
    <w:p w:rsidR="00C9346B" w:rsidRPr="00C9346B" w:rsidRDefault="00802E3E" w:rsidP="00C9346B">
      <w:pPr>
        <w:jc w:val="both"/>
        <w:rPr>
          <w:rFonts w:eastAsiaTheme="minorHAnsi"/>
          <w:b/>
        </w:rPr>
      </w:pPr>
      <w:r>
        <w:rPr>
          <w:rFonts w:eastAsiaTheme="minorHAnsi"/>
          <w:b/>
        </w:rPr>
        <w:t>UPDATE ON RESOURCES</w:t>
      </w:r>
    </w:p>
    <w:p w:rsidR="00C9346B" w:rsidRPr="00C9346B" w:rsidRDefault="00C9346B" w:rsidP="00C9346B">
      <w:pPr>
        <w:jc w:val="both"/>
        <w:rPr>
          <w:rFonts w:eastAsiaTheme="minorHAnsi"/>
        </w:rPr>
      </w:pPr>
    </w:p>
    <w:p w:rsidR="001727CD" w:rsidRDefault="00C9346B" w:rsidP="00C9346B">
      <w:pPr>
        <w:jc w:val="both"/>
        <w:rPr>
          <w:rFonts w:eastAsiaTheme="minorHAnsi"/>
        </w:rPr>
      </w:pPr>
      <w:r w:rsidRPr="00C9346B">
        <w:rPr>
          <w:rFonts w:eastAsiaTheme="minorHAnsi"/>
          <w:b/>
        </w:rPr>
        <w:t>Community Builders</w:t>
      </w:r>
    </w:p>
    <w:p w:rsidR="00C9346B" w:rsidRDefault="00C9346B" w:rsidP="00C9346B">
      <w:pPr>
        <w:jc w:val="both"/>
        <w:rPr>
          <w:rFonts w:eastAsiaTheme="minorHAnsi"/>
        </w:rPr>
      </w:pPr>
      <w:r w:rsidRPr="00C9346B">
        <w:rPr>
          <w:rFonts w:eastAsiaTheme="minorHAnsi"/>
        </w:rPr>
        <w:t xml:space="preserve"> </w:t>
      </w:r>
    </w:p>
    <w:p w:rsidR="00EF5497" w:rsidRDefault="001727CD" w:rsidP="00C9346B">
      <w:pPr>
        <w:jc w:val="both"/>
        <w:rPr>
          <w:rFonts w:eastAsiaTheme="minorHAnsi"/>
        </w:rPr>
      </w:pPr>
      <w:r>
        <w:rPr>
          <w:rFonts w:eastAsiaTheme="minorHAnsi"/>
        </w:rPr>
        <w:t>A new Builder is</w:t>
      </w:r>
      <w:r w:rsidR="00A01B18">
        <w:rPr>
          <w:rFonts w:eastAsiaTheme="minorHAnsi"/>
        </w:rPr>
        <w:t xml:space="preserve"> joining the team on the 1</w:t>
      </w:r>
      <w:r w:rsidR="00A01B18" w:rsidRPr="00A01B18">
        <w:rPr>
          <w:rFonts w:eastAsiaTheme="minorHAnsi"/>
          <w:vertAlign w:val="superscript"/>
        </w:rPr>
        <w:t>st</w:t>
      </w:r>
      <w:r w:rsidR="00A01B18">
        <w:rPr>
          <w:rFonts w:eastAsiaTheme="minorHAnsi"/>
        </w:rPr>
        <w:t xml:space="preserve"> September 2018. </w:t>
      </w:r>
      <w:r>
        <w:rPr>
          <w:rFonts w:eastAsiaTheme="minorHAnsi"/>
        </w:rPr>
        <w:t>Due to an existing</w:t>
      </w:r>
      <w:r w:rsidR="00EF5497">
        <w:rPr>
          <w:rFonts w:eastAsiaTheme="minorHAnsi"/>
        </w:rPr>
        <w:t xml:space="preserve"> Community Builder be</w:t>
      </w:r>
      <w:r>
        <w:rPr>
          <w:rFonts w:eastAsiaTheme="minorHAnsi"/>
        </w:rPr>
        <w:t>i</w:t>
      </w:r>
      <w:r w:rsidR="00EF5497">
        <w:rPr>
          <w:rFonts w:eastAsiaTheme="minorHAnsi"/>
        </w:rPr>
        <w:t>n</w:t>
      </w:r>
      <w:r>
        <w:rPr>
          <w:rFonts w:eastAsiaTheme="minorHAnsi"/>
        </w:rPr>
        <w:t>g</w:t>
      </w:r>
      <w:r w:rsidR="00EF5497">
        <w:rPr>
          <w:rFonts w:eastAsiaTheme="minorHAnsi"/>
        </w:rPr>
        <w:t xml:space="preserve"> successful in the promotion process </w:t>
      </w:r>
      <w:r>
        <w:rPr>
          <w:rFonts w:eastAsiaTheme="minorHAnsi"/>
        </w:rPr>
        <w:t>the department</w:t>
      </w:r>
      <w:r w:rsidR="00EF5497">
        <w:rPr>
          <w:rFonts w:eastAsiaTheme="minorHAnsi"/>
        </w:rPr>
        <w:t xml:space="preserve"> are in the process of </w:t>
      </w:r>
      <w:r>
        <w:rPr>
          <w:rFonts w:eastAsiaTheme="minorHAnsi"/>
        </w:rPr>
        <w:t>looking to</w:t>
      </w:r>
      <w:r w:rsidR="00EF5497">
        <w:rPr>
          <w:rFonts w:eastAsiaTheme="minorHAnsi"/>
        </w:rPr>
        <w:t xml:space="preserve"> recruit</w:t>
      </w:r>
      <w:r>
        <w:rPr>
          <w:rFonts w:eastAsiaTheme="minorHAnsi"/>
        </w:rPr>
        <w:t xml:space="preserve"> another Builder</w:t>
      </w:r>
      <w:r w:rsidR="00EF5497">
        <w:rPr>
          <w:rFonts w:eastAsiaTheme="minorHAnsi"/>
        </w:rPr>
        <w:t xml:space="preserve">. </w:t>
      </w:r>
    </w:p>
    <w:p w:rsidR="008106B3" w:rsidRDefault="008106B3" w:rsidP="00C9346B">
      <w:pPr>
        <w:jc w:val="both"/>
        <w:rPr>
          <w:rFonts w:eastAsiaTheme="minorHAnsi"/>
        </w:rPr>
      </w:pPr>
    </w:p>
    <w:p w:rsidR="008106B3" w:rsidRDefault="008106B3" w:rsidP="00C9346B">
      <w:pPr>
        <w:jc w:val="both"/>
        <w:rPr>
          <w:rFonts w:eastAsiaTheme="minorHAnsi"/>
        </w:rPr>
      </w:pPr>
      <w:r>
        <w:rPr>
          <w:rFonts w:eastAsiaTheme="minorHAnsi"/>
        </w:rPr>
        <w:t xml:space="preserve">The number of cases being allocated and addressed by the Community Builders continues to rise </w:t>
      </w:r>
      <w:r w:rsidR="001727CD">
        <w:rPr>
          <w:rFonts w:eastAsiaTheme="minorHAnsi"/>
        </w:rPr>
        <w:t>which highlighted that work being done is targeting the right areas</w:t>
      </w:r>
      <w:r>
        <w:rPr>
          <w:rFonts w:eastAsiaTheme="minorHAnsi"/>
        </w:rPr>
        <w:t>.</w:t>
      </w:r>
    </w:p>
    <w:p w:rsidR="000E68C7" w:rsidRDefault="000E68C7" w:rsidP="00C9346B">
      <w:pPr>
        <w:jc w:val="both"/>
        <w:rPr>
          <w:rFonts w:eastAsiaTheme="minorHAnsi"/>
        </w:rPr>
      </w:pPr>
    </w:p>
    <w:p w:rsidR="00743E3F" w:rsidRDefault="00743E3F" w:rsidP="00C9346B">
      <w:pPr>
        <w:jc w:val="both"/>
        <w:rPr>
          <w:rFonts w:eastAsiaTheme="minorHAnsi"/>
          <w:b/>
        </w:rPr>
      </w:pPr>
      <w:r w:rsidRPr="00743E3F">
        <w:rPr>
          <w:rFonts w:eastAsiaTheme="minorHAnsi"/>
          <w:b/>
        </w:rPr>
        <w:t xml:space="preserve">Rural </w:t>
      </w:r>
      <w:r w:rsidR="001727CD">
        <w:rPr>
          <w:rFonts w:eastAsiaTheme="minorHAnsi"/>
          <w:b/>
        </w:rPr>
        <w:t xml:space="preserve">Community </w:t>
      </w:r>
      <w:r w:rsidRPr="00743E3F">
        <w:rPr>
          <w:rFonts w:eastAsiaTheme="minorHAnsi"/>
          <w:b/>
        </w:rPr>
        <w:t>Builders</w:t>
      </w:r>
    </w:p>
    <w:p w:rsidR="003F506B" w:rsidRDefault="003F506B" w:rsidP="00C9346B">
      <w:pPr>
        <w:jc w:val="both"/>
        <w:rPr>
          <w:rFonts w:eastAsiaTheme="minorHAnsi"/>
          <w:b/>
        </w:rPr>
      </w:pPr>
    </w:p>
    <w:p w:rsidR="00C62765" w:rsidRDefault="00A01B18" w:rsidP="00C9346B">
      <w:pPr>
        <w:jc w:val="both"/>
        <w:rPr>
          <w:rFonts w:eastAsiaTheme="minorHAnsi"/>
        </w:rPr>
      </w:pPr>
      <w:r>
        <w:rPr>
          <w:rFonts w:eastAsiaTheme="minorHAnsi"/>
        </w:rPr>
        <w:t>A six monthly report</w:t>
      </w:r>
      <w:r w:rsidR="008106B3">
        <w:rPr>
          <w:rFonts w:eastAsiaTheme="minorHAnsi"/>
        </w:rPr>
        <w:t xml:space="preserve"> is being</w:t>
      </w:r>
      <w:r>
        <w:rPr>
          <w:rFonts w:eastAsiaTheme="minorHAnsi"/>
        </w:rPr>
        <w:t xml:space="preserve"> completed noting the progress of this pilot</w:t>
      </w:r>
      <w:r w:rsidR="008106B3">
        <w:rPr>
          <w:rFonts w:eastAsiaTheme="minorHAnsi"/>
        </w:rPr>
        <w:t xml:space="preserve"> and action plan moving forward</w:t>
      </w:r>
      <w:r w:rsidR="00EF5497">
        <w:rPr>
          <w:rFonts w:eastAsiaTheme="minorHAnsi"/>
        </w:rPr>
        <w:t xml:space="preserve">. </w:t>
      </w:r>
    </w:p>
    <w:p w:rsidR="00802E3E" w:rsidRDefault="00802E3E" w:rsidP="00C9346B">
      <w:pPr>
        <w:jc w:val="both"/>
        <w:rPr>
          <w:rFonts w:eastAsiaTheme="minorHAnsi"/>
        </w:rPr>
      </w:pPr>
    </w:p>
    <w:p w:rsidR="00230895" w:rsidRDefault="00C0492F" w:rsidP="00230895">
      <w:pPr>
        <w:pStyle w:val="Heading1"/>
      </w:pPr>
      <w:r w:rsidRPr="002E1E94">
        <w:t>Benefits and Risk Implications</w:t>
      </w:r>
    </w:p>
    <w:p w:rsidR="00D62349" w:rsidRPr="00772286" w:rsidRDefault="00C95FF0" w:rsidP="00C95FF0">
      <w:pPr>
        <w:jc w:val="both"/>
      </w:pPr>
      <w:r>
        <w:t xml:space="preserve">The Service still continues to manage its resources to ensure that Safeguarding is appropriately supported, the </w:t>
      </w:r>
      <w:r w:rsidRPr="00C95FF0">
        <w:t xml:space="preserve">Community Development and Safeguarding Manager </w:t>
      </w:r>
      <w:r>
        <w:t xml:space="preserve">reports a number of challenges, which are being worked through with the Head of Community Safety. It is also acknowledging that increased station community safety activity on fire stations will lead to more referrals and the Service needs to ensure the need impact on the Service from this is given full consideration. </w:t>
      </w:r>
    </w:p>
    <w:p w:rsidR="00230895" w:rsidRPr="00230895" w:rsidRDefault="00230895" w:rsidP="00230895"/>
    <w:p w:rsidR="00802E3E" w:rsidRDefault="00C0492F" w:rsidP="008106B3">
      <w:pPr>
        <w:pStyle w:val="Heading1"/>
        <w:tabs>
          <w:tab w:val="right" w:pos="9354"/>
        </w:tabs>
      </w:pPr>
      <w:r w:rsidRPr="002E1E94">
        <w:t>Financial Implications</w:t>
      </w:r>
      <w:r w:rsidR="003F506B">
        <w:t xml:space="preserve"> </w:t>
      </w:r>
      <w:r w:rsidR="00D62349">
        <w:t xml:space="preserve"> </w:t>
      </w:r>
    </w:p>
    <w:p w:rsidR="00BE70EA" w:rsidRDefault="00C95FF0" w:rsidP="003F506B">
      <w:r>
        <w:t>None specific to this report.</w:t>
      </w:r>
    </w:p>
    <w:p w:rsidR="003F506B" w:rsidRPr="003F506B" w:rsidRDefault="003F506B" w:rsidP="003F506B"/>
    <w:p w:rsidR="00C0492F" w:rsidRPr="002E1E94" w:rsidRDefault="00C0492F" w:rsidP="00C0492F">
      <w:pPr>
        <w:pStyle w:val="Heading1"/>
      </w:pPr>
      <w:r w:rsidRPr="002E1E94">
        <w:t>Equality and Diversity Implications</w:t>
      </w:r>
    </w:p>
    <w:p w:rsidR="00C0492F" w:rsidRPr="000C653B" w:rsidRDefault="00C9346B" w:rsidP="00C9346B">
      <w:pPr>
        <w:pStyle w:val="NumbList3"/>
        <w:numPr>
          <w:ilvl w:val="0"/>
          <w:numId w:val="0"/>
        </w:numPr>
        <w:spacing w:after="240"/>
        <w:ind w:left="360" w:hanging="360"/>
        <w:rPr>
          <w:noProof/>
        </w:rPr>
      </w:pPr>
      <w:r w:rsidRPr="00C9346B">
        <w:rPr>
          <w:noProof/>
        </w:rPr>
        <w:t>There are no equality and diversity implications associated with this paper.</w:t>
      </w:r>
    </w:p>
    <w:p w:rsidR="00C0492F" w:rsidRPr="002E1E94" w:rsidRDefault="00C0492F" w:rsidP="00C0492F">
      <w:pPr>
        <w:pStyle w:val="Heading1"/>
      </w:pPr>
      <w:r w:rsidRPr="002E1E94">
        <w:t>Workforce Engagement</w:t>
      </w:r>
    </w:p>
    <w:p w:rsidR="00802E3E" w:rsidRPr="00C95FF0" w:rsidRDefault="00C95FF0" w:rsidP="00BE70EA">
      <w:pPr>
        <w:pStyle w:val="NumbList3"/>
        <w:numPr>
          <w:ilvl w:val="0"/>
          <w:numId w:val="0"/>
        </w:numPr>
        <w:spacing w:after="240"/>
        <w:ind w:left="360" w:hanging="360"/>
        <w:rPr>
          <w:noProof/>
        </w:rPr>
      </w:pPr>
      <w:r>
        <w:rPr>
          <w:noProof/>
        </w:rPr>
        <w:t>None specific to this report.</w:t>
      </w:r>
    </w:p>
    <w:p w:rsidR="00C0492F" w:rsidRPr="00802E3E" w:rsidRDefault="00802E3E" w:rsidP="00802E3E">
      <w:pPr>
        <w:pStyle w:val="NumbList3"/>
        <w:numPr>
          <w:ilvl w:val="0"/>
          <w:numId w:val="0"/>
        </w:numPr>
        <w:spacing w:after="240"/>
        <w:ind w:left="360" w:hanging="360"/>
        <w:rPr>
          <w:b/>
        </w:rPr>
      </w:pPr>
      <w:r w:rsidRPr="00802E3E">
        <w:rPr>
          <w:b/>
        </w:rPr>
        <w:t>LEGAL IMPLICATIONS</w:t>
      </w:r>
    </w:p>
    <w:p w:rsidR="002F45F7" w:rsidRDefault="00C9346B" w:rsidP="00C9346B">
      <w:pPr>
        <w:pStyle w:val="NumbList3"/>
        <w:numPr>
          <w:ilvl w:val="0"/>
          <w:numId w:val="0"/>
        </w:numPr>
        <w:spacing w:after="240"/>
        <w:ind w:left="360" w:hanging="360"/>
        <w:rPr>
          <w:noProof/>
        </w:rPr>
      </w:pPr>
      <w:r w:rsidRPr="00C9346B">
        <w:rPr>
          <w:noProof/>
        </w:rPr>
        <w:t>There are no legal impliactions associated with this paper.</w:t>
      </w:r>
    </w:p>
    <w:p w:rsidR="00165D99" w:rsidRDefault="00165D99" w:rsidP="003E2350">
      <w:pPr>
        <w:pStyle w:val="NumbList3"/>
        <w:numPr>
          <w:ilvl w:val="0"/>
          <w:numId w:val="0"/>
        </w:numPr>
        <w:spacing w:after="240"/>
        <w:rPr>
          <w:noProof/>
        </w:rPr>
      </w:pPr>
    </w:p>
    <w:sectPr w:rsidR="00165D99" w:rsidSect="00A8212D">
      <w:headerReference w:type="default" r:id="rId11"/>
      <w:footerReference w:type="default" r:id="rId12"/>
      <w:footerReference w:type="first" r:id="rId13"/>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6B" w:rsidRDefault="0033126B">
      <w:r>
        <w:separator/>
      </w:r>
    </w:p>
  </w:endnote>
  <w:endnote w:type="continuationSeparator" w:id="0">
    <w:p w:rsidR="0033126B" w:rsidRDefault="0033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6E5A1B">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E5A1B">
      <w:rPr>
        <w:noProof/>
        <w:sz w:val="22"/>
        <w:szCs w:val="22"/>
      </w:rPr>
      <w:t>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6E5A1B">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E5A1B">
      <w:rPr>
        <w:noProof/>
        <w:sz w:val="22"/>
        <w:szCs w:val="22"/>
      </w:rPr>
      <w:t>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E5A1B">
      <w:rPr>
        <w:noProof/>
        <w:sz w:val="22"/>
        <w:szCs w:val="22"/>
      </w:rPr>
      <w:t>3</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6B" w:rsidRDefault="0033126B">
      <w:r>
        <w:separator/>
      </w:r>
    </w:p>
  </w:footnote>
  <w:footnote w:type="continuationSeparator" w:id="0">
    <w:p w:rsidR="0033126B" w:rsidRDefault="0033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A1D4C"/>
    <w:multiLevelType w:val="hybridMultilevel"/>
    <w:tmpl w:val="39EE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91114"/>
    <w:multiLevelType w:val="hybridMultilevel"/>
    <w:tmpl w:val="AB0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76B08"/>
    <w:multiLevelType w:val="hybridMultilevel"/>
    <w:tmpl w:val="A3E0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E84454"/>
    <w:multiLevelType w:val="hybridMultilevel"/>
    <w:tmpl w:val="02A8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2506A6"/>
    <w:multiLevelType w:val="hybridMultilevel"/>
    <w:tmpl w:val="738E76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1"/>
  </w:num>
  <w:num w:numId="6">
    <w:abstractNumId w:val="6"/>
  </w:num>
  <w:num w:numId="7">
    <w:abstractNumId w:val="5"/>
  </w:num>
  <w:num w:numId="8">
    <w:abstractNumId w:val="1"/>
  </w:num>
  <w:num w:numId="9">
    <w:abstractNumId w:val="9"/>
  </w:num>
  <w:num w:numId="10">
    <w:abstractNumId w:val="9"/>
  </w:num>
  <w:num w:numId="11">
    <w:abstractNumId w:val="10"/>
  </w:num>
  <w:num w:numId="12">
    <w:abstractNumId w:val="3"/>
  </w:num>
  <w:num w:numId="13">
    <w:abstractNumId w:val="12"/>
  </w:num>
  <w:num w:numId="14">
    <w:abstractNumId w:val="8"/>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289"/>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4404"/>
    <w:rsid w:val="000952E3"/>
    <w:rsid w:val="000961DD"/>
    <w:rsid w:val="00096D9B"/>
    <w:rsid w:val="00097190"/>
    <w:rsid w:val="000A2A62"/>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0EE3"/>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11C6"/>
    <w:rsid w:val="000E4379"/>
    <w:rsid w:val="000E4CAB"/>
    <w:rsid w:val="000E68C7"/>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73E"/>
    <w:rsid w:val="00120C6E"/>
    <w:rsid w:val="00121537"/>
    <w:rsid w:val="00121710"/>
    <w:rsid w:val="00121C63"/>
    <w:rsid w:val="001232AB"/>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906"/>
    <w:rsid w:val="00145D73"/>
    <w:rsid w:val="0014714B"/>
    <w:rsid w:val="00151327"/>
    <w:rsid w:val="00152ABF"/>
    <w:rsid w:val="00153361"/>
    <w:rsid w:val="0015497F"/>
    <w:rsid w:val="00154F7E"/>
    <w:rsid w:val="00160C32"/>
    <w:rsid w:val="001619B4"/>
    <w:rsid w:val="00164527"/>
    <w:rsid w:val="00164879"/>
    <w:rsid w:val="00165D99"/>
    <w:rsid w:val="001666C0"/>
    <w:rsid w:val="0016715E"/>
    <w:rsid w:val="00167E80"/>
    <w:rsid w:val="00171207"/>
    <w:rsid w:val="00171B3F"/>
    <w:rsid w:val="00172383"/>
    <w:rsid w:val="001727CD"/>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2C5A"/>
    <w:rsid w:val="001A44CA"/>
    <w:rsid w:val="001A4AC0"/>
    <w:rsid w:val="001A4D55"/>
    <w:rsid w:val="001A7C3E"/>
    <w:rsid w:val="001B2635"/>
    <w:rsid w:val="001B2E8F"/>
    <w:rsid w:val="001B3328"/>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1AAD"/>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895"/>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13CA1"/>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126B"/>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831EE"/>
    <w:rsid w:val="003852EA"/>
    <w:rsid w:val="0039069F"/>
    <w:rsid w:val="00391893"/>
    <w:rsid w:val="0039269C"/>
    <w:rsid w:val="00392E6F"/>
    <w:rsid w:val="003935F3"/>
    <w:rsid w:val="00393D2A"/>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4D29"/>
    <w:rsid w:val="003C603E"/>
    <w:rsid w:val="003C62FF"/>
    <w:rsid w:val="003C6904"/>
    <w:rsid w:val="003D22D1"/>
    <w:rsid w:val="003D3327"/>
    <w:rsid w:val="003D3504"/>
    <w:rsid w:val="003D5E8A"/>
    <w:rsid w:val="003E0237"/>
    <w:rsid w:val="003E2350"/>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506B"/>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5574"/>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6FCF"/>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5EB"/>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6694"/>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076"/>
    <w:rsid w:val="005E539D"/>
    <w:rsid w:val="005E5B4A"/>
    <w:rsid w:val="005F06DF"/>
    <w:rsid w:val="005F0721"/>
    <w:rsid w:val="005F1929"/>
    <w:rsid w:val="005F2798"/>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1A54"/>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5A1B"/>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3E3F"/>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5695"/>
    <w:rsid w:val="00767934"/>
    <w:rsid w:val="00767CDF"/>
    <w:rsid w:val="00767D50"/>
    <w:rsid w:val="00770C3D"/>
    <w:rsid w:val="007716EB"/>
    <w:rsid w:val="00772286"/>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5919"/>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4B2"/>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3E"/>
    <w:rsid w:val="00802EC1"/>
    <w:rsid w:val="00803C2F"/>
    <w:rsid w:val="00804AF8"/>
    <w:rsid w:val="00805EAE"/>
    <w:rsid w:val="00806198"/>
    <w:rsid w:val="00807BE2"/>
    <w:rsid w:val="00807CA6"/>
    <w:rsid w:val="008106B3"/>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15DC"/>
    <w:rsid w:val="008623B8"/>
    <w:rsid w:val="00862A58"/>
    <w:rsid w:val="00862D2D"/>
    <w:rsid w:val="00863127"/>
    <w:rsid w:val="00863323"/>
    <w:rsid w:val="00864C4D"/>
    <w:rsid w:val="00865829"/>
    <w:rsid w:val="00865DC3"/>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876"/>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20D"/>
    <w:rsid w:val="008E5917"/>
    <w:rsid w:val="008E6FDE"/>
    <w:rsid w:val="008E726B"/>
    <w:rsid w:val="008F0B3B"/>
    <w:rsid w:val="008F1B8A"/>
    <w:rsid w:val="008F2FA9"/>
    <w:rsid w:val="008F3164"/>
    <w:rsid w:val="008F3607"/>
    <w:rsid w:val="008F4B3F"/>
    <w:rsid w:val="008F4F1B"/>
    <w:rsid w:val="008F6000"/>
    <w:rsid w:val="00900C6B"/>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95E"/>
    <w:rsid w:val="00961F27"/>
    <w:rsid w:val="00961FF4"/>
    <w:rsid w:val="009626BB"/>
    <w:rsid w:val="0096286A"/>
    <w:rsid w:val="00965569"/>
    <w:rsid w:val="009658CE"/>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7C"/>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6B87"/>
    <w:rsid w:val="009E7261"/>
    <w:rsid w:val="009F0C9E"/>
    <w:rsid w:val="009F3E43"/>
    <w:rsid w:val="009F4360"/>
    <w:rsid w:val="009F4387"/>
    <w:rsid w:val="009F645B"/>
    <w:rsid w:val="009F6BD6"/>
    <w:rsid w:val="00A01B18"/>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51F6"/>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5C86"/>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5E14"/>
    <w:rsid w:val="00B46997"/>
    <w:rsid w:val="00B46F3A"/>
    <w:rsid w:val="00B50571"/>
    <w:rsid w:val="00B51938"/>
    <w:rsid w:val="00B5282A"/>
    <w:rsid w:val="00B530A6"/>
    <w:rsid w:val="00B55358"/>
    <w:rsid w:val="00B560CA"/>
    <w:rsid w:val="00B56A9E"/>
    <w:rsid w:val="00B606F8"/>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0E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2765"/>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4B8"/>
    <w:rsid w:val="00C90DB8"/>
    <w:rsid w:val="00C9346B"/>
    <w:rsid w:val="00C9355B"/>
    <w:rsid w:val="00C94270"/>
    <w:rsid w:val="00C942C9"/>
    <w:rsid w:val="00C946B8"/>
    <w:rsid w:val="00C946E6"/>
    <w:rsid w:val="00C95726"/>
    <w:rsid w:val="00C95C4C"/>
    <w:rsid w:val="00C95FF0"/>
    <w:rsid w:val="00C963B7"/>
    <w:rsid w:val="00C97E6E"/>
    <w:rsid w:val="00CA0C8E"/>
    <w:rsid w:val="00CA11F2"/>
    <w:rsid w:val="00CA2D04"/>
    <w:rsid w:val="00CA3B8A"/>
    <w:rsid w:val="00CA3CB2"/>
    <w:rsid w:val="00CB00DF"/>
    <w:rsid w:val="00CB03E9"/>
    <w:rsid w:val="00CB2A3A"/>
    <w:rsid w:val="00CB4F90"/>
    <w:rsid w:val="00CB6D8B"/>
    <w:rsid w:val="00CC0109"/>
    <w:rsid w:val="00CC03B8"/>
    <w:rsid w:val="00CC12AE"/>
    <w:rsid w:val="00CC312A"/>
    <w:rsid w:val="00CC4CB3"/>
    <w:rsid w:val="00CC5ABA"/>
    <w:rsid w:val="00CC6373"/>
    <w:rsid w:val="00CD0041"/>
    <w:rsid w:val="00CD0069"/>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2349"/>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761"/>
    <w:rsid w:val="00DA6BA8"/>
    <w:rsid w:val="00DA74C4"/>
    <w:rsid w:val="00DA78DA"/>
    <w:rsid w:val="00DB07D3"/>
    <w:rsid w:val="00DB18F8"/>
    <w:rsid w:val="00DB2D5C"/>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2F7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3E1B"/>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2084"/>
    <w:rsid w:val="00EE3C72"/>
    <w:rsid w:val="00EE5E4B"/>
    <w:rsid w:val="00EF156D"/>
    <w:rsid w:val="00EF1941"/>
    <w:rsid w:val="00EF1FF1"/>
    <w:rsid w:val="00EF24DB"/>
    <w:rsid w:val="00EF3AB3"/>
    <w:rsid w:val="00EF3D08"/>
    <w:rsid w:val="00EF4C06"/>
    <w:rsid w:val="00EF4C36"/>
    <w:rsid w:val="00EF5497"/>
    <w:rsid w:val="00EF586B"/>
    <w:rsid w:val="00EF7C9F"/>
    <w:rsid w:val="00F00D53"/>
    <w:rsid w:val="00F0161B"/>
    <w:rsid w:val="00F02BB8"/>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3E9"/>
    <w:rsid w:val="00F86A20"/>
    <w:rsid w:val="00F86C5A"/>
    <w:rsid w:val="00F87485"/>
    <w:rsid w:val="00F90B3E"/>
    <w:rsid w:val="00F916A3"/>
    <w:rsid w:val="00F966B7"/>
    <w:rsid w:val="00F978B2"/>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D7536"/>
    <w:rsid w:val="00FE0E97"/>
    <w:rsid w:val="00FE1956"/>
    <w:rsid w:val="00FE1AF1"/>
    <w:rsid w:val="00FE1EC6"/>
    <w:rsid w:val="00FE218A"/>
    <w:rsid w:val="00FE349E"/>
    <w:rsid w:val="00FE4B8B"/>
    <w:rsid w:val="00FE4FA5"/>
    <w:rsid w:val="00FE58DE"/>
    <w:rsid w:val="00FE644E"/>
    <w:rsid w:val="00FE6E64"/>
    <w:rsid w:val="00FE7491"/>
    <w:rsid w:val="00FE7EC2"/>
    <w:rsid w:val="00FF24C5"/>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277E7A"/>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865D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TableGrid11">
    <w:name w:val="Table Grid11"/>
    <w:basedOn w:val="TableNormal"/>
    <w:next w:val="TableGrid"/>
    <w:uiPriority w:val="39"/>
    <w:rsid w:val="00C934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65DC3"/>
    <w:rPr>
      <w:rFonts w:asciiTheme="majorHAnsi" w:eastAsiaTheme="majorEastAsia" w:hAnsiTheme="majorHAnsi" w:cstheme="majorBidi"/>
      <w:i/>
      <w:iCs/>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920">
      <w:bodyDiv w:val="1"/>
      <w:marLeft w:val="0"/>
      <w:marRight w:val="0"/>
      <w:marTop w:val="0"/>
      <w:marBottom w:val="0"/>
      <w:divBdr>
        <w:top w:val="none" w:sz="0" w:space="0" w:color="auto"/>
        <w:left w:val="none" w:sz="0" w:space="0" w:color="auto"/>
        <w:bottom w:val="none" w:sz="0" w:space="0" w:color="auto"/>
        <w:right w:val="none" w:sz="0" w:space="0" w:color="auto"/>
      </w:divBdr>
    </w:div>
    <w:div w:id="873813619">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Adult,Child and Community Builder referrals</a:t>
            </a:r>
          </a:p>
          <a:p>
            <a:pPr>
              <a:defRPr/>
            </a:pPr>
            <a:r>
              <a:rPr lang="en-GB" b="1"/>
              <a:t> July 17- August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844516445013753E-2"/>
          <c:y val="0.17829646403065669"/>
          <c:w val="0.92563714224717131"/>
          <c:h val="0.65074591246552294"/>
        </c:manualLayout>
      </c:layout>
      <c:barChart>
        <c:barDir val="col"/>
        <c:grouping val="clustered"/>
        <c:varyColors val="0"/>
        <c:ser>
          <c:idx val="0"/>
          <c:order val="0"/>
          <c:tx>
            <c:strRef>
              <c:f>Sheet1!$B$1</c:f>
              <c:strCache>
                <c:ptCount val="1"/>
                <c:pt idx="0">
                  <c:v>Adult Safeguarding referrals</c:v>
                </c:pt>
              </c:strCache>
            </c:strRef>
          </c:tx>
          <c:spPr>
            <a:solidFill>
              <a:srgbClr val="FF0000"/>
            </a:solidFill>
            <a:ln>
              <a:noFill/>
            </a:ln>
            <a:effectLst/>
          </c:spPr>
          <c:invertIfNegative val="0"/>
          <c:cat>
            <c:numRef>
              <c:f>Sheet1!$A$2:$A$13</c:f>
              <c:numCache>
                <c:formatCode>mmm\-yy</c:formatCode>
                <c:ptCount val="12"/>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numCache>
            </c:numRef>
          </c:cat>
          <c:val>
            <c:numRef>
              <c:f>Sheet1!$B$2:$B$13</c:f>
              <c:numCache>
                <c:formatCode>General</c:formatCode>
                <c:ptCount val="12"/>
                <c:pt idx="0">
                  <c:v>24</c:v>
                </c:pt>
                <c:pt idx="1">
                  <c:v>26</c:v>
                </c:pt>
                <c:pt idx="2">
                  <c:v>24</c:v>
                </c:pt>
                <c:pt idx="3">
                  <c:v>21</c:v>
                </c:pt>
                <c:pt idx="4">
                  <c:v>36</c:v>
                </c:pt>
                <c:pt idx="5">
                  <c:v>24</c:v>
                </c:pt>
                <c:pt idx="6">
                  <c:v>28</c:v>
                </c:pt>
                <c:pt idx="7">
                  <c:v>22</c:v>
                </c:pt>
                <c:pt idx="8">
                  <c:v>32</c:v>
                </c:pt>
                <c:pt idx="9">
                  <c:v>29</c:v>
                </c:pt>
                <c:pt idx="10">
                  <c:v>31</c:v>
                </c:pt>
                <c:pt idx="11">
                  <c:v>26</c:v>
                </c:pt>
              </c:numCache>
            </c:numRef>
          </c:val>
          <c:extLst>
            <c:ext xmlns:c16="http://schemas.microsoft.com/office/drawing/2014/chart" uri="{C3380CC4-5D6E-409C-BE32-E72D297353CC}">
              <c16:uniqueId val="{00000000-64FA-4994-B41F-67B4947A9DA5}"/>
            </c:ext>
          </c:extLst>
        </c:ser>
        <c:ser>
          <c:idx val="1"/>
          <c:order val="1"/>
          <c:tx>
            <c:strRef>
              <c:f>Sheet1!$C$1</c:f>
              <c:strCache>
                <c:ptCount val="1"/>
                <c:pt idx="0">
                  <c:v>Children Safeguarding referrals</c:v>
                </c:pt>
              </c:strCache>
            </c:strRef>
          </c:tx>
          <c:spPr>
            <a:solidFill>
              <a:schemeClr val="accent1">
                <a:lumMod val="75000"/>
              </a:schemeClr>
            </a:solidFill>
            <a:ln>
              <a:noFill/>
            </a:ln>
            <a:effectLst/>
          </c:spPr>
          <c:invertIfNegative val="0"/>
          <c:cat>
            <c:numRef>
              <c:f>Sheet1!$A$2:$A$13</c:f>
              <c:numCache>
                <c:formatCode>mmm\-yy</c:formatCode>
                <c:ptCount val="12"/>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numCache>
            </c:numRef>
          </c:cat>
          <c:val>
            <c:numRef>
              <c:f>Sheet1!$C$2:$C$13</c:f>
              <c:numCache>
                <c:formatCode>General</c:formatCode>
                <c:ptCount val="12"/>
                <c:pt idx="0">
                  <c:v>3</c:v>
                </c:pt>
                <c:pt idx="1">
                  <c:v>4</c:v>
                </c:pt>
                <c:pt idx="2">
                  <c:v>9</c:v>
                </c:pt>
                <c:pt idx="3">
                  <c:v>7</c:v>
                </c:pt>
                <c:pt idx="4">
                  <c:v>8</c:v>
                </c:pt>
                <c:pt idx="5">
                  <c:v>4</c:v>
                </c:pt>
                <c:pt idx="6">
                  <c:v>11</c:v>
                </c:pt>
                <c:pt idx="7">
                  <c:v>1</c:v>
                </c:pt>
                <c:pt idx="8">
                  <c:v>6</c:v>
                </c:pt>
                <c:pt idx="9">
                  <c:v>4</c:v>
                </c:pt>
                <c:pt idx="10">
                  <c:v>4</c:v>
                </c:pt>
                <c:pt idx="11">
                  <c:v>1</c:v>
                </c:pt>
              </c:numCache>
            </c:numRef>
          </c:val>
          <c:extLst>
            <c:ext xmlns:c16="http://schemas.microsoft.com/office/drawing/2014/chart" uri="{C3380CC4-5D6E-409C-BE32-E72D297353CC}">
              <c16:uniqueId val="{00000001-64FA-4994-B41F-67B4947A9DA5}"/>
            </c:ext>
          </c:extLst>
        </c:ser>
        <c:ser>
          <c:idx val="2"/>
          <c:order val="2"/>
          <c:tx>
            <c:strRef>
              <c:f>Sheet1!$D$1</c:f>
              <c:strCache>
                <c:ptCount val="1"/>
                <c:pt idx="0">
                  <c:v>Community Builder Engagements </c:v>
                </c:pt>
              </c:strCache>
            </c:strRef>
          </c:tx>
          <c:spPr>
            <a:solidFill>
              <a:schemeClr val="accent4"/>
            </a:solidFill>
            <a:ln>
              <a:noFill/>
            </a:ln>
            <a:effectLst/>
          </c:spPr>
          <c:invertIfNegative val="0"/>
          <c:cat>
            <c:numRef>
              <c:f>Sheet1!$A$2:$A$13</c:f>
              <c:numCache>
                <c:formatCode>mmm\-yy</c:formatCode>
                <c:ptCount val="12"/>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numCache>
            </c:numRef>
          </c:cat>
          <c:val>
            <c:numRef>
              <c:f>Sheet1!$D$2:$D$13</c:f>
              <c:numCache>
                <c:formatCode>General</c:formatCode>
                <c:ptCount val="12"/>
                <c:pt idx="0">
                  <c:v>18</c:v>
                </c:pt>
                <c:pt idx="1">
                  <c:v>24</c:v>
                </c:pt>
                <c:pt idx="2">
                  <c:v>17</c:v>
                </c:pt>
                <c:pt idx="3">
                  <c:v>18</c:v>
                </c:pt>
                <c:pt idx="4">
                  <c:v>21</c:v>
                </c:pt>
                <c:pt idx="5">
                  <c:v>14</c:v>
                </c:pt>
                <c:pt idx="6">
                  <c:v>18</c:v>
                </c:pt>
                <c:pt idx="7">
                  <c:v>21</c:v>
                </c:pt>
                <c:pt idx="8">
                  <c:v>17</c:v>
                </c:pt>
                <c:pt idx="9">
                  <c:v>15</c:v>
                </c:pt>
                <c:pt idx="10">
                  <c:v>25</c:v>
                </c:pt>
                <c:pt idx="11">
                  <c:v>13</c:v>
                </c:pt>
              </c:numCache>
            </c:numRef>
          </c:val>
          <c:extLst>
            <c:ext xmlns:c16="http://schemas.microsoft.com/office/drawing/2014/chart" uri="{C3380CC4-5D6E-409C-BE32-E72D297353CC}">
              <c16:uniqueId val="{00000002-64FA-4994-B41F-67B4947A9DA5}"/>
            </c:ext>
          </c:extLst>
        </c:ser>
        <c:dLbls>
          <c:showLegendKey val="0"/>
          <c:showVal val="0"/>
          <c:showCatName val="0"/>
          <c:showSerName val="0"/>
          <c:showPercent val="0"/>
          <c:showBubbleSize val="0"/>
        </c:dLbls>
        <c:gapWidth val="219"/>
        <c:axId val="431794480"/>
        <c:axId val="431794152"/>
      </c:barChart>
      <c:dateAx>
        <c:axId val="43179448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794152"/>
        <c:crosses val="autoZero"/>
        <c:auto val="1"/>
        <c:lblOffset val="100"/>
        <c:baseTimeUnit val="months"/>
      </c:dateAx>
      <c:valAx>
        <c:axId val="43179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79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4CB9-8689-4843-8C9B-8AAA733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3</cp:revision>
  <cp:lastPrinted>2018-09-18T13:53:00Z</cp:lastPrinted>
  <dcterms:created xsi:type="dcterms:W3CDTF">2018-09-17T19:02:00Z</dcterms:created>
  <dcterms:modified xsi:type="dcterms:W3CDTF">2018-09-18T13:53:00Z</dcterms:modified>
</cp:coreProperties>
</file>