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22" w:rsidRDefault="002F45F7" w:rsidP="00732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107DC" wp14:editId="555B80EA">
                <wp:simplePos x="0" y="0"/>
                <wp:positionH relativeFrom="column">
                  <wp:posOffset>-9525</wp:posOffset>
                </wp:positionH>
                <wp:positionV relativeFrom="paragraph">
                  <wp:posOffset>-1024255</wp:posOffset>
                </wp:positionV>
                <wp:extent cx="4352290" cy="781685"/>
                <wp:effectExtent l="635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107D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<v:textbox>
                  <w:txbxContent>
                    <w:p w:rsidR="00B15F8B" w:rsidRPr="002F45F7" w:rsidRDefault="002F45F7" w:rsidP="00B15F8B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:rsidR="00B15F8B" w:rsidRPr="002F45F7" w:rsidRDefault="00B15F8B" w:rsidP="00B15F8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4575904" wp14:editId="26783856">
            <wp:simplePos x="0" y="0"/>
            <wp:positionH relativeFrom="column">
              <wp:posOffset>-447040</wp:posOffset>
            </wp:positionH>
            <wp:positionV relativeFrom="paragraph">
              <wp:posOffset>-1593215</wp:posOffset>
            </wp:positionV>
            <wp:extent cx="6946900" cy="1572895"/>
            <wp:effectExtent l="0" t="0" r="0" b="0"/>
            <wp:wrapNone/>
            <wp:docPr id="10" name="Picture 17" descr="RH_A4+stripcrest_bor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_A4+stripcrest_bor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:rsidTr="00B15F8B">
        <w:trPr>
          <w:trHeight w:val="557"/>
        </w:trPr>
        <w:tc>
          <w:tcPr>
            <w:tcW w:w="2518" w:type="dxa"/>
          </w:tcPr>
          <w:p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:rsidR="00B15F8B" w:rsidRPr="00B15F8B" w:rsidRDefault="007750A6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Performance and Resources Board</w:t>
            </w:r>
            <w:r w:rsidR="00C9346B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:rsidR="00B15F8B" w:rsidRPr="00B15F8B" w:rsidRDefault="003C4D29" w:rsidP="00C9346B">
            <w:pPr>
              <w:spacing w:before="120" w:after="12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310294">
              <w:rPr>
                <w:rFonts w:cs="Times New Roman"/>
                <w:sz w:val="32"/>
                <w:szCs w:val="32"/>
              </w:rPr>
              <w:t>10</w:t>
            </w:r>
          </w:p>
        </w:tc>
      </w:tr>
      <w:tr w:rsidR="00B15F8B" w:rsidRPr="009E572F" w:rsidTr="00B15F8B">
        <w:tc>
          <w:tcPr>
            <w:tcW w:w="2518" w:type="dxa"/>
          </w:tcPr>
          <w:p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:rsidR="00B15F8B" w:rsidRPr="009E572F" w:rsidRDefault="003C4D29" w:rsidP="00571B68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</w:t>
            </w:r>
            <w:r w:rsidR="00571B68">
              <w:rPr>
                <w:rFonts w:cs="Times New Roman"/>
                <w:szCs w:val="20"/>
              </w:rPr>
              <w:t>3</w:t>
            </w:r>
            <w:r w:rsidR="007750A6">
              <w:rPr>
                <w:rFonts w:cs="Times New Roman"/>
                <w:szCs w:val="20"/>
              </w:rPr>
              <w:t>0</w:t>
            </w:r>
            <w:r w:rsidR="005E5076">
              <w:rPr>
                <w:rFonts w:cs="Times New Roman"/>
                <w:szCs w:val="20"/>
              </w:rPr>
              <w:t xml:space="preserve"> J</w:t>
            </w:r>
            <w:r w:rsidR="00571B68">
              <w:rPr>
                <w:rFonts w:cs="Times New Roman"/>
                <w:szCs w:val="20"/>
              </w:rPr>
              <w:t>uly</w:t>
            </w:r>
            <w:r w:rsidR="005E5076">
              <w:rPr>
                <w:rFonts w:cs="Times New Roman"/>
                <w:szCs w:val="20"/>
              </w:rPr>
              <w:t xml:space="preserve"> 2018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:rsidR="00B15F8B" w:rsidRPr="00B15F8B" w:rsidRDefault="003C4D29" w:rsidP="00571B68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:rsidR="009E572F" w:rsidRPr="00B15F8B" w:rsidRDefault="00134341" w:rsidP="009E572F">
            <w:pPr>
              <w:spacing w:before="120" w:after="120"/>
              <w:rPr>
                <w:rFonts w:cs="Times New Roman"/>
                <w:szCs w:val="20"/>
              </w:rPr>
            </w:pPr>
            <w:r w:rsidRPr="00134341">
              <w:rPr>
                <w:rFonts w:cs="Times New Roman"/>
                <w:szCs w:val="20"/>
              </w:rPr>
              <w:t>Director of Prevention, Protection &amp; Response</w:t>
            </w:r>
          </w:p>
        </w:tc>
      </w:tr>
      <w:tr w:rsidR="009E572F" w:rsidRPr="009E572F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9E572F" w:rsidRDefault="00C9346B" w:rsidP="009E572F">
            <w:pPr>
              <w:spacing w:before="120" w:after="120"/>
              <w:rPr>
                <w:rFonts w:cs="Times New Roman"/>
                <w:szCs w:val="20"/>
              </w:rPr>
            </w:pPr>
            <w:r w:rsidRPr="00C9346B">
              <w:rPr>
                <w:rFonts w:cs="Times New Roman"/>
                <w:szCs w:val="20"/>
              </w:rPr>
              <w:t>Director of Prevention, Protection &amp; Response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3A46D1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:rsidR="009E572F" w:rsidRPr="003A46D1" w:rsidRDefault="00C9346B" w:rsidP="00DB2D5C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Safeguarding Update </w:t>
            </w:r>
            <w:r w:rsidR="001A44CA">
              <w:rPr>
                <w:rFonts w:cs="Times New Roman"/>
                <w:b/>
                <w:szCs w:val="20"/>
              </w:rPr>
              <w:t>–</w:t>
            </w:r>
            <w:r>
              <w:rPr>
                <w:rFonts w:cs="Times New Roman"/>
                <w:b/>
                <w:szCs w:val="20"/>
              </w:rPr>
              <w:t xml:space="preserve"> </w:t>
            </w:r>
            <w:r w:rsidR="00DB2D5C">
              <w:rPr>
                <w:rFonts w:cs="Times New Roman"/>
                <w:b/>
                <w:szCs w:val="20"/>
              </w:rPr>
              <w:t xml:space="preserve">June </w:t>
            </w:r>
            <w:r w:rsidR="001A44CA">
              <w:rPr>
                <w:rFonts w:cs="Times New Roman"/>
                <w:b/>
                <w:szCs w:val="20"/>
              </w:rPr>
              <w:t xml:space="preserve"> 2018</w:t>
            </w:r>
            <w:r w:rsidR="00140FCC">
              <w:rPr>
                <w:rFonts w:cs="Times New Roman"/>
                <w:b/>
                <w:szCs w:val="20"/>
              </w:rPr>
              <w:t>/Assessment objectives</w:t>
            </w:r>
            <w:bookmarkStart w:id="0" w:name="_GoBack"/>
            <w:bookmarkEnd w:id="0"/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:rsidR="009E572F" w:rsidRPr="009E572F" w:rsidRDefault="00145906" w:rsidP="009E572F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Information</w:t>
            </w:r>
            <w:r w:rsidR="00C43DFB">
              <w:rPr>
                <w:rFonts w:cs="Times New Roman"/>
                <w:szCs w:val="20"/>
              </w:rPr>
              <w:t xml:space="preserve"> </w:t>
            </w:r>
          </w:p>
        </w:tc>
      </w:tr>
    </w:tbl>
    <w:p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footerReference w:type="first" r:id="rId9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:rsidR="00C0492F" w:rsidRPr="009C4F98" w:rsidRDefault="00C0492F" w:rsidP="00C0492F">
      <w:pPr>
        <w:pStyle w:val="Heading1"/>
      </w:pPr>
      <w:r w:rsidRPr="00C0492F">
        <w:t>Recommendations</w:t>
      </w:r>
    </w:p>
    <w:p w:rsidR="00C9346B" w:rsidRDefault="00C9346B" w:rsidP="00C9346B">
      <w:pPr>
        <w:pStyle w:val="NumbList3"/>
        <w:numPr>
          <w:ilvl w:val="0"/>
          <w:numId w:val="0"/>
        </w:numPr>
        <w:spacing w:after="240"/>
        <w:jc w:val="both"/>
      </w:pPr>
      <w:r>
        <w:t>Members of the board are asked to note the following content</w:t>
      </w:r>
      <w:r w:rsidR="00134341">
        <w:t>s of the report for information and provide feedback on the suggested objectives for the audit of our Safeguarding arrangements.</w:t>
      </w:r>
    </w:p>
    <w:p w:rsidR="00C0492F" w:rsidRPr="002E1E94" w:rsidRDefault="00C0492F" w:rsidP="00C0492F">
      <w:pPr>
        <w:pStyle w:val="Heading1"/>
      </w:pPr>
      <w:r>
        <w:t>BACKGROUND</w:t>
      </w:r>
    </w:p>
    <w:p w:rsidR="00164879" w:rsidRDefault="00C9346B" w:rsidP="00C9346B">
      <w:pPr>
        <w:pStyle w:val="NumbList3"/>
        <w:numPr>
          <w:ilvl w:val="0"/>
          <w:numId w:val="0"/>
        </w:numPr>
        <w:spacing w:after="240"/>
        <w:jc w:val="both"/>
      </w:pPr>
      <w:r w:rsidRPr="00C9346B">
        <w:t xml:space="preserve">Safeguarding updates are submitted to the </w:t>
      </w:r>
      <w:r w:rsidR="00134341">
        <w:t>Police, Fire and Crime Commissioner (PFCC)</w:t>
      </w:r>
      <w:r>
        <w:t xml:space="preserve"> on a </w:t>
      </w:r>
      <w:r w:rsidRPr="00C9346B">
        <w:t>monthly basis.</w:t>
      </w:r>
    </w:p>
    <w:p w:rsidR="00C0492F" w:rsidRPr="002E1E94" w:rsidRDefault="00C0492F" w:rsidP="00C0492F">
      <w:pPr>
        <w:pStyle w:val="Heading1"/>
      </w:pPr>
      <w:r>
        <w:t>Options and Analysis</w:t>
      </w:r>
    </w:p>
    <w:p w:rsidR="00065289" w:rsidRPr="00C9346B" w:rsidRDefault="00C9346B" w:rsidP="00C9346B">
      <w:pPr>
        <w:rPr>
          <w:rFonts w:eastAsiaTheme="minorHAnsi"/>
          <w:b/>
        </w:rPr>
      </w:pPr>
      <w:r w:rsidRPr="00C9346B">
        <w:rPr>
          <w:rFonts w:eastAsiaTheme="minorHAnsi"/>
          <w:b/>
        </w:rPr>
        <w:t xml:space="preserve">Adult Safeguarding referrals </w:t>
      </w:r>
      <w:r w:rsidR="00795919">
        <w:rPr>
          <w:rFonts w:eastAsiaTheme="minorHAnsi"/>
          <w:b/>
        </w:rPr>
        <w:t>June</w:t>
      </w:r>
      <w:r w:rsidR="003852EA">
        <w:rPr>
          <w:rFonts w:eastAsiaTheme="minorHAnsi"/>
          <w:b/>
        </w:rPr>
        <w:t xml:space="preserve"> 2018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 xml:space="preserve">Crews North West </w:t>
            </w:r>
          </w:p>
        </w:tc>
        <w:tc>
          <w:tcPr>
            <w:tcW w:w="4508" w:type="dxa"/>
          </w:tcPr>
          <w:p w:rsidR="00C9346B" w:rsidRPr="00C9346B" w:rsidRDefault="00795919" w:rsidP="00C9346B">
            <w:r>
              <w:t>0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 xml:space="preserve">Crews North East </w:t>
            </w:r>
          </w:p>
        </w:tc>
        <w:tc>
          <w:tcPr>
            <w:tcW w:w="4508" w:type="dxa"/>
          </w:tcPr>
          <w:p w:rsidR="00C9346B" w:rsidRPr="00C9346B" w:rsidRDefault="00795919" w:rsidP="00C9346B">
            <w:r>
              <w:t>2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 xml:space="preserve">Crews South West </w:t>
            </w:r>
          </w:p>
        </w:tc>
        <w:tc>
          <w:tcPr>
            <w:tcW w:w="4508" w:type="dxa"/>
          </w:tcPr>
          <w:p w:rsidR="00C9346B" w:rsidRPr="00C9346B" w:rsidRDefault="00795919" w:rsidP="003852EA">
            <w:r>
              <w:t>5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 xml:space="preserve">Crews South East </w:t>
            </w:r>
          </w:p>
        </w:tc>
        <w:tc>
          <w:tcPr>
            <w:tcW w:w="4508" w:type="dxa"/>
          </w:tcPr>
          <w:p w:rsidR="00C9346B" w:rsidRPr="00C9346B" w:rsidRDefault="00795919" w:rsidP="00C9346B">
            <w:r>
              <w:t>6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>HFS Technicians</w:t>
            </w:r>
          </w:p>
        </w:tc>
        <w:tc>
          <w:tcPr>
            <w:tcW w:w="4508" w:type="dxa"/>
          </w:tcPr>
          <w:p w:rsidR="00C9346B" w:rsidRPr="00C9346B" w:rsidRDefault="00795919" w:rsidP="00C9346B">
            <w:r>
              <w:t>3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>Community Builders</w:t>
            </w:r>
          </w:p>
        </w:tc>
        <w:tc>
          <w:tcPr>
            <w:tcW w:w="4508" w:type="dxa"/>
          </w:tcPr>
          <w:p w:rsidR="00C9346B" w:rsidRPr="00C9346B" w:rsidRDefault="00795919" w:rsidP="00C9346B">
            <w:r>
              <w:t>11</w:t>
            </w:r>
          </w:p>
        </w:tc>
      </w:tr>
      <w:tr w:rsidR="00F978B2" w:rsidRPr="00C9346B" w:rsidTr="00C45006">
        <w:tc>
          <w:tcPr>
            <w:tcW w:w="4508" w:type="dxa"/>
          </w:tcPr>
          <w:p w:rsidR="00F978B2" w:rsidRPr="00C9346B" w:rsidRDefault="00795919" w:rsidP="00C9346B">
            <w:r>
              <w:t>Police (Rural Collaboration)</w:t>
            </w:r>
          </w:p>
        </w:tc>
        <w:tc>
          <w:tcPr>
            <w:tcW w:w="4508" w:type="dxa"/>
          </w:tcPr>
          <w:p w:rsidR="00F978B2" w:rsidRDefault="00795919" w:rsidP="00C9346B">
            <w:r>
              <w:t>1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>Internal referrals</w:t>
            </w:r>
          </w:p>
        </w:tc>
        <w:tc>
          <w:tcPr>
            <w:tcW w:w="4508" w:type="dxa"/>
          </w:tcPr>
          <w:p w:rsidR="00C9346B" w:rsidRPr="00C9346B" w:rsidRDefault="00455574" w:rsidP="00C9346B">
            <w:r>
              <w:t>1</w:t>
            </w:r>
          </w:p>
        </w:tc>
      </w:tr>
      <w:tr w:rsidR="001A44CA" w:rsidRPr="00C9346B" w:rsidTr="001A44CA">
        <w:tc>
          <w:tcPr>
            <w:tcW w:w="4508" w:type="dxa"/>
            <w:shd w:val="clear" w:color="auto" w:fill="D9D9D9" w:themeFill="background1" w:themeFillShade="D9"/>
          </w:tcPr>
          <w:p w:rsidR="001A44CA" w:rsidRPr="001A44CA" w:rsidRDefault="001A44CA" w:rsidP="00C9346B">
            <w:pPr>
              <w:rPr>
                <w:b/>
              </w:rPr>
            </w:pPr>
            <w:r w:rsidRPr="001A44CA">
              <w:rPr>
                <w:b/>
              </w:rPr>
              <w:t>TOTAL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1A44CA" w:rsidRPr="001A44CA" w:rsidRDefault="00795919" w:rsidP="00C9346B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</w:tr>
    </w:tbl>
    <w:p w:rsidR="00164879" w:rsidRDefault="00164879" w:rsidP="00C9346B">
      <w:pPr>
        <w:rPr>
          <w:rFonts w:eastAsiaTheme="minorHAnsi"/>
        </w:rPr>
      </w:pPr>
    </w:p>
    <w:p w:rsidR="00164879" w:rsidRPr="00C9346B" w:rsidRDefault="00C9346B" w:rsidP="00C9346B">
      <w:pPr>
        <w:rPr>
          <w:rFonts w:eastAsiaTheme="minorHAnsi"/>
          <w:b/>
        </w:rPr>
      </w:pPr>
      <w:r w:rsidRPr="00C9346B">
        <w:rPr>
          <w:rFonts w:eastAsiaTheme="minorHAnsi"/>
          <w:b/>
        </w:rPr>
        <w:t xml:space="preserve">Children’s Safeguarding referrals </w:t>
      </w:r>
      <w:r w:rsidR="00795919">
        <w:rPr>
          <w:rFonts w:eastAsiaTheme="minorHAnsi"/>
          <w:b/>
        </w:rPr>
        <w:t xml:space="preserve">June </w:t>
      </w:r>
      <w:r w:rsidR="003852EA">
        <w:rPr>
          <w:rFonts w:eastAsiaTheme="minorHAnsi"/>
          <w:b/>
        </w:rPr>
        <w:t>2018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346B" w:rsidRPr="00C9346B" w:rsidTr="00164879">
        <w:trPr>
          <w:trHeight w:val="436"/>
        </w:trPr>
        <w:tc>
          <w:tcPr>
            <w:tcW w:w="4508" w:type="dxa"/>
          </w:tcPr>
          <w:p w:rsidR="00164879" w:rsidRPr="00C9346B" w:rsidRDefault="00C9346B" w:rsidP="00164879">
            <w:r w:rsidRPr="00C9346B">
              <w:t>Education Officers</w:t>
            </w:r>
          </w:p>
        </w:tc>
        <w:tc>
          <w:tcPr>
            <w:tcW w:w="4508" w:type="dxa"/>
          </w:tcPr>
          <w:p w:rsidR="00C9346B" w:rsidRPr="00C9346B" w:rsidRDefault="00795919" w:rsidP="00C9346B">
            <w:r>
              <w:t>2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795919" w:rsidP="00C9346B">
            <w:r>
              <w:t>Community Builder</w:t>
            </w:r>
          </w:p>
        </w:tc>
        <w:tc>
          <w:tcPr>
            <w:tcW w:w="4508" w:type="dxa"/>
          </w:tcPr>
          <w:p w:rsidR="00C9346B" w:rsidRPr="00C9346B" w:rsidRDefault="00795919" w:rsidP="00C9346B">
            <w:r>
              <w:t>2</w:t>
            </w:r>
          </w:p>
        </w:tc>
      </w:tr>
      <w:tr w:rsidR="001A44CA" w:rsidRPr="00C9346B" w:rsidTr="001A44CA">
        <w:tc>
          <w:tcPr>
            <w:tcW w:w="4508" w:type="dxa"/>
            <w:shd w:val="clear" w:color="auto" w:fill="D9D9D9" w:themeFill="background1" w:themeFillShade="D9"/>
          </w:tcPr>
          <w:p w:rsidR="001A44CA" w:rsidRPr="001A44CA" w:rsidRDefault="001A44CA" w:rsidP="00C9346B">
            <w:pPr>
              <w:rPr>
                <w:b/>
              </w:rPr>
            </w:pPr>
            <w:r w:rsidRPr="001A44CA">
              <w:rPr>
                <w:b/>
              </w:rPr>
              <w:t>TOTAL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1A44CA" w:rsidRPr="001A44CA" w:rsidRDefault="00795919" w:rsidP="00C934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64879" w:rsidRDefault="00795919" w:rsidP="00C9346B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795919" w:rsidRDefault="00795919" w:rsidP="00C9346B">
      <w:pPr>
        <w:rPr>
          <w:rFonts w:eastAsiaTheme="minorHAnsi"/>
        </w:rPr>
      </w:pPr>
    </w:p>
    <w:p w:rsidR="00795919" w:rsidRDefault="00795919" w:rsidP="00C9346B">
      <w:pPr>
        <w:rPr>
          <w:rFonts w:eastAsiaTheme="minorHAnsi"/>
          <w:b/>
        </w:rPr>
      </w:pPr>
    </w:p>
    <w:p w:rsidR="001A44CA" w:rsidRPr="00C9346B" w:rsidRDefault="00C9346B" w:rsidP="00C9346B">
      <w:pPr>
        <w:rPr>
          <w:rFonts w:eastAsiaTheme="minorHAnsi"/>
          <w:b/>
        </w:rPr>
      </w:pPr>
      <w:r w:rsidRPr="00C9346B">
        <w:rPr>
          <w:rFonts w:eastAsiaTheme="minorHAnsi"/>
          <w:b/>
        </w:rPr>
        <w:t xml:space="preserve">Community Builder Engagements </w:t>
      </w:r>
      <w:r w:rsidR="00795919">
        <w:rPr>
          <w:rFonts w:eastAsiaTheme="minorHAnsi"/>
          <w:b/>
        </w:rPr>
        <w:t>June 2018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1A44CA" w:rsidRPr="00C9346B" w:rsidTr="00DC076C">
        <w:tc>
          <w:tcPr>
            <w:tcW w:w="2689" w:type="dxa"/>
          </w:tcPr>
          <w:p w:rsidR="001A44CA" w:rsidRPr="00C9346B" w:rsidRDefault="001A44CA" w:rsidP="00C9346B">
            <w:r w:rsidRPr="00C9346B">
              <w:t>North East</w:t>
            </w:r>
          </w:p>
        </w:tc>
        <w:tc>
          <w:tcPr>
            <w:tcW w:w="3118" w:type="dxa"/>
          </w:tcPr>
          <w:p w:rsidR="001A44CA" w:rsidRPr="00C9346B" w:rsidRDefault="00795919" w:rsidP="00C9346B">
            <w:r>
              <w:t>4</w:t>
            </w:r>
          </w:p>
        </w:tc>
      </w:tr>
      <w:tr w:rsidR="001A44CA" w:rsidRPr="00C9346B" w:rsidTr="00DC076C">
        <w:tc>
          <w:tcPr>
            <w:tcW w:w="2689" w:type="dxa"/>
          </w:tcPr>
          <w:p w:rsidR="001A44CA" w:rsidRPr="00C9346B" w:rsidRDefault="001A44CA" w:rsidP="00C9346B">
            <w:r w:rsidRPr="00C9346B">
              <w:t>North West</w:t>
            </w:r>
          </w:p>
        </w:tc>
        <w:tc>
          <w:tcPr>
            <w:tcW w:w="3118" w:type="dxa"/>
          </w:tcPr>
          <w:p w:rsidR="001A44CA" w:rsidRPr="00C9346B" w:rsidRDefault="00795919" w:rsidP="00C9346B">
            <w:r>
              <w:t>2</w:t>
            </w:r>
          </w:p>
        </w:tc>
      </w:tr>
      <w:tr w:rsidR="001A44CA" w:rsidRPr="00C9346B" w:rsidTr="00DC076C">
        <w:tc>
          <w:tcPr>
            <w:tcW w:w="2689" w:type="dxa"/>
          </w:tcPr>
          <w:p w:rsidR="001A44CA" w:rsidRPr="00C9346B" w:rsidRDefault="001A44CA" w:rsidP="00C9346B">
            <w:r w:rsidRPr="00C9346B">
              <w:t>South East</w:t>
            </w:r>
          </w:p>
        </w:tc>
        <w:tc>
          <w:tcPr>
            <w:tcW w:w="3118" w:type="dxa"/>
          </w:tcPr>
          <w:p w:rsidR="001A44CA" w:rsidRPr="00C9346B" w:rsidRDefault="00795919" w:rsidP="00C9346B">
            <w:r>
              <w:t>7</w:t>
            </w:r>
          </w:p>
        </w:tc>
      </w:tr>
      <w:tr w:rsidR="001A44CA" w:rsidRPr="00C9346B" w:rsidTr="00DC076C">
        <w:trPr>
          <w:trHeight w:val="70"/>
        </w:trPr>
        <w:tc>
          <w:tcPr>
            <w:tcW w:w="2689" w:type="dxa"/>
          </w:tcPr>
          <w:p w:rsidR="001A44CA" w:rsidRPr="00C9346B" w:rsidRDefault="001A44CA" w:rsidP="00C9346B">
            <w:r w:rsidRPr="00C9346B">
              <w:t>South West</w:t>
            </w:r>
          </w:p>
        </w:tc>
        <w:tc>
          <w:tcPr>
            <w:tcW w:w="3118" w:type="dxa"/>
          </w:tcPr>
          <w:p w:rsidR="001A44CA" w:rsidRPr="00C9346B" w:rsidRDefault="00795919" w:rsidP="00C9346B">
            <w:r>
              <w:t>2</w:t>
            </w:r>
          </w:p>
        </w:tc>
      </w:tr>
      <w:tr w:rsidR="001A44CA" w:rsidRPr="00C9346B" w:rsidTr="001A44CA">
        <w:trPr>
          <w:trHeight w:val="70"/>
        </w:trPr>
        <w:tc>
          <w:tcPr>
            <w:tcW w:w="2689" w:type="dxa"/>
            <w:shd w:val="clear" w:color="auto" w:fill="D9D9D9" w:themeFill="background1" w:themeFillShade="D9"/>
          </w:tcPr>
          <w:p w:rsidR="001A44CA" w:rsidRPr="001A44CA" w:rsidRDefault="001A44CA" w:rsidP="00C9346B">
            <w:pPr>
              <w:rPr>
                <w:b/>
              </w:rPr>
            </w:pPr>
            <w:r w:rsidRPr="001A44CA">
              <w:rPr>
                <w:b/>
              </w:rPr>
              <w:t>TOTAL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A44CA" w:rsidRPr="001A44CA" w:rsidRDefault="00795919" w:rsidP="005F279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164879" w:rsidRDefault="00164879" w:rsidP="00C9346B">
      <w:pPr>
        <w:rPr>
          <w:rFonts w:eastAsiaTheme="minorHAnsi"/>
          <w:b/>
        </w:rPr>
      </w:pPr>
    </w:p>
    <w:p w:rsidR="00772286" w:rsidRDefault="00C9346B" w:rsidP="00C9346B">
      <w:pPr>
        <w:rPr>
          <w:rFonts w:eastAsiaTheme="minorHAnsi"/>
          <w:b/>
        </w:rPr>
      </w:pPr>
      <w:r w:rsidRPr="00C9346B">
        <w:rPr>
          <w:rFonts w:eastAsiaTheme="minorHAnsi"/>
          <w:b/>
        </w:rPr>
        <w:t>Comparison Trends for the previous 12 months</w:t>
      </w:r>
    </w:p>
    <w:p w:rsidR="003C4D29" w:rsidRPr="00C9346B" w:rsidRDefault="00165D99" w:rsidP="00C9346B">
      <w:pPr>
        <w:rPr>
          <w:rFonts w:eastAsiaTheme="minorHAnsi"/>
          <w:b/>
        </w:rPr>
      </w:pPr>
      <w:r w:rsidRPr="00C9346B">
        <w:rPr>
          <w:rFonts w:eastAsiaTheme="minorHAnsi"/>
          <w:b/>
          <w:noProof/>
          <w:lang w:eastAsia="en-GB"/>
        </w:rPr>
        <w:drawing>
          <wp:inline distT="0" distB="0" distL="0" distR="0" wp14:anchorId="1C1E71EE" wp14:editId="57057101">
            <wp:extent cx="5972538" cy="3645725"/>
            <wp:effectExtent l="0" t="0" r="9525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4879" w:rsidRPr="00C9346B" w:rsidRDefault="00164879" w:rsidP="00C9346B">
      <w:pPr>
        <w:rPr>
          <w:rFonts w:eastAsiaTheme="minorHAnsi"/>
          <w:b/>
        </w:rPr>
      </w:pPr>
    </w:p>
    <w:p w:rsidR="00C9346B" w:rsidRDefault="00C9346B" w:rsidP="00C9346B">
      <w:pPr>
        <w:jc w:val="both"/>
        <w:rPr>
          <w:rFonts w:eastAsiaTheme="minorHAnsi"/>
          <w:b/>
        </w:rPr>
      </w:pPr>
      <w:r w:rsidRPr="00C9346B">
        <w:rPr>
          <w:rFonts w:eastAsiaTheme="minorHAnsi"/>
          <w:b/>
        </w:rPr>
        <w:t>Total number of outstanding</w:t>
      </w:r>
      <w:r w:rsidR="003C4D29">
        <w:rPr>
          <w:rFonts w:eastAsiaTheme="minorHAnsi"/>
          <w:b/>
        </w:rPr>
        <w:t xml:space="preserve">/open </w:t>
      </w:r>
      <w:r w:rsidRPr="00C9346B">
        <w:rPr>
          <w:rFonts w:eastAsiaTheme="minorHAnsi"/>
          <w:b/>
        </w:rPr>
        <w:t>referrals</w:t>
      </w:r>
    </w:p>
    <w:p w:rsidR="003C4D29" w:rsidRPr="00C9346B" w:rsidRDefault="003C4D29" w:rsidP="00C9346B">
      <w:pPr>
        <w:jc w:val="both"/>
        <w:rPr>
          <w:rFonts w:eastAsiaTheme="minorHAnsi"/>
          <w:b/>
        </w:rPr>
      </w:pPr>
    </w:p>
    <w:p w:rsidR="00EB3E1B" w:rsidRDefault="00393D2A" w:rsidP="00230895">
      <w:pPr>
        <w:jc w:val="both"/>
        <w:rPr>
          <w:rFonts w:eastAsiaTheme="minorHAnsi"/>
        </w:rPr>
      </w:pPr>
      <w:r>
        <w:rPr>
          <w:rFonts w:eastAsiaTheme="minorHAnsi"/>
        </w:rPr>
        <w:t>The current n</w:t>
      </w:r>
      <w:r w:rsidR="00C9346B" w:rsidRPr="00C9346B">
        <w:rPr>
          <w:rFonts w:eastAsiaTheme="minorHAnsi"/>
        </w:rPr>
        <w:t xml:space="preserve">umber of outstanding referrals being case managed </w:t>
      </w:r>
      <w:r w:rsidR="009A737C">
        <w:rPr>
          <w:rFonts w:eastAsiaTheme="minorHAnsi"/>
        </w:rPr>
        <w:t>increases daily with</w:t>
      </w:r>
      <w:r w:rsidR="00671A54">
        <w:rPr>
          <w:rFonts w:eastAsiaTheme="minorHAnsi"/>
        </w:rPr>
        <w:t xml:space="preserve"> currently 1</w:t>
      </w:r>
      <w:r w:rsidR="00795919">
        <w:rPr>
          <w:rFonts w:eastAsiaTheme="minorHAnsi"/>
        </w:rPr>
        <w:t>60</w:t>
      </w:r>
      <w:r w:rsidR="00671A54">
        <w:rPr>
          <w:rFonts w:eastAsiaTheme="minorHAnsi"/>
        </w:rPr>
        <w:t xml:space="preserve"> open cases</w:t>
      </w:r>
      <w:r w:rsidR="007C54B2">
        <w:rPr>
          <w:rFonts w:eastAsiaTheme="minorHAnsi"/>
        </w:rPr>
        <w:t xml:space="preserve">. </w:t>
      </w:r>
      <w:r w:rsidR="00795919">
        <w:rPr>
          <w:rFonts w:eastAsiaTheme="minorHAnsi"/>
        </w:rPr>
        <w:t xml:space="preserve">We are </w:t>
      </w:r>
      <w:r w:rsidR="00571B68">
        <w:rPr>
          <w:rFonts w:eastAsiaTheme="minorHAnsi"/>
        </w:rPr>
        <w:t xml:space="preserve">not </w:t>
      </w:r>
      <w:r w:rsidR="00795919">
        <w:rPr>
          <w:rFonts w:eastAsiaTheme="minorHAnsi"/>
        </w:rPr>
        <w:t>receiving</w:t>
      </w:r>
      <w:r w:rsidR="00571B68">
        <w:rPr>
          <w:rFonts w:eastAsiaTheme="minorHAnsi"/>
        </w:rPr>
        <w:t xml:space="preserve"> </w:t>
      </w:r>
      <w:r w:rsidR="00795919">
        <w:rPr>
          <w:rFonts w:eastAsiaTheme="minorHAnsi"/>
        </w:rPr>
        <w:t xml:space="preserve">updates from Essex Social Care and therefore </w:t>
      </w:r>
      <w:r w:rsidR="00397A3B">
        <w:rPr>
          <w:rFonts w:eastAsiaTheme="minorHAnsi"/>
        </w:rPr>
        <w:t xml:space="preserve">are, </w:t>
      </w:r>
      <w:r w:rsidR="00795919">
        <w:rPr>
          <w:rFonts w:eastAsiaTheme="minorHAnsi"/>
        </w:rPr>
        <w:t>at present</w:t>
      </w:r>
      <w:r w:rsidR="00397A3B">
        <w:rPr>
          <w:rFonts w:eastAsiaTheme="minorHAnsi"/>
        </w:rPr>
        <w:t>,</w:t>
      </w:r>
      <w:r w:rsidR="00795919">
        <w:rPr>
          <w:rFonts w:eastAsiaTheme="minorHAnsi"/>
        </w:rPr>
        <w:t xml:space="preserve"> unable to advise those referring cases of outcomes</w:t>
      </w:r>
      <w:r w:rsidR="00397A3B">
        <w:rPr>
          <w:rFonts w:eastAsiaTheme="minorHAnsi"/>
        </w:rPr>
        <w:t xml:space="preserve">. </w:t>
      </w:r>
      <w:r w:rsidR="00134341">
        <w:rPr>
          <w:rFonts w:eastAsiaTheme="minorHAnsi"/>
        </w:rPr>
        <w:t>The Deputy PFCC has liaised directly with Essex County Council and it is hoped that this matter will soon be resolved, and the number of open cases significantly reduced</w:t>
      </w:r>
      <w:r w:rsidR="00795919">
        <w:rPr>
          <w:rFonts w:eastAsiaTheme="minorHAnsi"/>
        </w:rPr>
        <w:t xml:space="preserve">. </w:t>
      </w:r>
    </w:p>
    <w:p w:rsidR="003E2350" w:rsidRDefault="003E2350" w:rsidP="00C9346B">
      <w:pPr>
        <w:jc w:val="both"/>
        <w:rPr>
          <w:rFonts w:eastAsiaTheme="minorHAnsi"/>
          <w:b/>
        </w:rPr>
      </w:pPr>
    </w:p>
    <w:p w:rsidR="00C9346B" w:rsidRDefault="00C9346B" w:rsidP="00C9346B">
      <w:pPr>
        <w:jc w:val="both"/>
        <w:rPr>
          <w:rFonts w:eastAsiaTheme="minorHAnsi"/>
          <w:b/>
        </w:rPr>
      </w:pPr>
      <w:r w:rsidRPr="00C9346B">
        <w:rPr>
          <w:rFonts w:eastAsiaTheme="minorHAnsi"/>
          <w:b/>
        </w:rPr>
        <w:t>Any trends/ areas attracting most referrals</w:t>
      </w:r>
    </w:p>
    <w:p w:rsidR="00802E3E" w:rsidRPr="00C9346B" w:rsidRDefault="00802E3E" w:rsidP="00C9346B">
      <w:pPr>
        <w:jc w:val="both"/>
        <w:rPr>
          <w:rFonts w:eastAsiaTheme="minorHAnsi"/>
          <w:b/>
        </w:rPr>
      </w:pPr>
    </w:p>
    <w:p w:rsidR="003C4D29" w:rsidRDefault="00C9346B" w:rsidP="00C9346B">
      <w:pPr>
        <w:jc w:val="both"/>
        <w:rPr>
          <w:rFonts w:eastAsiaTheme="minorHAnsi"/>
        </w:rPr>
      </w:pPr>
      <w:r w:rsidRPr="00C9346B">
        <w:rPr>
          <w:rFonts w:eastAsiaTheme="minorHAnsi"/>
        </w:rPr>
        <w:t xml:space="preserve">The majority of referrals are regarding concerns for older people and their welfare, including hoarding. </w:t>
      </w:r>
    </w:p>
    <w:p w:rsidR="00C9346B" w:rsidRPr="00C9346B" w:rsidRDefault="00C9346B" w:rsidP="00C9346B">
      <w:pPr>
        <w:jc w:val="both"/>
        <w:rPr>
          <w:rFonts w:eastAsiaTheme="minorHAnsi"/>
        </w:rPr>
      </w:pPr>
    </w:p>
    <w:p w:rsidR="00C9346B" w:rsidRPr="00C9346B" w:rsidRDefault="00802E3E" w:rsidP="00C9346B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UPDATE ON RESOURCES</w:t>
      </w:r>
    </w:p>
    <w:p w:rsidR="00C9346B" w:rsidRPr="00C9346B" w:rsidRDefault="00C9346B" w:rsidP="00C9346B">
      <w:pPr>
        <w:jc w:val="both"/>
        <w:rPr>
          <w:rFonts w:eastAsiaTheme="minorHAnsi"/>
        </w:rPr>
      </w:pPr>
    </w:p>
    <w:p w:rsidR="00C9346B" w:rsidRDefault="00C9346B" w:rsidP="00C9346B">
      <w:pPr>
        <w:jc w:val="both"/>
        <w:rPr>
          <w:rFonts w:eastAsiaTheme="minorHAnsi"/>
        </w:rPr>
      </w:pPr>
      <w:r w:rsidRPr="00C9346B">
        <w:rPr>
          <w:rFonts w:eastAsiaTheme="minorHAnsi"/>
          <w:b/>
        </w:rPr>
        <w:t>Community</w:t>
      </w:r>
      <w:r w:rsidR="00134341">
        <w:rPr>
          <w:rFonts w:eastAsiaTheme="minorHAnsi"/>
          <w:b/>
        </w:rPr>
        <w:t xml:space="preserve"> &amp; Rural</w:t>
      </w:r>
      <w:r w:rsidRPr="00C9346B">
        <w:rPr>
          <w:rFonts w:eastAsiaTheme="minorHAnsi"/>
          <w:b/>
        </w:rPr>
        <w:t xml:space="preserve"> Builders</w:t>
      </w:r>
      <w:r w:rsidRPr="00C9346B">
        <w:rPr>
          <w:rFonts w:eastAsiaTheme="minorHAnsi"/>
        </w:rPr>
        <w:t xml:space="preserve">: </w:t>
      </w:r>
    </w:p>
    <w:p w:rsidR="00743E3F" w:rsidRDefault="00795919" w:rsidP="00C9346B">
      <w:pPr>
        <w:jc w:val="both"/>
        <w:rPr>
          <w:rFonts w:eastAsiaTheme="minorHAnsi"/>
        </w:rPr>
      </w:pPr>
      <w:r>
        <w:rPr>
          <w:rFonts w:eastAsiaTheme="minorHAnsi"/>
        </w:rPr>
        <w:t>We have received 18 applications for the Community Builder role which are currently being reviewed and an offer of interview will be going our shortly to those short listed.</w:t>
      </w:r>
    </w:p>
    <w:p w:rsidR="000E68C7" w:rsidRDefault="000E68C7" w:rsidP="00C9346B">
      <w:pPr>
        <w:jc w:val="both"/>
        <w:rPr>
          <w:rFonts w:eastAsiaTheme="minorHAnsi"/>
        </w:rPr>
      </w:pPr>
    </w:p>
    <w:p w:rsidR="00B45E14" w:rsidRDefault="00743E3F" w:rsidP="00C9346B">
      <w:pPr>
        <w:jc w:val="both"/>
        <w:rPr>
          <w:rFonts w:eastAsiaTheme="minorHAnsi"/>
        </w:rPr>
      </w:pPr>
      <w:r w:rsidRPr="00743E3F">
        <w:rPr>
          <w:rFonts w:eastAsiaTheme="minorHAnsi"/>
        </w:rPr>
        <w:t xml:space="preserve">The two Rural Builders </w:t>
      </w:r>
      <w:r w:rsidR="001A44CA">
        <w:rPr>
          <w:rFonts w:eastAsiaTheme="minorHAnsi"/>
        </w:rPr>
        <w:t xml:space="preserve">involved in the collaboration project </w:t>
      </w:r>
      <w:r w:rsidR="00C904B8">
        <w:rPr>
          <w:rFonts w:eastAsiaTheme="minorHAnsi"/>
        </w:rPr>
        <w:t xml:space="preserve">are continuing to work well and having recently received back </w:t>
      </w:r>
      <w:r w:rsidR="00D35AB0">
        <w:rPr>
          <w:rFonts w:eastAsiaTheme="minorHAnsi"/>
        </w:rPr>
        <w:t xml:space="preserve">clearance </w:t>
      </w:r>
      <w:r w:rsidR="00C904B8">
        <w:rPr>
          <w:rFonts w:eastAsiaTheme="minorHAnsi"/>
        </w:rPr>
        <w:t xml:space="preserve">for their checks are now able to work more </w:t>
      </w:r>
      <w:r w:rsidR="00C904B8">
        <w:rPr>
          <w:rFonts w:eastAsiaTheme="minorHAnsi"/>
        </w:rPr>
        <w:lastRenderedPageBreak/>
        <w:t>in depth with the Policing teams.</w:t>
      </w:r>
      <w:r w:rsidR="0096195E">
        <w:rPr>
          <w:rFonts w:eastAsiaTheme="minorHAnsi"/>
        </w:rPr>
        <w:t xml:space="preserve"> They have </w:t>
      </w:r>
      <w:r w:rsidR="0011773E">
        <w:rPr>
          <w:rFonts w:eastAsiaTheme="minorHAnsi"/>
        </w:rPr>
        <w:t>both recently passed the Home security exam.</w:t>
      </w:r>
      <w:r w:rsidR="0096195E">
        <w:rPr>
          <w:rFonts w:eastAsiaTheme="minorHAnsi"/>
        </w:rPr>
        <w:t xml:space="preserve"> </w:t>
      </w:r>
      <w:r w:rsidR="0011773E">
        <w:rPr>
          <w:rFonts w:eastAsiaTheme="minorHAnsi"/>
        </w:rPr>
        <w:t xml:space="preserve"> </w:t>
      </w:r>
    </w:p>
    <w:p w:rsidR="00802E3E" w:rsidRPr="00772286" w:rsidRDefault="00802E3E" w:rsidP="00C9346B">
      <w:pPr>
        <w:jc w:val="both"/>
        <w:rPr>
          <w:rFonts w:eastAsiaTheme="minorHAnsi"/>
        </w:rPr>
      </w:pPr>
    </w:p>
    <w:p w:rsidR="00C6340A" w:rsidRDefault="00134341" w:rsidP="00C6340A">
      <w:pPr>
        <w:jc w:val="both"/>
        <w:rPr>
          <w:rFonts w:eastAsiaTheme="minorHAnsi"/>
        </w:rPr>
      </w:pPr>
      <w:r>
        <w:rPr>
          <w:rFonts w:eastAsiaTheme="minorHAnsi"/>
        </w:rPr>
        <w:t>At the request of the PFCC an audit will be instigated into the Service approach to Safeguarding. The following object</w:t>
      </w:r>
      <w:r w:rsidR="00C6340A">
        <w:rPr>
          <w:rFonts w:eastAsiaTheme="minorHAnsi"/>
        </w:rPr>
        <w:t>ive</w:t>
      </w:r>
      <w:r>
        <w:rPr>
          <w:rFonts w:eastAsiaTheme="minorHAnsi"/>
        </w:rPr>
        <w:t xml:space="preserve">s are suggested for this audit; - </w:t>
      </w:r>
    </w:p>
    <w:p w:rsidR="00C6340A" w:rsidRDefault="00C6340A" w:rsidP="00C6340A">
      <w:pPr>
        <w:jc w:val="both"/>
        <w:rPr>
          <w:rFonts w:eastAsiaTheme="minorHAnsi"/>
        </w:rPr>
      </w:pPr>
    </w:p>
    <w:p w:rsidR="00C6340A" w:rsidRPr="00C6340A" w:rsidRDefault="00C6340A" w:rsidP="00C6340A">
      <w:pPr>
        <w:pStyle w:val="ListParagraph"/>
        <w:numPr>
          <w:ilvl w:val="0"/>
          <w:numId w:val="15"/>
        </w:numPr>
        <w:jc w:val="both"/>
        <w:rPr>
          <w:rFonts w:eastAsiaTheme="minorHAnsi"/>
        </w:rPr>
      </w:pPr>
      <w:r>
        <w:t>Is the Service’s Safeguarding policy polices compliant with all relevant legislation?</w:t>
      </w:r>
    </w:p>
    <w:p w:rsidR="00C6340A" w:rsidRDefault="00C6340A" w:rsidP="00C6340A">
      <w:pPr>
        <w:pStyle w:val="ListParagraph"/>
        <w:numPr>
          <w:ilvl w:val="0"/>
          <w:numId w:val="15"/>
        </w:numPr>
      </w:pPr>
      <w:r>
        <w:t>Are the reporting and governance arrangements currently in place for Safeguarding appropriate and effective?</w:t>
      </w:r>
    </w:p>
    <w:p w:rsidR="00C6340A" w:rsidRDefault="00C6340A" w:rsidP="00C6340A">
      <w:pPr>
        <w:pStyle w:val="ListParagraph"/>
        <w:numPr>
          <w:ilvl w:val="0"/>
          <w:numId w:val="15"/>
        </w:numPr>
      </w:pPr>
      <w:r>
        <w:t>Are the Services safer recruitment process effective and being complied with?</w:t>
      </w:r>
    </w:p>
    <w:p w:rsidR="00C6340A" w:rsidRDefault="00C6340A" w:rsidP="00C6340A">
      <w:pPr>
        <w:pStyle w:val="ListParagraph"/>
        <w:numPr>
          <w:ilvl w:val="0"/>
          <w:numId w:val="15"/>
        </w:numPr>
      </w:pPr>
      <w:r>
        <w:t>Is the staff training and development for safeguarding appropriate and proportionate?</w:t>
      </w:r>
    </w:p>
    <w:p w:rsidR="00C6340A" w:rsidRDefault="00C6340A" w:rsidP="00C6340A">
      <w:pPr>
        <w:pStyle w:val="ListParagraph"/>
        <w:numPr>
          <w:ilvl w:val="0"/>
          <w:numId w:val="15"/>
        </w:numPr>
      </w:pPr>
      <w:r>
        <w:t>Are the Service’s current Safeguarding working practices for sharing information GDPR compliant?</w:t>
      </w:r>
    </w:p>
    <w:p w:rsidR="00C6340A" w:rsidRDefault="00C6340A" w:rsidP="00C6340A">
      <w:pPr>
        <w:pStyle w:val="ListParagraph"/>
        <w:numPr>
          <w:ilvl w:val="0"/>
          <w:numId w:val="15"/>
        </w:numPr>
      </w:pPr>
      <w:r>
        <w:t>Are the Service’s recording and documenting (i.e. casefiles) processes effective and GDPR compliant?</w:t>
      </w:r>
    </w:p>
    <w:p w:rsidR="00C6340A" w:rsidRDefault="00C6340A" w:rsidP="00C6340A">
      <w:pPr>
        <w:pStyle w:val="ListParagraph"/>
        <w:numPr>
          <w:ilvl w:val="0"/>
          <w:numId w:val="15"/>
        </w:numPr>
      </w:pPr>
      <w:r>
        <w:t>Are the Service’s current Safeguarding compliant processes effective?</w:t>
      </w:r>
    </w:p>
    <w:p w:rsidR="00C6340A" w:rsidRPr="00C6340A" w:rsidRDefault="00C6340A" w:rsidP="00C6340A">
      <w:pPr>
        <w:pStyle w:val="ListParagraph"/>
        <w:numPr>
          <w:ilvl w:val="0"/>
          <w:numId w:val="15"/>
        </w:numPr>
      </w:pPr>
      <w:r>
        <w:t>Are staff aware</w:t>
      </w:r>
      <w:r w:rsidRPr="00C6340A">
        <w:t xml:space="preserve"> of Safeguarding procedures and how to report</w:t>
      </w:r>
      <w:r>
        <w:t>?</w:t>
      </w:r>
    </w:p>
    <w:p w:rsidR="00134341" w:rsidRDefault="00134341" w:rsidP="00C9346B">
      <w:pPr>
        <w:jc w:val="both"/>
        <w:rPr>
          <w:rFonts w:eastAsiaTheme="minorHAnsi"/>
        </w:rPr>
      </w:pPr>
    </w:p>
    <w:p w:rsidR="00134341" w:rsidRDefault="00134341" w:rsidP="00C9346B">
      <w:pPr>
        <w:jc w:val="both"/>
        <w:rPr>
          <w:rFonts w:eastAsiaTheme="minorHAnsi"/>
        </w:rPr>
      </w:pPr>
    </w:p>
    <w:p w:rsidR="00FD7536" w:rsidRPr="000C0EE3" w:rsidRDefault="00802E3E" w:rsidP="003E2350">
      <w:pPr>
        <w:jc w:val="both"/>
        <w:rPr>
          <w:rFonts w:eastAsiaTheme="minorHAnsi"/>
          <w:b/>
        </w:rPr>
      </w:pPr>
      <w:r w:rsidRPr="00802E3E">
        <w:rPr>
          <w:rFonts w:eastAsiaTheme="minorHAnsi"/>
          <w:b/>
        </w:rPr>
        <w:t>Significant Information</w:t>
      </w:r>
      <w:r>
        <w:rPr>
          <w:rFonts w:eastAsiaTheme="minorHAnsi"/>
          <w:b/>
        </w:rPr>
        <w:t>:</w:t>
      </w:r>
      <w:r w:rsidR="0011773E">
        <w:rPr>
          <w:rFonts w:eastAsiaTheme="minorHAnsi"/>
          <w:b/>
        </w:rPr>
        <w:t xml:space="preserve"> </w:t>
      </w:r>
    </w:p>
    <w:p w:rsidR="0011773E" w:rsidRPr="003E2350" w:rsidRDefault="0011773E" w:rsidP="003E2350">
      <w:pPr>
        <w:jc w:val="both"/>
        <w:rPr>
          <w:rFonts w:eastAsiaTheme="minorHAnsi"/>
        </w:rPr>
      </w:pPr>
    </w:p>
    <w:p w:rsidR="00230895" w:rsidRDefault="00C0492F" w:rsidP="00230895">
      <w:pPr>
        <w:pStyle w:val="Heading1"/>
      </w:pPr>
      <w:r w:rsidRPr="002E1E94">
        <w:t>Benefits and Risk Implications</w:t>
      </w:r>
    </w:p>
    <w:p w:rsidR="00772286" w:rsidRDefault="00134341" w:rsidP="00FD7536">
      <w:pPr>
        <w:jc w:val="both"/>
      </w:pPr>
      <w:r>
        <w:t xml:space="preserve">Resolving the amount of outstanding cases will significant help in reducing the </w:t>
      </w:r>
      <w:r w:rsidR="00BE70EA">
        <w:t>significant</w:t>
      </w:r>
      <w:r w:rsidR="000A2A62" w:rsidRPr="00772286">
        <w:t xml:space="preserve"> </w:t>
      </w:r>
      <w:r>
        <w:t>workload</w:t>
      </w:r>
      <w:r w:rsidR="00C904B8" w:rsidRPr="00772286">
        <w:t xml:space="preserve"> on the team</w:t>
      </w:r>
      <w:r>
        <w:t>. Head of Community Safety will continue to monitor w</w:t>
      </w:r>
      <w:r w:rsidR="00397A3B">
        <w:t>ork</w:t>
      </w:r>
      <w:r>
        <w:t>loads</w:t>
      </w:r>
      <w:r w:rsidR="00397A3B">
        <w:t>.</w:t>
      </w:r>
    </w:p>
    <w:p w:rsidR="00FD7536" w:rsidRPr="00772286" w:rsidRDefault="00FD7536" w:rsidP="00FD7536">
      <w:pPr>
        <w:jc w:val="both"/>
      </w:pPr>
    </w:p>
    <w:p w:rsidR="00802E3E" w:rsidRPr="00772286" w:rsidRDefault="00134341" w:rsidP="00FD7536">
      <w:pPr>
        <w:jc w:val="both"/>
      </w:pPr>
      <w:r>
        <w:t>Currently, w</w:t>
      </w:r>
      <w:r w:rsidR="00CD0069" w:rsidRPr="00772286">
        <w:t xml:space="preserve">ork that was underway in respect of checking annotations for hoarding and vulnerable adults has </w:t>
      </w:r>
      <w:r w:rsidR="00BE70EA">
        <w:t>been placed on hold</w:t>
      </w:r>
      <w:r>
        <w:t>.</w:t>
      </w:r>
    </w:p>
    <w:p w:rsidR="00230895" w:rsidRPr="00230895" w:rsidRDefault="00230895" w:rsidP="00230895"/>
    <w:p w:rsidR="003F506B" w:rsidRDefault="00C0492F" w:rsidP="003F506B">
      <w:pPr>
        <w:pStyle w:val="Heading1"/>
        <w:tabs>
          <w:tab w:val="right" w:pos="9354"/>
        </w:tabs>
      </w:pPr>
      <w:r w:rsidRPr="002E1E94">
        <w:t>Financial Implications</w:t>
      </w:r>
      <w:r w:rsidR="003F506B">
        <w:tab/>
        <w:t xml:space="preserve"> </w:t>
      </w:r>
    </w:p>
    <w:p w:rsidR="00BE70EA" w:rsidRDefault="00134341" w:rsidP="003F506B">
      <w:r>
        <w:t>None associated with this paper</w:t>
      </w:r>
      <w:r w:rsidR="004D6FCF">
        <w:t>.</w:t>
      </w:r>
    </w:p>
    <w:p w:rsidR="003F506B" w:rsidRPr="003F506B" w:rsidRDefault="003F506B" w:rsidP="003F506B"/>
    <w:p w:rsidR="00C0492F" w:rsidRPr="002E1E94" w:rsidRDefault="00C0492F" w:rsidP="00C0492F">
      <w:pPr>
        <w:pStyle w:val="Heading1"/>
      </w:pPr>
      <w:r w:rsidRPr="002E1E94">
        <w:t>Equality and Diversity Implications</w:t>
      </w:r>
    </w:p>
    <w:p w:rsidR="00C0492F" w:rsidRPr="000C653B" w:rsidRDefault="00C9346B" w:rsidP="00C9346B">
      <w:pPr>
        <w:pStyle w:val="NumbList3"/>
        <w:numPr>
          <w:ilvl w:val="0"/>
          <w:numId w:val="0"/>
        </w:numPr>
        <w:spacing w:after="240"/>
        <w:ind w:left="360" w:hanging="360"/>
        <w:rPr>
          <w:noProof/>
        </w:rPr>
      </w:pPr>
      <w:r w:rsidRPr="00C9346B">
        <w:rPr>
          <w:noProof/>
        </w:rPr>
        <w:t>There are no equality and diversity implications associated with this paper.</w:t>
      </w:r>
    </w:p>
    <w:p w:rsidR="00C0492F" w:rsidRPr="002E1E94" w:rsidRDefault="00C0492F" w:rsidP="00C0492F">
      <w:pPr>
        <w:pStyle w:val="Heading1"/>
      </w:pPr>
      <w:r w:rsidRPr="002E1E94">
        <w:t>Workforce Engagement</w:t>
      </w:r>
    </w:p>
    <w:p w:rsidR="00802E3E" w:rsidRPr="007B1417" w:rsidRDefault="00134341" w:rsidP="007B1417">
      <w:pPr>
        <w:pStyle w:val="NumbList3"/>
        <w:numPr>
          <w:ilvl w:val="0"/>
          <w:numId w:val="0"/>
        </w:numPr>
        <w:spacing w:after="240"/>
        <w:jc w:val="both"/>
        <w:rPr>
          <w:noProof/>
        </w:rPr>
      </w:pPr>
      <w:r>
        <w:rPr>
          <w:noProof/>
        </w:rPr>
        <w:t>Head of Human Resources</w:t>
      </w:r>
      <w:r w:rsidR="00397A3B" w:rsidRPr="007B1417">
        <w:rPr>
          <w:noProof/>
        </w:rPr>
        <w:t xml:space="preserve"> is writing to the Fire Brigades Union clarifing the Services position on DBS checks. A copy of the letter will be provided to Essex County Council.</w:t>
      </w:r>
    </w:p>
    <w:p w:rsidR="00C0492F" w:rsidRPr="00802E3E" w:rsidRDefault="00802E3E" w:rsidP="00802E3E">
      <w:pPr>
        <w:pStyle w:val="NumbList3"/>
        <w:numPr>
          <w:ilvl w:val="0"/>
          <w:numId w:val="0"/>
        </w:numPr>
        <w:spacing w:after="240"/>
        <w:ind w:left="360" w:hanging="360"/>
        <w:rPr>
          <w:b/>
        </w:rPr>
      </w:pPr>
      <w:r w:rsidRPr="00802E3E">
        <w:rPr>
          <w:b/>
        </w:rPr>
        <w:t>LEGAL IMPLICATIONS</w:t>
      </w:r>
    </w:p>
    <w:p w:rsidR="002F45F7" w:rsidRDefault="00C9346B" w:rsidP="00C9346B">
      <w:pPr>
        <w:pStyle w:val="NumbList3"/>
        <w:numPr>
          <w:ilvl w:val="0"/>
          <w:numId w:val="0"/>
        </w:numPr>
        <w:spacing w:after="240"/>
        <w:ind w:left="360" w:hanging="360"/>
        <w:rPr>
          <w:noProof/>
        </w:rPr>
      </w:pPr>
      <w:r w:rsidRPr="00C9346B">
        <w:rPr>
          <w:noProof/>
        </w:rPr>
        <w:t xml:space="preserve">There are </w:t>
      </w:r>
      <w:r w:rsidR="00310294">
        <w:rPr>
          <w:noProof/>
        </w:rPr>
        <w:t>no legal implica</w:t>
      </w:r>
      <w:r w:rsidRPr="00C9346B">
        <w:rPr>
          <w:noProof/>
        </w:rPr>
        <w:t>tions associated with this paper.</w:t>
      </w:r>
    </w:p>
    <w:p w:rsidR="00165D99" w:rsidRDefault="00165D99" w:rsidP="003E2350">
      <w:pPr>
        <w:pStyle w:val="NumbList3"/>
        <w:numPr>
          <w:ilvl w:val="0"/>
          <w:numId w:val="0"/>
        </w:numPr>
        <w:spacing w:after="240"/>
        <w:rPr>
          <w:noProof/>
        </w:rPr>
      </w:pPr>
    </w:p>
    <w:sectPr w:rsidR="00165D99" w:rsidSect="00A8212D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6B" w:rsidRDefault="0033126B">
      <w:r>
        <w:separator/>
      </w:r>
    </w:p>
  </w:endnote>
  <w:endnote w:type="continuationSeparator" w:id="0">
    <w:p w:rsidR="0033126B" w:rsidRDefault="0033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2D" w:rsidRDefault="00A8212D" w:rsidP="00A8212D">
    <w:pPr>
      <w:pStyle w:val="Footer"/>
      <w:jc w:val="center"/>
      <w:rPr>
        <w:sz w:val="22"/>
        <w:szCs w:val="22"/>
      </w:rPr>
    </w:pPr>
  </w:p>
  <w:p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140FCC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140FCC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Default="00C0492F" w:rsidP="00AA60E6">
    <w:pPr>
      <w:pStyle w:val="Footer"/>
      <w:jc w:val="center"/>
      <w:rPr>
        <w:sz w:val="22"/>
        <w:szCs w:val="22"/>
      </w:rPr>
    </w:pPr>
  </w:p>
  <w:p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140FCC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140FCC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BA1564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  <w:p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6B" w:rsidRDefault="0033126B">
      <w:r>
        <w:separator/>
      </w:r>
    </w:p>
  </w:footnote>
  <w:footnote w:type="continuationSeparator" w:id="0">
    <w:p w:rsidR="0033126B" w:rsidRDefault="0033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8212D" w:rsidRDefault="00C0492F" w:rsidP="00A8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114"/>
    <w:multiLevelType w:val="hybridMultilevel"/>
    <w:tmpl w:val="AB0E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049A"/>
    <w:multiLevelType w:val="hybridMultilevel"/>
    <w:tmpl w:val="4DE4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B08"/>
    <w:multiLevelType w:val="hybridMultilevel"/>
    <w:tmpl w:val="A3E0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84454"/>
    <w:multiLevelType w:val="hybridMultilevel"/>
    <w:tmpl w:val="02A8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06A6"/>
    <w:multiLevelType w:val="hybridMultilevel"/>
    <w:tmpl w:val="738E7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6B4F"/>
    <w:rsid w:val="00006C81"/>
    <w:rsid w:val="00007F2F"/>
    <w:rsid w:val="000127F2"/>
    <w:rsid w:val="000129FE"/>
    <w:rsid w:val="00014B58"/>
    <w:rsid w:val="0001605A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289"/>
    <w:rsid w:val="000655B3"/>
    <w:rsid w:val="00067B17"/>
    <w:rsid w:val="000708BF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4404"/>
    <w:rsid w:val="000952E3"/>
    <w:rsid w:val="000961DD"/>
    <w:rsid w:val="00096D9B"/>
    <w:rsid w:val="00097190"/>
    <w:rsid w:val="000A2A62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0EE3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11C6"/>
    <w:rsid w:val="000E4379"/>
    <w:rsid w:val="000E4CAB"/>
    <w:rsid w:val="000E68C7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1773E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3CC7"/>
    <w:rsid w:val="00134004"/>
    <w:rsid w:val="00134341"/>
    <w:rsid w:val="001359B3"/>
    <w:rsid w:val="00136449"/>
    <w:rsid w:val="00136873"/>
    <w:rsid w:val="00136ED5"/>
    <w:rsid w:val="00140FCC"/>
    <w:rsid w:val="00141BAD"/>
    <w:rsid w:val="00141D9F"/>
    <w:rsid w:val="001430F8"/>
    <w:rsid w:val="00145602"/>
    <w:rsid w:val="00145906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4879"/>
    <w:rsid w:val="00165D99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293A"/>
    <w:rsid w:val="0019306B"/>
    <w:rsid w:val="00196CAA"/>
    <w:rsid w:val="001A013D"/>
    <w:rsid w:val="001A05AD"/>
    <w:rsid w:val="001A0754"/>
    <w:rsid w:val="001A07A4"/>
    <w:rsid w:val="001A0CB3"/>
    <w:rsid w:val="001A2C5A"/>
    <w:rsid w:val="001A44CA"/>
    <w:rsid w:val="001A4AC0"/>
    <w:rsid w:val="001A4D55"/>
    <w:rsid w:val="001A7C3E"/>
    <w:rsid w:val="001B2635"/>
    <w:rsid w:val="001B2E8F"/>
    <w:rsid w:val="001B4A01"/>
    <w:rsid w:val="001B4C05"/>
    <w:rsid w:val="001B7629"/>
    <w:rsid w:val="001C2A15"/>
    <w:rsid w:val="001C38A3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895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203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F86"/>
    <w:rsid w:val="00307E2F"/>
    <w:rsid w:val="00310294"/>
    <w:rsid w:val="00310FB4"/>
    <w:rsid w:val="00311DE8"/>
    <w:rsid w:val="0031264D"/>
    <w:rsid w:val="00313226"/>
    <w:rsid w:val="00313AC9"/>
    <w:rsid w:val="00313CA1"/>
    <w:rsid w:val="00320AFF"/>
    <w:rsid w:val="003213BF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30F33"/>
    <w:rsid w:val="0033126B"/>
    <w:rsid w:val="003321FF"/>
    <w:rsid w:val="003372DC"/>
    <w:rsid w:val="0033767C"/>
    <w:rsid w:val="00337BFE"/>
    <w:rsid w:val="00337E0A"/>
    <w:rsid w:val="00345B4F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852EA"/>
    <w:rsid w:val="0039069F"/>
    <w:rsid w:val="00391893"/>
    <w:rsid w:val="0039269C"/>
    <w:rsid w:val="00392E6F"/>
    <w:rsid w:val="003935F3"/>
    <w:rsid w:val="00393D2A"/>
    <w:rsid w:val="003947DD"/>
    <w:rsid w:val="00396119"/>
    <w:rsid w:val="00397073"/>
    <w:rsid w:val="003974D8"/>
    <w:rsid w:val="00397A3B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3B5"/>
    <w:rsid w:val="003C06ED"/>
    <w:rsid w:val="003C07C3"/>
    <w:rsid w:val="003C1A2C"/>
    <w:rsid w:val="003C33C4"/>
    <w:rsid w:val="003C4D29"/>
    <w:rsid w:val="003C603E"/>
    <w:rsid w:val="003C62FF"/>
    <w:rsid w:val="003C6904"/>
    <w:rsid w:val="003D22D1"/>
    <w:rsid w:val="003D3327"/>
    <w:rsid w:val="003D3504"/>
    <w:rsid w:val="003D5E8A"/>
    <w:rsid w:val="003E0237"/>
    <w:rsid w:val="003E2350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506B"/>
    <w:rsid w:val="003F60A0"/>
    <w:rsid w:val="003F684E"/>
    <w:rsid w:val="003F6C0F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2D1D"/>
    <w:rsid w:val="00433283"/>
    <w:rsid w:val="00433768"/>
    <w:rsid w:val="00433AFA"/>
    <w:rsid w:val="00433D68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5574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CA7"/>
    <w:rsid w:val="004C4D69"/>
    <w:rsid w:val="004C543A"/>
    <w:rsid w:val="004C60E0"/>
    <w:rsid w:val="004C6240"/>
    <w:rsid w:val="004C7546"/>
    <w:rsid w:val="004D03B6"/>
    <w:rsid w:val="004D186D"/>
    <w:rsid w:val="004D26F4"/>
    <w:rsid w:val="004D2B1A"/>
    <w:rsid w:val="004D3FBF"/>
    <w:rsid w:val="004D43FF"/>
    <w:rsid w:val="004D5048"/>
    <w:rsid w:val="004D549F"/>
    <w:rsid w:val="004D6709"/>
    <w:rsid w:val="004D69B7"/>
    <w:rsid w:val="004D6FCF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5EB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7DD"/>
    <w:rsid w:val="00567022"/>
    <w:rsid w:val="00567AB8"/>
    <w:rsid w:val="0057017A"/>
    <w:rsid w:val="005702DA"/>
    <w:rsid w:val="00570A03"/>
    <w:rsid w:val="00570C22"/>
    <w:rsid w:val="00571B68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55EA"/>
    <w:rsid w:val="005B6366"/>
    <w:rsid w:val="005B6694"/>
    <w:rsid w:val="005B7713"/>
    <w:rsid w:val="005C1EC5"/>
    <w:rsid w:val="005C23A4"/>
    <w:rsid w:val="005C324B"/>
    <w:rsid w:val="005C3712"/>
    <w:rsid w:val="005C488E"/>
    <w:rsid w:val="005C6BA6"/>
    <w:rsid w:val="005D0C3D"/>
    <w:rsid w:val="005D1589"/>
    <w:rsid w:val="005D1595"/>
    <w:rsid w:val="005D1D2F"/>
    <w:rsid w:val="005D41E9"/>
    <w:rsid w:val="005D74B8"/>
    <w:rsid w:val="005E0DB3"/>
    <w:rsid w:val="005E1ABF"/>
    <w:rsid w:val="005E317F"/>
    <w:rsid w:val="005E360D"/>
    <w:rsid w:val="005E41B0"/>
    <w:rsid w:val="005E5076"/>
    <w:rsid w:val="005E539D"/>
    <w:rsid w:val="005E5B4A"/>
    <w:rsid w:val="005F06DF"/>
    <w:rsid w:val="005F0721"/>
    <w:rsid w:val="005F1929"/>
    <w:rsid w:val="005F2798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0EA5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841"/>
    <w:rsid w:val="00655B3C"/>
    <w:rsid w:val="00655EF3"/>
    <w:rsid w:val="00665ED6"/>
    <w:rsid w:val="0066631D"/>
    <w:rsid w:val="00666D7B"/>
    <w:rsid w:val="0066769F"/>
    <w:rsid w:val="0067032E"/>
    <w:rsid w:val="00670BC3"/>
    <w:rsid w:val="00671A54"/>
    <w:rsid w:val="006729AD"/>
    <w:rsid w:val="00674926"/>
    <w:rsid w:val="006759F4"/>
    <w:rsid w:val="00675C98"/>
    <w:rsid w:val="00675E9D"/>
    <w:rsid w:val="0067624F"/>
    <w:rsid w:val="0067750B"/>
    <w:rsid w:val="0068042F"/>
    <w:rsid w:val="006839B0"/>
    <w:rsid w:val="00683BFD"/>
    <w:rsid w:val="006845B4"/>
    <w:rsid w:val="00684D13"/>
    <w:rsid w:val="00685071"/>
    <w:rsid w:val="00686715"/>
    <w:rsid w:val="00686DAE"/>
    <w:rsid w:val="006914DC"/>
    <w:rsid w:val="00691A70"/>
    <w:rsid w:val="00692E79"/>
    <w:rsid w:val="00693ABE"/>
    <w:rsid w:val="00693C95"/>
    <w:rsid w:val="00693D23"/>
    <w:rsid w:val="006A0DC2"/>
    <w:rsid w:val="006A10FC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373F"/>
    <w:rsid w:val="006E3CFA"/>
    <w:rsid w:val="006E5213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1C13"/>
    <w:rsid w:val="007420A0"/>
    <w:rsid w:val="00743170"/>
    <w:rsid w:val="00743E3F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540C"/>
    <w:rsid w:val="00755F67"/>
    <w:rsid w:val="00757835"/>
    <w:rsid w:val="00757DB2"/>
    <w:rsid w:val="0076087E"/>
    <w:rsid w:val="00760CBC"/>
    <w:rsid w:val="00760E86"/>
    <w:rsid w:val="00761874"/>
    <w:rsid w:val="00761AB2"/>
    <w:rsid w:val="007632AE"/>
    <w:rsid w:val="007639F0"/>
    <w:rsid w:val="00765695"/>
    <w:rsid w:val="00767934"/>
    <w:rsid w:val="00767CDF"/>
    <w:rsid w:val="00767D50"/>
    <w:rsid w:val="00770C3D"/>
    <w:rsid w:val="007716EB"/>
    <w:rsid w:val="00772286"/>
    <w:rsid w:val="00772CDC"/>
    <w:rsid w:val="007733B8"/>
    <w:rsid w:val="00774844"/>
    <w:rsid w:val="007750A6"/>
    <w:rsid w:val="007765E2"/>
    <w:rsid w:val="00780752"/>
    <w:rsid w:val="00780E62"/>
    <w:rsid w:val="00781C17"/>
    <w:rsid w:val="007823A5"/>
    <w:rsid w:val="007849C6"/>
    <w:rsid w:val="00784AA4"/>
    <w:rsid w:val="007852E5"/>
    <w:rsid w:val="00785949"/>
    <w:rsid w:val="00785BF4"/>
    <w:rsid w:val="00787168"/>
    <w:rsid w:val="007905E9"/>
    <w:rsid w:val="007911BF"/>
    <w:rsid w:val="00791FB8"/>
    <w:rsid w:val="007923A6"/>
    <w:rsid w:val="007955FB"/>
    <w:rsid w:val="00795673"/>
    <w:rsid w:val="00795919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417"/>
    <w:rsid w:val="007B1C55"/>
    <w:rsid w:val="007B29A7"/>
    <w:rsid w:val="007B34F2"/>
    <w:rsid w:val="007B7A23"/>
    <w:rsid w:val="007C17D7"/>
    <w:rsid w:val="007C188D"/>
    <w:rsid w:val="007C262E"/>
    <w:rsid w:val="007C3AE4"/>
    <w:rsid w:val="007C54B2"/>
    <w:rsid w:val="007C5650"/>
    <w:rsid w:val="007C5DF4"/>
    <w:rsid w:val="007C6BCD"/>
    <w:rsid w:val="007D00AF"/>
    <w:rsid w:val="007D153A"/>
    <w:rsid w:val="007D1623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3E"/>
    <w:rsid w:val="00802EC1"/>
    <w:rsid w:val="00803C2F"/>
    <w:rsid w:val="00804AF8"/>
    <w:rsid w:val="00805EAE"/>
    <w:rsid w:val="00806198"/>
    <w:rsid w:val="00807BE2"/>
    <w:rsid w:val="00807CA6"/>
    <w:rsid w:val="00810876"/>
    <w:rsid w:val="00810E1C"/>
    <w:rsid w:val="008124C0"/>
    <w:rsid w:val="00815866"/>
    <w:rsid w:val="00815C39"/>
    <w:rsid w:val="00815FD5"/>
    <w:rsid w:val="00821E36"/>
    <w:rsid w:val="00822BE4"/>
    <w:rsid w:val="0082306B"/>
    <w:rsid w:val="0082524E"/>
    <w:rsid w:val="00826291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15DC"/>
    <w:rsid w:val="008623B8"/>
    <w:rsid w:val="00862A58"/>
    <w:rsid w:val="00862D2D"/>
    <w:rsid w:val="00863127"/>
    <w:rsid w:val="00863323"/>
    <w:rsid w:val="00864C4D"/>
    <w:rsid w:val="00865829"/>
    <w:rsid w:val="00865DC3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F99"/>
    <w:rsid w:val="00891097"/>
    <w:rsid w:val="0089129D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20D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0C6B"/>
    <w:rsid w:val="00901202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D7D"/>
    <w:rsid w:val="0094057A"/>
    <w:rsid w:val="0094425A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95E"/>
    <w:rsid w:val="00961F27"/>
    <w:rsid w:val="00961FF4"/>
    <w:rsid w:val="009626BB"/>
    <w:rsid w:val="0096286A"/>
    <w:rsid w:val="00965569"/>
    <w:rsid w:val="009658CE"/>
    <w:rsid w:val="009709D7"/>
    <w:rsid w:val="00971724"/>
    <w:rsid w:val="009719C0"/>
    <w:rsid w:val="00972A3E"/>
    <w:rsid w:val="009746B6"/>
    <w:rsid w:val="00975A8C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7C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6B87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16A1"/>
    <w:rsid w:val="00A21772"/>
    <w:rsid w:val="00A21897"/>
    <w:rsid w:val="00A22118"/>
    <w:rsid w:val="00A2626A"/>
    <w:rsid w:val="00A278A2"/>
    <w:rsid w:val="00A27D6C"/>
    <w:rsid w:val="00A30B57"/>
    <w:rsid w:val="00A30EF6"/>
    <w:rsid w:val="00A316AC"/>
    <w:rsid w:val="00A31B36"/>
    <w:rsid w:val="00A32CA2"/>
    <w:rsid w:val="00A32D73"/>
    <w:rsid w:val="00A333AB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5E14"/>
    <w:rsid w:val="00B46997"/>
    <w:rsid w:val="00B46F3A"/>
    <w:rsid w:val="00B50571"/>
    <w:rsid w:val="00B51938"/>
    <w:rsid w:val="00B5282A"/>
    <w:rsid w:val="00B530A6"/>
    <w:rsid w:val="00B55358"/>
    <w:rsid w:val="00B560CA"/>
    <w:rsid w:val="00B56A9E"/>
    <w:rsid w:val="00B60A73"/>
    <w:rsid w:val="00B61A4C"/>
    <w:rsid w:val="00B621C2"/>
    <w:rsid w:val="00B6330A"/>
    <w:rsid w:val="00B648ED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A0836"/>
    <w:rsid w:val="00BA1564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4FE7"/>
    <w:rsid w:val="00BC5B27"/>
    <w:rsid w:val="00BC69EA"/>
    <w:rsid w:val="00BC727F"/>
    <w:rsid w:val="00BD119A"/>
    <w:rsid w:val="00BD131B"/>
    <w:rsid w:val="00BD2672"/>
    <w:rsid w:val="00BD2F89"/>
    <w:rsid w:val="00BD4581"/>
    <w:rsid w:val="00BD521C"/>
    <w:rsid w:val="00BD5DF1"/>
    <w:rsid w:val="00BD6A52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70EA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10661"/>
    <w:rsid w:val="00C13C66"/>
    <w:rsid w:val="00C13C80"/>
    <w:rsid w:val="00C15D9E"/>
    <w:rsid w:val="00C20A32"/>
    <w:rsid w:val="00C20BF4"/>
    <w:rsid w:val="00C2318C"/>
    <w:rsid w:val="00C24B2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340A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4B8"/>
    <w:rsid w:val="00C90DB8"/>
    <w:rsid w:val="00C9346B"/>
    <w:rsid w:val="00C9355B"/>
    <w:rsid w:val="00C94270"/>
    <w:rsid w:val="00C942C9"/>
    <w:rsid w:val="00C946B8"/>
    <w:rsid w:val="00C946E6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03E9"/>
    <w:rsid w:val="00CB2A3A"/>
    <w:rsid w:val="00CB4F90"/>
    <w:rsid w:val="00CB6D8B"/>
    <w:rsid w:val="00CC0109"/>
    <w:rsid w:val="00CC03B8"/>
    <w:rsid w:val="00CC12AE"/>
    <w:rsid w:val="00CC312A"/>
    <w:rsid w:val="00CC4CB3"/>
    <w:rsid w:val="00CC5ABA"/>
    <w:rsid w:val="00CC6373"/>
    <w:rsid w:val="00CD0041"/>
    <w:rsid w:val="00CD0069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6B52"/>
    <w:rsid w:val="00D07A52"/>
    <w:rsid w:val="00D10417"/>
    <w:rsid w:val="00D10F39"/>
    <w:rsid w:val="00D13372"/>
    <w:rsid w:val="00D152A1"/>
    <w:rsid w:val="00D1630E"/>
    <w:rsid w:val="00D208D4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1BE9"/>
    <w:rsid w:val="00D31E0A"/>
    <w:rsid w:val="00D34F3C"/>
    <w:rsid w:val="00D35AB0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626D"/>
    <w:rsid w:val="00D8698F"/>
    <w:rsid w:val="00D91360"/>
    <w:rsid w:val="00D92B28"/>
    <w:rsid w:val="00D9341A"/>
    <w:rsid w:val="00D95595"/>
    <w:rsid w:val="00DA0B19"/>
    <w:rsid w:val="00DA167F"/>
    <w:rsid w:val="00DA2A53"/>
    <w:rsid w:val="00DA36F6"/>
    <w:rsid w:val="00DA5472"/>
    <w:rsid w:val="00DA6BA8"/>
    <w:rsid w:val="00DA74C4"/>
    <w:rsid w:val="00DA78DA"/>
    <w:rsid w:val="00DB07D3"/>
    <w:rsid w:val="00DB18F8"/>
    <w:rsid w:val="00DB2D5C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668"/>
    <w:rsid w:val="00E07B4F"/>
    <w:rsid w:val="00E10049"/>
    <w:rsid w:val="00E105A9"/>
    <w:rsid w:val="00E10CCF"/>
    <w:rsid w:val="00E12382"/>
    <w:rsid w:val="00E12C10"/>
    <w:rsid w:val="00E13A7A"/>
    <w:rsid w:val="00E14EEF"/>
    <w:rsid w:val="00E163BA"/>
    <w:rsid w:val="00E1711B"/>
    <w:rsid w:val="00E21494"/>
    <w:rsid w:val="00E21E60"/>
    <w:rsid w:val="00E2357A"/>
    <w:rsid w:val="00E24EC7"/>
    <w:rsid w:val="00E2542A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C45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2961"/>
    <w:rsid w:val="00EB3922"/>
    <w:rsid w:val="00EB3E1B"/>
    <w:rsid w:val="00EB4858"/>
    <w:rsid w:val="00EB4BC1"/>
    <w:rsid w:val="00EB5640"/>
    <w:rsid w:val="00EB5D04"/>
    <w:rsid w:val="00EB679A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66EC"/>
    <w:rsid w:val="00EE0677"/>
    <w:rsid w:val="00EE09C8"/>
    <w:rsid w:val="00EE2084"/>
    <w:rsid w:val="00EE3C72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A20"/>
    <w:rsid w:val="00F86C5A"/>
    <w:rsid w:val="00F87485"/>
    <w:rsid w:val="00F90B3E"/>
    <w:rsid w:val="00F916A3"/>
    <w:rsid w:val="00F966B7"/>
    <w:rsid w:val="00F978B2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3385"/>
    <w:rsid w:val="00FB3D49"/>
    <w:rsid w:val="00FB63D8"/>
    <w:rsid w:val="00FB6DE4"/>
    <w:rsid w:val="00FB71A7"/>
    <w:rsid w:val="00FB75C1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D7536"/>
    <w:rsid w:val="00FE0E97"/>
    <w:rsid w:val="00FE1956"/>
    <w:rsid w:val="00FE1AF1"/>
    <w:rsid w:val="00FE1EC6"/>
    <w:rsid w:val="00FE218A"/>
    <w:rsid w:val="00FE349E"/>
    <w:rsid w:val="00FE4B8B"/>
    <w:rsid w:val="00FE4FA5"/>
    <w:rsid w:val="00FE58DE"/>
    <w:rsid w:val="00FE644E"/>
    <w:rsid w:val="00FE6E64"/>
    <w:rsid w:val="00FE7491"/>
    <w:rsid w:val="00FE7EC2"/>
    <w:rsid w:val="00FF24C5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9D3CB17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5D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  <w:style w:type="table" w:customStyle="1" w:styleId="TableGrid11">
    <w:name w:val="Table Grid11"/>
    <w:basedOn w:val="TableNormal"/>
    <w:next w:val="TableGrid"/>
    <w:uiPriority w:val="39"/>
    <w:rsid w:val="00C934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65DC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D35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AB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AB0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Adult,Child and Community Builder referrals</a:t>
            </a:r>
          </a:p>
          <a:p>
            <a:pPr>
              <a:defRPr/>
            </a:pPr>
            <a:r>
              <a:rPr lang="en-GB" b="1"/>
              <a:t> July 17- June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8844516445013753E-2"/>
          <c:y val="0.17829646403065669"/>
          <c:w val="0.92563714224717131"/>
          <c:h val="0.65074591246552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Adult Safeguarding referrals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42917</c:v>
                </c:pt>
                <c:pt idx="1">
                  <c:v>42948</c:v>
                </c:pt>
                <c:pt idx="2">
                  <c:v>42979</c:v>
                </c:pt>
                <c:pt idx="3">
                  <c:v>43009</c:v>
                </c:pt>
                <c:pt idx="4">
                  <c:v>43040</c:v>
                </c:pt>
                <c:pt idx="5">
                  <c:v>43070</c:v>
                </c:pt>
                <c:pt idx="6">
                  <c:v>43101</c:v>
                </c:pt>
                <c:pt idx="7">
                  <c:v>43132</c:v>
                </c:pt>
                <c:pt idx="8">
                  <c:v>43160</c:v>
                </c:pt>
                <c:pt idx="9">
                  <c:v>43191</c:v>
                </c:pt>
                <c:pt idx="10">
                  <c:v>43221</c:v>
                </c:pt>
                <c:pt idx="11">
                  <c:v>43252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42</c:v>
                </c:pt>
                <c:pt idx="1">
                  <c:v>40</c:v>
                </c:pt>
                <c:pt idx="2">
                  <c:v>24</c:v>
                </c:pt>
                <c:pt idx="3">
                  <c:v>26</c:v>
                </c:pt>
                <c:pt idx="4">
                  <c:v>24</c:v>
                </c:pt>
                <c:pt idx="5">
                  <c:v>21</c:v>
                </c:pt>
                <c:pt idx="6">
                  <c:v>36</c:v>
                </c:pt>
                <c:pt idx="7">
                  <c:v>24</c:v>
                </c:pt>
                <c:pt idx="8">
                  <c:v>28</c:v>
                </c:pt>
                <c:pt idx="9">
                  <c:v>22</c:v>
                </c:pt>
                <c:pt idx="10">
                  <c:v>32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FA-4994-B41F-67B4947A9D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Children Safeguarding referrals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42917</c:v>
                </c:pt>
                <c:pt idx="1">
                  <c:v>42948</c:v>
                </c:pt>
                <c:pt idx="2">
                  <c:v>42979</c:v>
                </c:pt>
                <c:pt idx="3">
                  <c:v>43009</c:v>
                </c:pt>
                <c:pt idx="4">
                  <c:v>43040</c:v>
                </c:pt>
                <c:pt idx="5">
                  <c:v>43070</c:v>
                </c:pt>
                <c:pt idx="6">
                  <c:v>43101</c:v>
                </c:pt>
                <c:pt idx="7">
                  <c:v>43132</c:v>
                </c:pt>
                <c:pt idx="8">
                  <c:v>43160</c:v>
                </c:pt>
                <c:pt idx="9">
                  <c:v>43191</c:v>
                </c:pt>
                <c:pt idx="10">
                  <c:v>43221</c:v>
                </c:pt>
                <c:pt idx="11">
                  <c:v>43252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9</c:v>
                </c:pt>
                <c:pt idx="5">
                  <c:v>7</c:v>
                </c:pt>
                <c:pt idx="6">
                  <c:v>8</c:v>
                </c:pt>
                <c:pt idx="7">
                  <c:v>4</c:v>
                </c:pt>
                <c:pt idx="8">
                  <c:v>11</c:v>
                </c:pt>
                <c:pt idx="9">
                  <c:v>1</c:v>
                </c:pt>
                <c:pt idx="10">
                  <c:v>6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FA-4994-B41F-67B4947A9D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Community Builder Engagements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42917</c:v>
                </c:pt>
                <c:pt idx="1">
                  <c:v>42948</c:v>
                </c:pt>
                <c:pt idx="2">
                  <c:v>42979</c:v>
                </c:pt>
                <c:pt idx="3">
                  <c:v>43009</c:v>
                </c:pt>
                <c:pt idx="4">
                  <c:v>43040</c:v>
                </c:pt>
                <c:pt idx="5">
                  <c:v>43070</c:v>
                </c:pt>
                <c:pt idx="6">
                  <c:v>43101</c:v>
                </c:pt>
                <c:pt idx="7">
                  <c:v>43132</c:v>
                </c:pt>
                <c:pt idx="8">
                  <c:v>43160</c:v>
                </c:pt>
                <c:pt idx="9">
                  <c:v>43191</c:v>
                </c:pt>
                <c:pt idx="10">
                  <c:v>43221</c:v>
                </c:pt>
                <c:pt idx="11">
                  <c:v>43252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24</c:v>
                </c:pt>
                <c:pt idx="1">
                  <c:v>20</c:v>
                </c:pt>
                <c:pt idx="2">
                  <c:v>18</c:v>
                </c:pt>
                <c:pt idx="3">
                  <c:v>24</c:v>
                </c:pt>
                <c:pt idx="4">
                  <c:v>17</c:v>
                </c:pt>
                <c:pt idx="5">
                  <c:v>18</c:v>
                </c:pt>
                <c:pt idx="6">
                  <c:v>21</c:v>
                </c:pt>
                <c:pt idx="7">
                  <c:v>14</c:v>
                </c:pt>
                <c:pt idx="8">
                  <c:v>18</c:v>
                </c:pt>
                <c:pt idx="9">
                  <c:v>21</c:v>
                </c:pt>
                <c:pt idx="10">
                  <c:v>17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FA-4994-B41F-67B4947A9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794480"/>
        <c:axId val="431794152"/>
      </c:barChart>
      <c:dateAx>
        <c:axId val="4317944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794152"/>
        <c:crosses val="autoZero"/>
        <c:auto val="1"/>
        <c:lblOffset val="100"/>
        <c:baseTimeUnit val="months"/>
      </c:dateAx>
      <c:valAx>
        <c:axId val="43179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79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B4E1-913C-4381-851C-3BD58C6A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Rebecca Twin</cp:lastModifiedBy>
  <cp:revision>3</cp:revision>
  <cp:lastPrinted>2018-06-29T14:43:00Z</cp:lastPrinted>
  <dcterms:created xsi:type="dcterms:W3CDTF">2018-07-25T12:19:00Z</dcterms:created>
  <dcterms:modified xsi:type="dcterms:W3CDTF">2018-07-25T12:21:00Z</dcterms:modified>
</cp:coreProperties>
</file>