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26FB2" w14:textId="77777777" w:rsidR="00570C22" w:rsidRDefault="002F45F7" w:rsidP="00732032">
      <w:r>
        <w:rPr>
          <w:noProof/>
          <w:lang w:eastAsia="en-GB"/>
        </w:rPr>
        <mc:AlternateContent>
          <mc:Choice Requires="wps">
            <w:drawing>
              <wp:anchor distT="0" distB="0" distL="114300" distR="114300" simplePos="0" relativeHeight="251659776" behindDoc="0" locked="0" layoutInCell="1" allowOverlap="1" wp14:anchorId="78F96CA7" wp14:editId="13CA4B91">
                <wp:simplePos x="0" y="0"/>
                <wp:positionH relativeFrom="column">
                  <wp:posOffset>-9525</wp:posOffset>
                </wp:positionH>
                <wp:positionV relativeFrom="paragraph">
                  <wp:posOffset>-1024255</wp:posOffset>
                </wp:positionV>
                <wp:extent cx="4352290" cy="781685"/>
                <wp:effectExtent l="635"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290" cy="781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CE3E2F" w14:textId="77777777" w:rsidR="00B15F8B" w:rsidRPr="002F45F7" w:rsidRDefault="002F45F7" w:rsidP="00B15F8B">
                            <w:pPr>
                              <w:pStyle w:val="Header"/>
                              <w:rPr>
                                <w:rFonts w:ascii="Arial Narrow" w:hAnsi="Arial Narrow"/>
                                <w:b/>
                                <w:sz w:val="32"/>
                                <w:szCs w:val="32"/>
                              </w:rPr>
                            </w:pPr>
                            <w:r w:rsidRPr="002F45F7">
                              <w:rPr>
                                <w:rFonts w:ascii="Arial Narrow" w:hAnsi="Arial Narrow"/>
                                <w:b/>
                                <w:sz w:val="32"/>
                                <w:szCs w:val="32"/>
                              </w:rPr>
                              <w:t>ESSEX POLICE, FIRE AND CRIME COMMISSIONER FIRE &amp; RESCUE AUTHORITY</w:t>
                            </w:r>
                          </w:p>
                          <w:p w14:paraId="5A34607F" w14:textId="77777777" w:rsidR="00B15F8B" w:rsidRPr="002F45F7" w:rsidRDefault="00B15F8B" w:rsidP="00B15F8B">
                            <w:pPr>
                              <w:rPr>
                                <w:rFonts w:ascii="Arial Narrow" w:hAnsi="Arial Narrow"/>
                                <w:sz w:val="32"/>
                                <w:szCs w:val="32"/>
                              </w:rPr>
                            </w:pPr>
                            <w:r w:rsidRPr="002F45F7">
                              <w:rPr>
                                <w:rFonts w:ascii="Arial Narrow" w:hAnsi="Arial Narrow"/>
                                <w:sz w:val="32"/>
                                <w:szCs w:val="32"/>
                              </w:rPr>
                              <w:t>Essex County Fire &amp; Rescue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F96CA7" id="_x0000_t202" coordsize="21600,21600" o:spt="202" path="m,l,21600r21600,l21600,xe">
                <v:stroke joinstyle="miter"/>
                <v:path gradientshapeok="t" o:connecttype="rect"/>
              </v:shapetype>
              <v:shape id="Text Box 18" o:spid="_x0000_s1026" type="#_x0000_t202" style="position:absolute;margin-left:-.75pt;margin-top:-80.65pt;width:342.7pt;height:6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" stroked="f">
                <v:textbox>
                  <w:txbxContent>
                    <w:p w14:paraId="43CE3E2F" w14:textId="77777777" w:rsidR="00B15F8B" w:rsidRPr="002F45F7" w:rsidRDefault="002F45F7" w:rsidP="00B15F8B">
                      <w:pPr>
                        <w:pStyle w:val="Header"/>
                        <w:rPr>
                          <w:rFonts w:ascii="Arial Narrow" w:hAnsi="Arial Narrow"/>
                          <w:b/>
                          <w:sz w:val="32"/>
                          <w:szCs w:val="32"/>
                        </w:rPr>
                      </w:pPr>
                      <w:r w:rsidRPr="002F45F7">
                        <w:rPr>
                          <w:rFonts w:ascii="Arial Narrow" w:hAnsi="Arial Narrow"/>
                          <w:b/>
                          <w:sz w:val="32"/>
                          <w:szCs w:val="32"/>
                        </w:rPr>
                        <w:t>ESSEX POLICE, FIRE AND CRIME COMMISSIONER FIRE &amp; RESCUE AUTHORITY</w:t>
                      </w:r>
                    </w:p>
                    <w:p w14:paraId="5A34607F" w14:textId="77777777" w:rsidR="00B15F8B" w:rsidRPr="002F45F7" w:rsidRDefault="00B15F8B" w:rsidP="00B15F8B">
                      <w:pPr>
                        <w:rPr>
                          <w:rFonts w:ascii="Arial Narrow" w:hAnsi="Arial Narrow"/>
                          <w:sz w:val="32"/>
                          <w:szCs w:val="32"/>
                        </w:rPr>
                      </w:pPr>
                      <w:r w:rsidRPr="002F45F7">
                        <w:rPr>
                          <w:rFonts w:ascii="Arial Narrow" w:hAnsi="Arial Narrow"/>
                          <w:sz w:val="32"/>
                          <w:szCs w:val="32"/>
                        </w:rPr>
                        <w:t>Essex County Fire &amp; Rescue Service</w:t>
                      </w:r>
                    </w:p>
                  </w:txbxContent>
                </v:textbox>
              </v:shape>
            </w:pict>
          </mc:Fallback>
        </mc:AlternateContent>
      </w:r>
      <w:r>
        <w:rPr>
          <w:noProof/>
          <w:lang w:eastAsia="en-GB"/>
        </w:rPr>
        <w:drawing>
          <wp:anchor distT="0" distB="0" distL="114300" distR="114300" simplePos="0" relativeHeight="251658752" behindDoc="0" locked="0" layoutInCell="1" allowOverlap="1" wp14:anchorId="52C1A7C2" wp14:editId="6A4D8C26">
            <wp:simplePos x="0" y="0"/>
            <wp:positionH relativeFrom="column">
              <wp:posOffset>-447040</wp:posOffset>
            </wp:positionH>
            <wp:positionV relativeFrom="paragraph">
              <wp:posOffset>-1593215</wp:posOffset>
            </wp:positionV>
            <wp:extent cx="6946900" cy="1572895"/>
            <wp:effectExtent l="0" t="0" r="0" b="0"/>
            <wp:wrapNone/>
            <wp:docPr id="10" name="Picture 17" descr="RH_A4+stripcrest_bor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RH_A4+stripcrest_border"/>
                    <pic:cNvPicPr>
                      <a:picLocks noChangeArrowheads="1"/>
                    </pic:cNvPicPr>
                  </pic:nvPicPr>
                  <pic:blipFill>
                    <a:blip r:embed="rId8">
                      <a:extLst>
                        <a:ext uri="{28A0092B-C50C-407E-A947-70E740481C1C}">
                          <a14:useLocalDpi xmlns:a14="http://schemas.microsoft.com/office/drawing/2010/main" val="0"/>
                        </a:ext>
                      </a:extLst>
                    </a:blip>
                    <a:srcRect b="4181"/>
                    <a:stretch>
                      <a:fillRect/>
                    </a:stretch>
                  </pic:blipFill>
                  <pic:spPr bwMode="auto">
                    <a:xfrm>
                      <a:off x="0" y="0"/>
                      <a:ext cx="6946900" cy="157289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8"/>
        <w:gridCol w:w="3614"/>
        <w:gridCol w:w="2056"/>
        <w:gridCol w:w="1559"/>
      </w:tblGrid>
      <w:tr w:rsidR="00B15F8B" w:rsidRPr="009E572F" w14:paraId="4BE07E83" w14:textId="77777777" w:rsidTr="00B15F8B">
        <w:trPr>
          <w:trHeight w:val="557"/>
        </w:trPr>
        <w:tc>
          <w:tcPr>
            <w:tcW w:w="2518" w:type="dxa"/>
          </w:tcPr>
          <w:p w14:paraId="1363CB6B" w14:textId="77777777" w:rsidR="00B15F8B" w:rsidRPr="009E572F" w:rsidRDefault="00B15F8B" w:rsidP="009E572F">
            <w:pPr>
              <w:spacing w:before="120" w:after="120"/>
              <w:rPr>
                <w:rFonts w:ascii="Arial Rounded MT Bold" w:hAnsi="Arial Rounded MT Bold" w:cs="Times New Roman"/>
                <w:szCs w:val="20"/>
              </w:rPr>
            </w:pPr>
            <w:r>
              <w:rPr>
                <w:rFonts w:ascii="Arial Rounded MT Bold" w:hAnsi="Arial Rounded MT Bold" w:cs="Times New Roman"/>
                <w:szCs w:val="20"/>
              </w:rPr>
              <w:t>Meeting</w:t>
            </w:r>
          </w:p>
        </w:tc>
        <w:tc>
          <w:tcPr>
            <w:tcW w:w="3614" w:type="dxa"/>
          </w:tcPr>
          <w:p w14:paraId="767F93D8" w14:textId="289AF26D" w:rsidR="00B15F8B" w:rsidRPr="00B15F8B" w:rsidRDefault="00C02049" w:rsidP="009E572F">
            <w:pPr>
              <w:spacing w:before="120" w:after="120"/>
              <w:rPr>
                <w:rFonts w:cs="Times New Roman"/>
                <w:b/>
                <w:szCs w:val="20"/>
              </w:rPr>
            </w:pPr>
            <w:r>
              <w:rPr>
                <w:rFonts w:cs="Times New Roman"/>
                <w:b/>
                <w:szCs w:val="20"/>
              </w:rPr>
              <w:t>ECFRS Strategic Board</w:t>
            </w:r>
          </w:p>
        </w:tc>
        <w:tc>
          <w:tcPr>
            <w:tcW w:w="2056" w:type="dxa"/>
          </w:tcPr>
          <w:p w14:paraId="1757CCB8" w14:textId="77777777" w:rsidR="00B15F8B" w:rsidRPr="009E572F" w:rsidRDefault="00B15F8B" w:rsidP="009E572F">
            <w:pPr>
              <w:spacing w:before="120" w:after="120"/>
              <w:rPr>
                <w:rFonts w:cs="Times New Roman"/>
                <w:szCs w:val="20"/>
              </w:rPr>
            </w:pPr>
            <w:r>
              <w:rPr>
                <w:rFonts w:cs="Times New Roman"/>
                <w:szCs w:val="20"/>
              </w:rPr>
              <w:t>Agenda Item</w:t>
            </w:r>
          </w:p>
        </w:tc>
        <w:tc>
          <w:tcPr>
            <w:tcW w:w="1559" w:type="dxa"/>
          </w:tcPr>
          <w:p w14:paraId="1E555D14" w14:textId="6E903DF3" w:rsidR="00B15F8B" w:rsidRPr="00B15F8B" w:rsidRDefault="00C02049" w:rsidP="009E572F">
            <w:pPr>
              <w:spacing w:before="120" w:after="120"/>
              <w:rPr>
                <w:rFonts w:cs="Times New Roman"/>
                <w:sz w:val="32"/>
                <w:szCs w:val="32"/>
              </w:rPr>
            </w:pPr>
            <w:r>
              <w:rPr>
                <w:rFonts w:cs="Times New Roman"/>
                <w:sz w:val="32"/>
                <w:szCs w:val="32"/>
              </w:rPr>
              <w:t>10</w:t>
            </w:r>
          </w:p>
        </w:tc>
      </w:tr>
      <w:tr w:rsidR="00B15F8B" w:rsidRPr="009E572F" w14:paraId="23868B3A" w14:textId="77777777" w:rsidTr="00B15F8B">
        <w:tc>
          <w:tcPr>
            <w:tcW w:w="2518" w:type="dxa"/>
          </w:tcPr>
          <w:p w14:paraId="7E6254E8" w14:textId="77777777" w:rsidR="00B15F8B" w:rsidRPr="009E572F" w:rsidRDefault="00B15F8B" w:rsidP="009E572F">
            <w:pPr>
              <w:spacing w:before="120" w:after="120"/>
              <w:rPr>
                <w:rFonts w:ascii="Arial Rounded MT Bold" w:hAnsi="Arial Rounded MT Bold" w:cs="Times New Roman"/>
                <w:szCs w:val="20"/>
              </w:rPr>
            </w:pPr>
            <w:r>
              <w:rPr>
                <w:rFonts w:ascii="Arial Rounded MT Bold" w:hAnsi="Arial Rounded MT Bold" w:cs="Times New Roman"/>
                <w:szCs w:val="20"/>
              </w:rPr>
              <w:t>Meeting Date</w:t>
            </w:r>
          </w:p>
        </w:tc>
        <w:tc>
          <w:tcPr>
            <w:tcW w:w="3614" w:type="dxa"/>
          </w:tcPr>
          <w:p w14:paraId="1D604903" w14:textId="70E24948" w:rsidR="00B15F8B" w:rsidRPr="009E572F" w:rsidRDefault="00C02049" w:rsidP="00EC7871">
            <w:pPr>
              <w:spacing w:before="120" w:after="120"/>
              <w:rPr>
                <w:rFonts w:cs="Times New Roman"/>
                <w:szCs w:val="20"/>
              </w:rPr>
            </w:pPr>
            <w:r>
              <w:rPr>
                <w:rFonts w:cs="Times New Roman"/>
                <w:szCs w:val="20"/>
              </w:rPr>
              <w:t>18 September 2018</w:t>
            </w:r>
            <w:bookmarkStart w:id="0" w:name="_GoBack"/>
            <w:bookmarkEnd w:id="0"/>
          </w:p>
        </w:tc>
        <w:tc>
          <w:tcPr>
            <w:tcW w:w="2056" w:type="dxa"/>
          </w:tcPr>
          <w:p w14:paraId="11DDADF7" w14:textId="77777777" w:rsidR="00B15F8B" w:rsidRPr="009E572F" w:rsidRDefault="00B15F8B" w:rsidP="009E572F">
            <w:pPr>
              <w:spacing w:before="120" w:after="120"/>
              <w:rPr>
                <w:rFonts w:cs="Times New Roman"/>
                <w:szCs w:val="20"/>
              </w:rPr>
            </w:pPr>
            <w:r>
              <w:rPr>
                <w:rFonts w:cs="Times New Roman"/>
                <w:szCs w:val="20"/>
              </w:rPr>
              <w:t>Report Number</w:t>
            </w:r>
          </w:p>
        </w:tc>
        <w:tc>
          <w:tcPr>
            <w:tcW w:w="1559" w:type="dxa"/>
          </w:tcPr>
          <w:p w14:paraId="0067A737" w14:textId="38B5B072" w:rsidR="00B15F8B" w:rsidRPr="00B15F8B" w:rsidRDefault="00B15F8B" w:rsidP="009E572F">
            <w:pPr>
              <w:spacing w:before="120" w:after="120"/>
              <w:rPr>
                <w:rFonts w:cs="Times New Roman"/>
                <w:b/>
                <w:szCs w:val="20"/>
              </w:rPr>
            </w:pPr>
          </w:p>
        </w:tc>
      </w:tr>
      <w:tr w:rsidR="009E572F" w:rsidRPr="009E572F" w14:paraId="2E108A7F" w14:textId="77777777" w:rsidTr="00B15F8B">
        <w:tc>
          <w:tcPr>
            <w:tcW w:w="2518" w:type="dxa"/>
          </w:tcPr>
          <w:p w14:paraId="7B97E3EB" w14:textId="77777777" w:rsidR="009E572F" w:rsidRPr="009E572F" w:rsidRDefault="009E572F" w:rsidP="009E572F">
            <w:pPr>
              <w:spacing w:before="120" w:after="120"/>
              <w:rPr>
                <w:rFonts w:ascii="Arial Rounded MT Bold" w:hAnsi="Arial Rounded MT Bold" w:cs="Times New Roman"/>
                <w:szCs w:val="20"/>
              </w:rPr>
            </w:pPr>
            <w:r w:rsidRPr="009E572F">
              <w:rPr>
                <w:rFonts w:ascii="Arial Rounded MT Bold" w:hAnsi="Arial Rounded MT Bold" w:cs="Times New Roman"/>
                <w:szCs w:val="20"/>
              </w:rPr>
              <w:t>Report Author:</w:t>
            </w:r>
          </w:p>
        </w:tc>
        <w:tc>
          <w:tcPr>
            <w:tcW w:w="7229" w:type="dxa"/>
            <w:gridSpan w:val="3"/>
          </w:tcPr>
          <w:p w14:paraId="0D0FB146" w14:textId="77777777" w:rsidR="009E572F" w:rsidRPr="00B15F8B" w:rsidRDefault="00A20145" w:rsidP="009E572F">
            <w:pPr>
              <w:spacing w:before="120" w:after="120"/>
              <w:rPr>
                <w:rFonts w:cs="Times New Roman"/>
                <w:szCs w:val="20"/>
              </w:rPr>
            </w:pPr>
            <w:r>
              <w:rPr>
                <w:rFonts w:cs="Times New Roman"/>
                <w:szCs w:val="20"/>
              </w:rPr>
              <w:t>Ben Pilkington</w:t>
            </w:r>
            <w:r w:rsidR="00784EB6">
              <w:rPr>
                <w:rFonts w:cs="Times New Roman"/>
                <w:szCs w:val="20"/>
              </w:rPr>
              <w:t>, Assistant Director (Programme 2020)</w:t>
            </w:r>
          </w:p>
        </w:tc>
      </w:tr>
      <w:tr w:rsidR="009E572F" w:rsidRPr="009E572F" w14:paraId="6F299332" w14:textId="77777777" w:rsidTr="00B15F8B">
        <w:tc>
          <w:tcPr>
            <w:tcW w:w="2518" w:type="dxa"/>
            <w:tcBorders>
              <w:top w:val="single" w:sz="6" w:space="0" w:color="auto"/>
              <w:left w:val="single" w:sz="6" w:space="0" w:color="auto"/>
              <w:bottom w:val="single" w:sz="6" w:space="0" w:color="auto"/>
              <w:right w:val="single" w:sz="6" w:space="0" w:color="auto"/>
            </w:tcBorders>
          </w:tcPr>
          <w:p w14:paraId="4B9DE93A" w14:textId="77777777" w:rsidR="009E572F" w:rsidRPr="009E572F" w:rsidRDefault="00B15F8B" w:rsidP="009E572F">
            <w:pPr>
              <w:spacing w:before="120" w:after="120"/>
              <w:rPr>
                <w:rFonts w:ascii="Arial Rounded MT Bold" w:hAnsi="Arial Rounded MT Bold" w:cs="Times New Roman"/>
                <w:szCs w:val="20"/>
              </w:rPr>
            </w:pPr>
            <w:r>
              <w:rPr>
                <w:rFonts w:ascii="Arial Rounded MT Bold" w:hAnsi="Arial Rounded MT Bold" w:cs="Times New Roman"/>
                <w:szCs w:val="20"/>
              </w:rPr>
              <w:t>Presented By</w:t>
            </w:r>
          </w:p>
        </w:tc>
        <w:tc>
          <w:tcPr>
            <w:tcW w:w="7229" w:type="dxa"/>
            <w:gridSpan w:val="3"/>
            <w:tcBorders>
              <w:top w:val="single" w:sz="6" w:space="0" w:color="auto"/>
              <w:left w:val="single" w:sz="6" w:space="0" w:color="auto"/>
              <w:bottom w:val="single" w:sz="6" w:space="0" w:color="auto"/>
              <w:right w:val="single" w:sz="6" w:space="0" w:color="auto"/>
            </w:tcBorders>
          </w:tcPr>
          <w:p w14:paraId="04092DAA" w14:textId="58F083AD" w:rsidR="009E572F" w:rsidRPr="009E572F" w:rsidRDefault="00B86343" w:rsidP="009E572F">
            <w:pPr>
              <w:spacing w:before="120" w:after="120"/>
              <w:rPr>
                <w:rFonts w:cs="Times New Roman"/>
                <w:szCs w:val="20"/>
              </w:rPr>
            </w:pPr>
            <w:r>
              <w:rPr>
                <w:rFonts w:cs="Times New Roman"/>
                <w:szCs w:val="20"/>
              </w:rPr>
              <w:t>Ben Pilkington, Assistant Director (Programme 2020)</w:t>
            </w:r>
          </w:p>
        </w:tc>
      </w:tr>
      <w:tr w:rsidR="009E572F" w:rsidRPr="009E572F" w14:paraId="20E4CDB9" w14:textId="77777777" w:rsidTr="00B15F8B">
        <w:tc>
          <w:tcPr>
            <w:tcW w:w="2518" w:type="dxa"/>
          </w:tcPr>
          <w:p w14:paraId="2900C719" w14:textId="77777777" w:rsidR="009E572F" w:rsidRPr="009E572F" w:rsidRDefault="003A46D1" w:rsidP="009E572F">
            <w:pPr>
              <w:spacing w:before="120" w:after="120"/>
              <w:rPr>
                <w:rFonts w:ascii="Arial Rounded MT Bold" w:hAnsi="Arial Rounded MT Bold" w:cs="Times New Roman"/>
                <w:szCs w:val="20"/>
              </w:rPr>
            </w:pPr>
            <w:r>
              <w:rPr>
                <w:rFonts w:ascii="Arial Rounded MT Bold" w:hAnsi="Arial Rounded MT Bold" w:cs="Times New Roman"/>
                <w:szCs w:val="20"/>
              </w:rPr>
              <w:t>Subject</w:t>
            </w:r>
          </w:p>
        </w:tc>
        <w:tc>
          <w:tcPr>
            <w:tcW w:w="7229" w:type="dxa"/>
            <w:gridSpan w:val="3"/>
          </w:tcPr>
          <w:p w14:paraId="1DE2CD25" w14:textId="03C324CC" w:rsidR="009E572F" w:rsidRPr="003A46D1" w:rsidRDefault="00140960" w:rsidP="00B86343">
            <w:pPr>
              <w:spacing w:before="120" w:after="120"/>
              <w:rPr>
                <w:rFonts w:cs="Times New Roman"/>
                <w:b/>
                <w:szCs w:val="20"/>
              </w:rPr>
            </w:pPr>
            <w:r>
              <w:rPr>
                <w:rFonts w:cs="Times New Roman"/>
                <w:b/>
                <w:szCs w:val="20"/>
              </w:rPr>
              <w:t>Programme 2020 Update</w:t>
            </w:r>
          </w:p>
        </w:tc>
      </w:tr>
      <w:tr w:rsidR="009E572F" w:rsidRPr="009E572F" w14:paraId="04C49633" w14:textId="77777777" w:rsidTr="00B15F8B">
        <w:tc>
          <w:tcPr>
            <w:tcW w:w="2518" w:type="dxa"/>
          </w:tcPr>
          <w:p w14:paraId="04B4FE6A" w14:textId="77777777" w:rsidR="009E572F" w:rsidRPr="009E572F" w:rsidRDefault="009E572F" w:rsidP="009E572F">
            <w:pPr>
              <w:spacing w:before="120" w:after="120"/>
              <w:rPr>
                <w:rFonts w:ascii="Arial Rounded MT Bold" w:hAnsi="Arial Rounded MT Bold" w:cs="Times New Roman"/>
                <w:szCs w:val="20"/>
              </w:rPr>
            </w:pPr>
            <w:r w:rsidRPr="009E572F">
              <w:rPr>
                <w:rFonts w:ascii="Arial Rounded MT Bold" w:hAnsi="Arial Rounded MT Bold" w:cs="Times New Roman"/>
                <w:szCs w:val="20"/>
              </w:rPr>
              <w:t>Type of Report:</w:t>
            </w:r>
          </w:p>
        </w:tc>
        <w:tc>
          <w:tcPr>
            <w:tcW w:w="7229" w:type="dxa"/>
            <w:gridSpan w:val="3"/>
          </w:tcPr>
          <w:p w14:paraId="2E90D192" w14:textId="3BB664FD" w:rsidR="009E572F" w:rsidRPr="009E572F" w:rsidRDefault="00CE47E8" w:rsidP="00A20145">
            <w:pPr>
              <w:tabs>
                <w:tab w:val="num" w:pos="567"/>
              </w:tabs>
              <w:spacing w:before="120" w:after="120"/>
              <w:rPr>
                <w:rFonts w:cs="Times New Roman"/>
                <w:szCs w:val="20"/>
              </w:rPr>
            </w:pPr>
            <w:r>
              <w:rPr>
                <w:rFonts w:cs="Times New Roman"/>
                <w:szCs w:val="20"/>
              </w:rPr>
              <w:t>Information</w:t>
            </w:r>
          </w:p>
        </w:tc>
      </w:tr>
    </w:tbl>
    <w:p w14:paraId="04C2D2EF" w14:textId="77777777" w:rsidR="002F45F7" w:rsidRDefault="002F45F7" w:rsidP="009E572F">
      <w:pPr>
        <w:tabs>
          <w:tab w:val="num" w:pos="567"/>
        </w:tabs>
        <w:spacing w:after="120"/>
        <w:rPr>
          <w:rFonts w:cs="Times New Roman"/>
          <w:szCs w:val="20"/>
        </w:rPr>
        <w:sectPr w:rsidR="002F45F7" w:rsidSect="002F45F7">
          <w:footerReference w:type="first" r:id="rId9"/>
          <w:pgSz w:w="11906" w:h="16838" w:code="9"/>
          <w:pgMar w:top="2977" w:right="1134" w:bottom="244" w:left="1276" w:header="709" w:footer="709" w:gutter="0"/>
          <w:cols w:space="708"/>
          <w:titlePg/>
          <w:docGrid w:linePitch="360"/>
        </w:sectPr>
      </w:pPr>
    </w:p>
    <w:p w14:paraId="4122DB56" w14:textId="77777777" w:rsidR="009E572F" w:rsidRDefault="009E572F" w:rsidP="009E572F">
      <w:pPr>
        <w:tabs>
          <w:tab w:val="num" w:pos="567"/>
        </w:tabs>
        <w:spacing w:after="120"/>
        <w:rPr>
          <w:rFonts w:cs="Times New Roman"/>
          <w:szCs w:val="20"/>
        </w:rPr>
      </w:pPr>
    </w:p>
    <w:p w14:paraId="71455B24" w14:textId="77777777" w:rsidR="00A20145" w:rsidRPr="007D6C3F" w:rsidRDefault="00C0492F" w:rsidP="00A20145">
      <w:pPr>
        <w:pStyle w:val="Heading1"/>
      </w:pPr>
      <w:r w:rsidRPr="007D6C3F">
        <w:t>Recommendations</w:t>
      </w:r>
    </w:p>
    <w:p w14:paraId="47FBC3C7" w14:textId="77777777" w:rsidR="009205E3" w:rsidRPr="007D6C3F" w:rsidRDefault="00A20145" w:rsidP="00A20145">
      <w:pPr>
        <w:pStyle w:val="ListParagraph"/>
        <w:numPr>
          <w:ilvl w:val="0"/>
          <w:numId w:val="18"/>
        </w:numPr>
      </w:pPr>
      <w:r w:rsidRPr="007D6C3F">
        <w:t>Me</w:t>
      </w:r>
      <w:r w:rsidR="00ED61DF" w:rsidRPr="007D6C3F">
        <w:t>mbers of the Board are asked to</w:t>
      </w:r>
      <w:r w:rsidR="000E0229" w:rsidRPr="007D6C3F">
        <w:t xml:space="preserve"> note the content of the report.</w:t>
      </w:r>
    </w:p>
    <w:p w14:paraId="52F881F8" w14:textId="77777777" w:rsidR="000E0229" w:rsidRPr="007D6C3F" w:rsidRDefault="000E0229" w:rsidP="00EC438B">
      <w:pPr>
        <w:pStyle w:val="ListParagraph"/>
        <w:numPr>
          <w:ilvl w:val="0"/>
          <w:numId w:val="18"/>
        </w:numPr>
        <w:sectPr w:rsidR="000E0229" w:rsidRPr="007D6C3F" w:rsidSect="002F45F7">
          <w:headerReference w:type="default" r:id="rId10"/>
          <w:footerReference w:type="default" r:id="rId11"/>
          <w:footerReference w:type="first" r:id="rId12"/>
          <w:type w:val="continuous"/>
          <w:pgSz w:w="11906" w:h="16838" w:code="9"/>
          <w:pgMar w:top="2977" w:right="1134" w:bottom="244" w:left="1276" w:header="709" w:footer="709" w:gutter="0"/>
          <w:cols w:space="708"/>
          <w:titlePg/>
          <w:docGrid w:linePitch="360"/>
        </w:sectPr>
      </w:pPr>
    </w:p>
    <w:p w14:paraId="053FA8EC" w14:textId="27079614" w:rsidR="00C0492F" w:rsidRPr="007D6C3F" w:rsidRDefault="00C0492F" w:rsidP="00C0492F">
      <w:pPr>
        <w:pStyle w:val="Heading1"/>
      </w:pPr>
      <w:r w:rsidRPr="007D6C3F">
        <w:t>BACKGROUND</w:t>
      </w:r>
    </w:p>
    <w:p w14:paraId="76401C94" w14:textId="063D2AF4" w:rsidR="00A20145" w:rsidRPr="007D6C3F" w:rsidRDefault="000E0229" w:rsidP="00BC7141">
      <w:pPr>
        <w:pStyle w:val="ListParagraph"/>
        <w:numPr>
          <w:ilvl w:val="0"/>
          <w:numId w:val="18"/>
        </w:numPr>
        <w:jc w:val="both"/>
      </w:pPr>
      <w:r w:rsidRPr="007D6C3F">
        <w:t xml:space="preserve">Through Programme 2020 the Service developed and consulted upon a number of options for change, one of which was selected by the Fire Authority in June 2016. This report updates members of the Board on the progress of those planned changes. </w:t>
      </w:r>
    </w:p>
    <w:p w14:paraId="66DE8770" w14:textId="77777777" w:rsidR="000E0229" w:rsidRPr="007D6C3F" w:rsidRDefault="000E0229" w:rsidP="000E0229">
      <w:pPr>
        <w:pStyle w:val="ListParagraph"/>
        <w:ind w:left="360"/>
      </w:pPr>
    </w:p>
    <w:p w14:paraId="406FD36D" w14:textId="4CE46CE1" w:rsidR="008056BE" w:rsidRPr="007D6C3F" w:rsidRDefault="000F1C23" w:rsidP="000E0229">
      <w:pPr>
        <w:pStyle w:val="Heading1"/>
      </w:pPr>
      <w:r w:rsidRPr="007D6C3F">
        <w:t>PROGRESS UPDATE</w:t>
      </w:r>
    </w:p>
    <w:p w14:paraId="5B3D6F23" w14:textId="7044E35E" w:rsidR="004715EC" w:rsidRPr="007D6C3F" w:rsidRDefault="000E0229" w:rsidP="004715EC">
      <w:pPr>
        <w:pStyle w:val="ListParagraph"/>
        <w:numPr>
          <w:ilvl w:val="0"/>
          <w:numId w:val="18"/>
        </w:numPr>
        <w:rPr>
          <w:b/>
        </w:rPr>
      </w:pPr>
      <w:r w:rsidRPr="007D6C3F">
        <w:rPr>
          <w:b/>
        </w:rPr>
        <w:t>Appliance removal and employee relocation project</w:t>
      </w:r>
      <w:r w:rsidR="000F1C23" w:rsidRPr="007D6C3F">
        <w:rPr>
          <w:b/>
        </w:rPr>
        <w:t xml:space="preserve"> </w:t>
      </w:r>
      <w:r w:rsidR="004715EC" w:rsidRPr="007D6C3F">
        <w:rPr>
          <w:b/>
        </w:rPr>
        <w:t>–</w:t>
      </w:r>
      <w:r w:rsidR="000F1C23" w:rsidRPr="007D6C3F">
        <w:rPr>
          <w:b/>
        </w:rPr>
        <w:t xml:space="preserve"> COMPLETE</w:t>
      </w:r>
    </w:p>
    <w:p w14:paraId="66D9777C" w14:textId="1D583030" w:rsidR="004715EC" w:rsidRPr="007D6C3F" w:rsidRDefault="004715EC" w:rsidP="004715EC">
      <w:pPr>
        <w:pStyle w:val="ListParagraph"/>
        <w:ind w:left="360"/>
        <w:rPr>
          <w:b/>
          <w:i/>
        </w:rPr>
      </w:pPr>
      <w:r w:rsidRPr="007D6C3F">
        <w:rPr>
          <w:i/>
        </w:rPr>
        <w:t xml:space="preserve">The project planned and delivered the removal of appliances from </w:t>
      </w:r>
      <w:proofErr w:type="spellStart"/>
      <w:r w:rsidRPr="007D6C3F">
        <w:rPr>
          <w:i/>
        </w:rPr>
        <w:t>Corringham</w:t>
      </w:r>
      <w:proofErr w:type="spellEnd"/>
      <w:r w:rsidRPr="007D6C3F">
        <w:rPr>
          <w:i/>
        </w:rPr>
        <w:t xml:space="preserve">, Orsett, Rayleigh Weir and Loughton and the associated employee relocations. </w:t>
      </w:r>
    </w:p>
    <w:p w14:paraId="0D5EB912" w14:textId="77777777" w:rsidR="004715EC" w:rsidRPr="007D6C3F" w:rsidRDefault="004715EC" w:rsidP="000F1C23">
      <w:pPr>
        <w:pStyle w:val="ListParagraph"/>
        <w:ind w:left="360"/>
      </w:pPr>
    </w:p>
    <w:p w14:paraId="28825AB7" w14:textId="0EB6942A" w:rsidR="000F1C23" w:rsidRDefault="000F1C23" w:rsidP="000F1C23">
      <w:pPr>
        <w:pStyle w:val="ListParagraph"/>
        <w:ind w:left="360"/>
      </w:pPr>
      <w:r w:rsidRPr="007D6C3F">
        <w:t>All planned removals have now taken place.</w:t>
      </w:r>
      <w:r>
        <w:t xml:space="preserve"> </w:t>
      </w:r>
    </w:p>
    <w:p w14:paraId="7F815453" w14:textId="77777777" w:rsidR="000F1C23" w:rsidRPr="000F1C23" w:rsidRDefault="000F1C23" w:rsidP="000F1C23">
      <w:pPr>
        <w:pStyle w:val="ListParagraph"/>
        <w:ind w:left="360"/>
      </w:pPr>
    </w:p>
    <w:p w14:paraId="33161B08" w14:textId="499D5EE7" w:rsidR="000E0229" w:rsidRPr="00A26995" w:rsidRDefault="000E0229" w:rsidP="00287195">
      <w:pPr>
        <w:pStyle w:val="ListParagraph"/>
        <w:numPr>
          <w:ilvl w:val="0"/>
          <w:numId w:val="18"/>
        </w:numPr>
        <w:rPr>
          <w:b/>
        </w:rPr>
      </w:pPr>
      <w:r w:rsidRPr="00A26995">
        <w:rPr>
          <w:b/>
        </w:rPr>
        <w:t>On-call conversion project</w:t>
      </w:r>
      <w:r w:rsidR="000F1C23" w:rsidRPr="00A26995">
        <w:rPr>
          <w:b/>
        </w:rPr>
        <w:t xml:space="preserve"> – IN PROGRESS</w:t>
      </w:r>
    </w:p>
    <w:p w14:paraId="40149161" w14:textId="5501094B" w:rsidR="000F1C23" w:rsidRPr="00A26995" w:rsidRDefault="001B06CF" w:rsidP="000F1C23">
      <w:pPr>
        <w:pStyle w:val="ListParagraph"/>
        <w:ind w:left="360"/>
        <w:rPr>
          <w:i/>
        </w:rPr>
      </w:pPr>
      <w:r w:rsidRPr="00A26995">
        <w:rPr>
          <w:i/>
        </w:rPr>
        <w:t xml:space="preserve">Conversions of </w:t>
      </w:r>
      <w:proofErr w:type="spellStart"/>
      <w:r w:rsidRPr="00A26995">
        <w:rPr>
          <w:i/>
        </w:rPr>
        <w:t>Dovercourt</w:t>
      </w:r>
      <w:proofErr w:type="spellEnd"/>
      <w:r w:rsidRPr="00A26995">
        <w:rPr>
          <w:i/>
        </w:rPr>
        <w:t xml:space="preserve">, South </w:t>
      </w:r>
      <w:proofErr w:type="spellStart"/>
      <w:r w:rsidRPr="00A26995">
        <w:rPr>
          <w:i/>
        </w:rPr>
        <w:t>Woodham</w:t>
      </w:r>
      <w:proofErr w:type="spellEnd"/>
      <w:r w:rsidRPr="00A26995">
        <w:rPr>
          <w:i/>
        </w:rPr>
        <w:t xml:space="preserve"> </w:t>
      </w:r>
      <w:proofErr w:type="spellStart"/>
      <w:r w:rsidRPr="00A26995">
        <w:rPr>
          <w:i/>
        </w:rPr>
        <w:t>Ferrers</w:t>
      </w:r>
      <w:proofErr w:type="spellEnd"/>
      <w:r w:rsidRPr="00A26995">
        <w:rPr>
          <w:i/>
        </w:rPr>
        <w:t xml:space="preserve">, Waltham Abbey and Great </w:t>
      </w:r>
      <w:proofErr w:type="spellStart"/>
      <w:r w:rsidRPr="00A26995">
        <w:rPr>
          <w:i/>
        </w:rPr>
        <w:t>Baddow</w:t>
      </w:r>
      <w:proofErr w:type="spellEnd"/>
      <w:r w:rsidRPr="00A26995">
        <w:rPr>
          <w:i/>
        </w:rPr>
        <w:t xml:space="preserve"> stations from day crew to On-Call and conversion of Clacton’s second appliance from </w:t>
      </w:r>
      <w:proofErr w:type="spellStart"/>
      <w:r w:rsidRPr="00A26995">
        <w:rPr>
          <w:i/>
        </w:rPr>
        <w:t>wholetime</w:t>
      </w:r>
      <w:proofErr w:type="spellEnd"/>
      <w:r w:rsidRPr="00A26995">
        <w:rPr>
          <w:i/>
        </w:rPr>
        <w:t xml:space="preserve"> to On-Call.</w:t>
      </w:r>
    </w:p>
    <w:p w14:paraId="2F22332D" w14:textId="59E6CEB5" w:rsidR="001B06CF" w:rsidRPr="007D6C3F" w:rsidRDefault="001B06CF" w:rsidP="000F1C23">
      <w:pPr>
        <w:pStyle w:val="ListParagraph"/>
        <w:ind w:left="360"/>
        <w:rPr>
          <w:highlight w:val="yellow"/>
        </w:rPr>
      </w:pPr>
    </w:p>
    <w:p w14:paraId="3CB57986" w14:textId="59C0AF8B" w:rsidR="00A26995" w:rsidRDefault="0036668E" w:rsidP="000F1C23">
      <w:pPr>
        <w:pStyle w:val="ListParagraph"/>
        <w:ind w:left="360"/>
        <w:rPr>
          <w:highlight w:val="yellow"/>
        </w:rPr>
      </w:pPr>
      <w:r>
        <w:t>C</w:t>
      </w:r>
      <w:r w:rsidR="009D2462" w:rsidRPr="009D2462">
        <w:t>onverting stations have not yet reached the anticipated headcount to be confident of stations be</w:t>
      </w:r>
      <w:r w:rsidR="009D2462">
        <w:t>ing ready to convert as planned</w:t>
      </w:r>
      <w:r>
        <w:t xml:space="preserve">. The table below shows the number of </w:t>
      </w:r>
      <w:r w:rsidR="00456A15">
        <w:t xml:space="preserve">On-Call </w:t>
      </w:r>
      <w:r>
        <w:t>firefighters</w:t>
      </w:r>
      <w:r w:rsidR="00456A15">
        <w:t xml:space="preserve"> </w:t>
      </w:r>
      <w:r>
        <w:t>currently at each of the Stations.</w:t>
      </w:r>
      <w:r w:rsidR="009D2462">
        <w:t xml:space="preserve"> </w:t>
      </w:r>
      <w:r w:rsidR="009D2462">
        <w:rPr>
          <w:highlight w:val="yellow"/>
        </w:rPr>
        <w:t xml:space="preserve"> </w:t>
      </w:r>
    </w:p>
    <w:p w14:paraId="41638738" w14:textId="11FE73EC" w:rsidR="00FF51A8" w:rsidRDefault="00FF51A8" w:rsidP="000F1C23">
      <w:pPr>
        <w:pStyle w:val="ListParagraph"/>
        <w:ind w:left="360"/>
        <w:rPr>
          <w:highlight w:val="yellow"/>
        </w:rPr>
      </w:pPr>
    </w:p>
    <w:p w14:paraId="69B1D62F" w14:textId="4DEA884E" w:rsidR="00FF51A8" w:rsidRDefault="00FF51A8" w:rsidP="000F1C23">
      <w:pPr>
        <w:pStyle w:val="ListParagraph"/>
        <w:ind w:left="360"/>
        <w:rPr>
          <w:highlight w:val="yellow"/>
        </w:rPr>
      </w:pPr>
    </w:p>
    <w:p w14:paraId="397C0A61" w14:textId="77777777" w:rsidR="00FF51A8" w:rsidRPr="007D6C3F" w:rsidRDefault="00FF51A8" w:rsidP="000F1C23">
      <w:pPr>
        <w:pStyle w:val="ListParagraph"/>
        <w:ind w:left="360"/>
        <w:rPr>
          <w:highlight w:val="yellow"/>
        </w:rPr>
      </w:pPr>
    </w:p>
    <w:p w14:paraId="19BEBF8D" w14:textId="74716F26" w:rsidR="001B06CF" w:rsidRDefault="001B06CF" w:rsidP="000F1C23">
      <w:pPr>
        <w:pStyle w:val="ListParagraph"/>
        <w:ind w:left="360"/>
        <w:rPr>
          <w:highlight w:val="yellow"/>
        </w:rPr>
      </w:pPr>
    </w:p>
    <w:tbl>
      <w:tblPr>
        <w:tblW w:w="9170" w:type="dxa"/>
        <w:tblLook w:val="04A0" w:firstRow="1" w:lastRow="0" w:firstColumn="1" w:lastColumn="0" w:noHBand="0" w:noVBand="1"/>
      </w:tblPr>
      <w:tblGrid>
        <w:gridCol w:w="1804"/>
        <w:gridCol w:w="1555"/>
        <w:gridCol w:w="1701"/>
        <w:gridCol w:w="2126"/>
        <w:gridCol w:w="850"/>
        <w:gridCol w:w="1134"/>
      </w:tblGrid>
      <w:tr w:rsidR="00A26995" w:rsidRPr="00F017BA" w14:paraId="0E9CBDD2" w14:textId="77777777" w:rsidTr="00F51D8F">
        <w:trPr>
          <w:trHeight w:val="422"/>
        </w:trPr>
        <w:tc>
          <w:tcPr>
            <w:tcW w:w="180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FD04978" w14:textId="77777777" w:rsidR="00A26995" w:rsidRPr="00D35141" w:rsidRDefault="00A26995" w:rsidP="00F51D8F">
            <w:pPr>
              <w:jc w:val="center"/>
              <w:rPr>
                <w:rFonts w:ascii="Calibri" w:hAnsi="Calibri" w:cs="Times New Roman"/>
                <w:b/>
                <w:bCs/>
                <w:color w:val="000000"/>
                <w:lang w:eastAsia="en-GB"/>
              </w:rPr>
            </w:pPr>
          </w:p>
        </w:tc>
        <w:tc>
          <w:tcPr>
            <w:tcW w:w="1555"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349F50D8" w14:textId="77777777" w:rsidR="00A26995" w:rsidRPr="00D35141" w:rsidRDefault="00A26995" w:rsidP="00F51D8F">
            <w:pPr>
              <w:jc w:val="center"/>
              <w:rPr>
                <w:rFonts w:ascii="Calibri" w:hAnsi="Calibri" w:cs="Times New Roman"/>
                <w:b/>
                <w:bCs/>
                <w:color w:val="000000"/>
                <w:lang w:eastAsia="en-GB"/>
              </w:rPr>
            </w:pPr>
            <w:r w:rsidRPr="00D35141">
              <w:rPr>
                <w:rFonts w:ascii="Calibri" w:hAnsi="Calibri" w:cs="Times New Roman"/>
                <w:b/>
                <w:bCs/>
                <w:color w:val="000000"/>
                <w:lang w:eastAsia="en-GB"/>
              </w:rPr>
              <w:t>Budgeted FTE</w:t>
            </w:r>
          </w:p>
        </w:tc>
        <w:tc>
          <w:tcPr>
            <w:tcW w:w="1701"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14:paraId="5EED368C" w14:textId="77777777" w:rsidR="00A26995" w:rsidRPr="00D35141" w:rsidRDefault="00A26995" w:rsidP="00F51D8F">
            <w:pPr>
              <w:jc w:val="center"/>
              <w:rPr>
                <w:rFonts w:ascii="Calibri" w:hAnsi="Calibri" w:cs="Times New Roman"/>
                <w:b/>
                <w:bCs/>
                <w:color w:val="000000"/>
                <w:lang w:eastAsia="en-GB"/>
              </w:rPr>
            </w:pPr>
            <w:r w:rsidRPr="00D35141">
              <w:rPr>
                <w:rFonts w:ascii="Calibri" w:hAnsi="Calibri" w:cs="Times New Roman"/>
                <w:b/>
                <w:bCs/>
                <w:color w:val="000000"/>
                <w:lang w:eastAsia="en-GB"/>
              </w:rPr>
              <w:t>Current FTE</w:t>
            </w:r>
          </w:p>
        </w:tc>
        <w:tc>
          <w:tcPr>
            <w:tcW w:w="2126"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14:paraId="4D528F05" w14:textId="77777777" w:rsidR="00A26995" w:rsidRPr="00D35141" w:rsidRDefault="00A26995" w:rsidP="00F51D8F">
            <w:pPr>
              <w:jc w:val="center"/>
              <w:rPr>
                <w:rFonts w:ascii="Calibri" w:hAnsi="Calibri" w:cs="Times New Roman"/>
                <w:b/>
                <w:bCs/>
                <w:color w:val="000000"/>
                <w:lang w:eastAsia="en-GB"/>
              </w:rPr>
            </w:pPr>
            <w:r w:rsidRPr="00D35141">
              <w:rPr>
                <w:rFonts w:ascii="Calibri" w:hAnsi="Calibri" w:cs="Times New Roman"/>
                <w:b/>
                <w:bCs/>
                <w:color w:val="000000"/>
                <w:lang w:eastAsia="en-GB"/>
              </w:rPr>
              <w:t>Current Headcount</w:t>
            </w:r>
          </w:p>
        </w:tc>
        <w:tc>
          <w:tcPr>
            <w:tcW w:w="850"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14:paraId="73459DD0" w14:textId="77777777" w:rsidR="00A26995" w:rsidRPr="00D35141" w:rsidRDefault="00A26995" w:rsidP="00F51D8F">
            <w:pPr>
              <w:jc w:val="center"/>
              <w:rPr>
                <w:rFonts w:ascii="Calibri" w:hAnsi="Calibri" w:cs="Times New Roman"/>
                <w:b/>
                <w:bCs/>
                <w:color w:val="000000"/>
                <w:lang w:eastAsia="en-GB"/>
              </w:rPr>
            </w:pPr>
            <w:r w:rsidRPr="00D35141">
              <w:rPr>
                <w:rFonts w:ascii="Calibri" w:hAnsi="Calibri" w:cs="Times New Roman"/>
                <w:b/>
                <w:bCs/>
                <w:color w:val="000000"/>
                <w:lang w:eastAsia="en-GB"/>
              </w:rPr>
              <w:t>WMs</w:t>
            </w:r>
          </w:p>
        </w:tc>
        <w:tc>
          <w:tcPr>
            <w:tcW w:w="1134"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14:paraId="50C41D16" w14:textId="77777777" w:rsidR="00A26995" w:rsidRPr="00D35141" w:rsidRDefault="00A26995" w:rsidP="00F51D8F">
            <w:pPr>
              <w:jc w:val="center"/>
              <w:rPr>
                <w:rFonts w:ascii="Calibri" w:hAnsi="Calibri" w:cs="Times New Roman"/>
                <w:b/>
                <w:bCs/>
                <w:color w:val="000000"/>
                <w:lang w:eastAsia="en-GB"/>
              </w:rPr>
            </w:pPr>
            <w:r w:rsidRPr="00D35141">
              <w:rPr>
                <w:rFonts w:ascii="Calibri" w:hAnsi="Calibri" w:cs="Times New Roman"/>
                <w:b/>
                <w:bCs/>
                <w:color w:val="000000"/>
                <w:lang w:eastAsia="en-GB"/>
              </w:rPr>
              <w:t>CMs</w:t>
            </w:r>
          </w:p>
        </w:tc>
      </w:tr>
      <w:tr w:rsidR="00A26995" w:rsidRPr="00351DCB" w14:paraId="127D5894" w14:textId="77777777" w:rsidTr="00F51D8F">
        <w:trPr>
          <w:trHeight w:val="397"/>
        </w:trPr>
        <w:tc>
          <w:tcPr>
            <w:tcW w:w="1804" w:type="dxa"/>
            <w:tcBorders>
              <w:top w:val="single" w:sz="4" w:space="0" w:color="auto"/>
              <w:left w:val="single" w:sz="4" w:space="0" w:color="auto"/>
              <w:bottom w:val="nil"/>
              <w:right w:val="single" w:sz="4" w:space="0" w:color="auto"/>
            </w:tcBorders>
            <w:vAlign w:val="center"/>
          </w:tcPr>
          <w:p w14:paraId="2E2AD930" w14:textId="77777777" w:rsidR="00A26995" w:rsidRDefault="00A26995" w:rsidP="00F51D8F">
            <w:pPr>
              <w:jc w:val="center"/>
              <w:rPr>
                <w:rFonts w:ascii="Calibri" w:hAnsi="Calibri" w:cs="Times New Roman"/>
                <w:b/>
                <w:bCs/>
                <w:color w:val="000000"/>
                <w:lang w:eastAsia="en-GB"/>
              </w:rPr>
            </w:pPr>
            <w:r>
              <w:rPr>
                <w:rFonts w:ascii="Calibri" w:hAnsi="Calibri" w:cs="Times New Roman"/>
                <w:b/>
                <w:bCs/>
                <w:color w:val="000000"/>
                <w:lang w:eastAsia="en-GB"/>
              </w:rPr>
              <w:t>Clacton</w:t>
            </w:r>
          </w:p>
        </w:tc>
        <w:tc>
          <w:tcPr>
            <w:tcW w:w="1555" w:type="dxa"/>
            <w:tcBorders>
              <w:top w:val="single" w:sz="4" w:space="0" w:color="auto"/>
              <w:left w:val="single" w:sz="4" w:space="0" w:color="auto"/>
              <w:bottom w:val="nil"/>
              <w:right w:val="single" w:sz="4" w:space="0" w:color="auto"/>
            </w:tcBorders>
            <w:shd w:val="clear" w:color="auto" w:fill="auto"/>
            <w:vAlign w:val="center"/>
            <w:hideMark/>
          </w:tcPr>
          <w:p w14:paraId="3CDACD3F" w14:textId="77777777" w:rsidR="00A26995" w:rsidRPr="00D35141" w:rsidRDefault="00A26995" w:rsidP="00F51D8F">
            <w:pPr>
              <w:jc w:val="center"/>
              <w:rPr>
                <w:rFonts w:ascii="Calibri" w:hAnsi="Calibri" w:cs="Times New Roman"/>
                <w:b/>
                <w:bCs/>
                <w:color w:val="000000"/>
                <w:lang w:eastAsia="en-GB"/>
              </w:rPr>
            </w:pPr>
            <w:r>
              <w:rPr>
                <w:rFonts w:ascii="Calibri" w:hAnsi="Calibri" w:cs="Times New Roman"/>
                <w:b/>
                <w:bCs/>
                <w:color w:val="000000"/>
                <w:lang w:eastAsia="en-GB"/>
              </w:rPr>
              <w:t>18</w:t>
            </w:r>
          </w:p>
        </w:tc>
        <w:tc>
          <w:tcPr>
            <w:tcW w:w="1701" w:type="dxa"/>
            <w:tcBorders>
              <w:top w:val="single" w:sz="4" w:space="0" w:color="auto"/>
              <w:left w:val="nil"/>
              <w:bottom w:val="nil"/>
              <w:right w:val="single" w:sz="4" w:space="0" w:color="auto"/>
            </w:tcBorders>
            <w:shd w:val="clear" w:color="auto" w:fill="auto"/>
            <w:noWrap/>
            <w:vAlign w:val="center"/>
            <w:hideMark/>
          </w:tcPr>
          <w:p w14:paraId="3100B651" w14:textId="77777777" w:rsidR="00A26995" w:rsidRPr="00D35141" w:rsidRDefault="00A26995" w:rsidP="00F51D8F">
            <w:pPr>
              <w:jc w:val="center"/>
              <w:rPr>
                <w:rFonts w:ascii="Calibri" w:hAnsi="Calibri" w:cs="Times New Roman"/>
                <w:b/>
                <w:bCs/>
                <w:color w:val="000000"/>
                <w:lang w:eastAsia="en-GB"/>
              </w:rPr>
            </w:pPr>
            <w:r>
              <w:rPr>
                <w:rFonts w:ascii="Calibri" w:hAnsi="Calibri" w:cs="Times New Roman"/>
                <w:b/>
                <w:bCs/>
                <w:color w:val="000000"/>
                <w:lang w:eastAsia="en-GB"/>
              </w:rPr>
              <w:t>14.25</w:t>
            </w:r>
          </w:p>
        </w:tc>
        <w:tc>
          <w:tcPr>
            <w:tcW w:w="2126" w:type="dxa"/>
            <w:tcBorders>
              <w:top w:val="single" w:sz="4" w:space="0" w:color="auto"/>
              <w:left w:val="nil"/>
              <w:bottom w:val="nil"/>
              <w:right w:val="single" w:sz="4" w:space="0" w:color="auto"/>
            </w:tcBorders>
            <w:shd w:val="clear" w:color="auto" w:fill="auto"/>
            <w:noWrap/>
            <w:vAlign w:val="center"/>
            <w:hideMark/>
          </w:tcPr>
          <w:p w14:paraId="035EFF65" w14:textId="77777777" w:rsidR="00A26995" w:rsidRPr="00D35141" w:rsidRDefault="00A26995" w:rsidP="00F51D8F">
            <w:pPr>
              <w:jc w:val="center"/>
              <w:rPr>
                <w:rFonts w:ascii="Calibri" w:hAnsi="Calibri" w:cs="Times New Roman"/>
                <w:b/>
                <w:bCs/>
                <w:color w:val="000000"/>
                <w:lang w:eastAsia="en-GB"/>
              </w:rPr>
            </w:pPr>
            <w:r>
              <w:rPr>
                <w:rFonts w:ascii="Calibri" w:hAnsi="Calibri" w:cs="Times New Roman"/>
                <w:b/>
                <w:bCs/>
                <w:color w:val="000000"/>
                <w:lang w:eastAsia="en-GB"/>
              </w:rPr>
              <w:t>16</w:t>
            </w:r>
          </w:p>
        </w:tc>
        <w:tc>
          <w:tcPr>
            <w:tcW w:w="850" w:type="dxa"/>
            <w:tcBorders>
              <w:top w:val="single" w:sz="4" w:space="0" w:color="auto"/>
              <w:left w:val="nil"/>
              <w:bottom w:val="nil"/>
              <w:right w:val="single" w:sz="4" w:space="0" w:color="auto"/>
            </w:tcBorders>
            <w:shd w:val="clear" w:color="auto" w:fill="auto"/>
            <w:noWrap/>
            <w:vAlign w:val="center"/>
            <w:hideMark/>
          </w:tcPr>
          <w:p w14:paraId="6E78817B" w14:textId="77777777" w:rsidR="00A26995" w:rsidRPr="00D35141" w:rsidRDefault="00A26995" w:rsidP="00F51D8F">
            <w:pPr>
              <w:jc w:val="center"/>
              <w:rPr>
                <w:rFonts w:ascii="Calibri" w:hAnsi="Calibri" w:cs="Times New Roman"/>
                <w:b/>
                <w:bCs/>
                <w:color w:val="000000"/>
                <w:lang w:eastAsia="en-GB"/>
              </w:rPr>
            </w:pPr>
            <w:r>
              <w:rPr>
                <w:rFonts w:ascii="Calibri" w:hAnsi="Calibri" w:cs="Times New Roman"/>
                <w:b/>
                <w:bCs/>
                <w:color w:val="000000"/>
                <w:lang w:eastAsia="en-GB"/>
              </w:rPr>
              <w:t>0</w:t>
            </w:r>
          </w:p>
        </w:tc>
        <w:tc>
          <w:tcPr>
            <w:tcW w:w="1134" w:type="dxa"/>
            <w:tcBorders>
              <w:top w:val="single" w:sz="4" w:space="0" w:color="auto"/>
              <w:left w:val="nil"/>
              <w:bottom w:val="nil"/>
              <w:right w:val="single" w:sz="4" w:space="0" w:color="auto"/>
            </w:tcBorders>
            <w:shd w:val="clear" w:color="auto" w:fill="auto"/>
            <w:noWrap/>
            <w:vAlign w:val="center"/>
            <w:hideMark/>
          </w:tcPr>
          <w:p w14:paraId="200C49F1" w14:textId="77777777" w:rsidR="00A26995" w:rsidRPr="00D35141" w:rsidRDefault="00A26995" w:rsidP="00F51D8F">
            <w:pPr>
              <w:jc w:val="center"/>
              <w:rPr>
                <w:rFonts w:ascii="Calibri" w:hAnsi="Calibri" w:cs="Times New Roman"/>
                <w:b/>
                <w:bCs/>
                <w:color w:val="000000"/>
                <w:lang w:eastAsia="en-GB"/>
              </w:rPr>
            </w:pPr>
            <w:r>
              <w:rPr>
                <w:rFonts w:ascii="Calibri" w:hAnsi="Calibri" w:cs="Times New Roman"/>
                <w:b/>
                <w:bCs/>
                <w:color w:val="000000"/>
                <w:lang w:eastAsia="en-GB"/>
              </w:rPr>
              <w:t>1</w:t>
            </w:r>
          </w:p>
        </w:tc>
      </w:tr>
      <w:tr w:rsidR="00A26995" w:rsidRPr="00351DCB" w14:paraId="2CFD139B" w14:textId="77777777" w:rsidTr="00F51D8F">
        <w:trPr>
          <w:trHeight w:val="397"/>
        </w:trPr>
        <w:tc>
          <w:tcPr>
            <w:tcW w:w="1804" w:type="dxa"/>
            <w:tcBorders>
              <w:top w:val="nil"/>
              <w:left w:val="single" w:sz="4" w:space="0" w:color="auto"/>
              <w:bottom w:val="nil"/>
              <w:right w:val="single" w:sz="4" w:space="0" w:color="auto"/>
            </w:tcBorders>
            <w:vAlign w:val="center"/>
          </w:tcPr>
          <w:p w14:paraId="6DBBD7D1" w14:textId="77777777" w:rsidR="00A26995" w:rsidRDefault="00A26995" w:rsidP="00F51D8F">
            <w:pPr>
              <w:jc w:val="center"/>
              <w:rPr>
                <w:rFonts w:ascii="Calibri" w:hAnsi="Calibri" w:cs="Times New Roman"/>
                <w:b/>
                <w:bCs/>
                <w:color w:val="000000"/>
                <w:lang w:eastAsia="en-GB"/>
              </w:rPr>
            </w:pPr>
            <w:proofErr w:type="spellStart"/>
            <w:r>
              <w:rPr>
                <w:rFonts w:ascii="Calibri" w:hAnsi="Calibri" w:cs="Times New Roman"/>
                <w:b/>
                <w:bCs/>
                <w:color w:val="000000"/>
                <w:lang w:eastAsia="en-GB"/>
              </w:rPr>
              <w:t>Dovercourt</w:t>
            </w:r>
            <w:proofErr w:type="spellEnd"/>
          </w:p>
        </w:tc>
        <w:tc>
          <w:tcPr>
            <w:tcW w:w="1555" w:type="dxa"/>
            <w:tcBorders>
              <w:top w:val="nil"/>
              <w:left w:val="single" w:sz="4" w:space="0" w:color="auto"/>
              <w:bottom w:val="nil"/>
              <w:right w:val="single" w:sz="4" w:space="0" w:color="auto"/>
            </w:tcBorders>
            <w:shd w:val="clear" w:color="auto" w:fill="auto"/>
            <w:vAlign w:val="center"/>
          </w:tcPr>
          <w:p w14:paraId="5A5353A7" w14:textId="77777777" w:rsidR="00A26995" w:rsidRDefault="00A26995" w:rsidP="00F51D8F">
            <w:pPr>
              <w:jc w:val="center"/>
              <w:rPr>
                <w:rFonts w:ascii="Calibri" w:hAnsi="Calibri" w:cs="Times New Roman"/>
                <w:b/>
                <w:bCs/>
                <w:color w:val="000000"/>
                <w:lang w:eastAsia="en-GB"/>
              </w:rPr>
            </w:pPr>
            <w:r w:rsidRPr="00D35141">
              <w:rPr>
                <w:rFonts w:ascii="Calibri" w:hAnsi="Calibri" w:cs="Times New Roman"/>
                <w:b/>
                <w:bCs/>
                <w:color w:val="000000"/>
                <w:lang w:eastAsia="en-GB"/>
              </w:rPr>
              <w:t>17</w:t>
            </w:r>
          </w:p>
        </w:tc>
        <w:tc>
          <w:tcPr>
            <w:tcW w:w="1701" w:type="dxa"/>
            <w:tcBorders>
              <w:top w:val="nil"/>
              <w:left w:val="nil"/>
              <w:bottom w:val="nil"/>
              <w:right w:val="single" w:sz="4" w:space="0" w:color="auto"/>
            </w:tcBorders>
            <w:shd w:val="clear" w:color="auto" w:fill="auto"/>
            <w:noWrap/>
            <w:vAlign w:val="center"/>
          </w:tcPr>
          <w:p w14:paraId="49BD08B5" w14:textId="77777777" w:rsidR="00A26995" w:rsidRDefault="00A26995" w:rsidP="00F51D8F">
            <w:pPr>
              <w:jc w:val="center"/>
              <w:rPr>
                <w:rFonts w:ascii="Calibri" w:hAnsi="Calibri" w:cs="Times New Roman"/>
                <w:b/>
                <w:bCs/>
                <w:color w:val="000000"/>
                <w:lang w:eastAsia="en-GB"/>
              </w:rPr>
            </w:pPr>
            <w:r w:rsidRPr="00D35141">
              <w:rPr>
                <w:rFonts w:ascii="Calibri" w:hAnsi="Calibri" w:cs="Times New Roman"/>
                <w:b/>
                <w:bCs/>
                <w:color w:val="000000"/>
                <w:lang w:eastAsia="en-GB"/>
              </w:rPr>
              <w:t>10</w:t>
            </w:r>
          </w:p>
        </w:tc>
        <w:tc>
          <w:tcPr>
            <w:tcW w:w="2126" w:type="dxa"/>
            <w:tcBorders>
              <w:top w:val="nil"/>
              <w:left w:val="nil"/>
              <w:bottom w:val="nil"/>
              <w:right w:val="single" w:sz="4" w:space="0" w:color="auto"/>
            </w:tcBorders>
            <w:shd w:val="clear" w:color="auto" w:fill="auto"/>
            <w:noWrap/>
            <w:vAlign w:val="center"/>
          </w:tcPr>
          <w:p w14:paraId="7403D5D4" w14:textId="77777777" w:rsidR="00A26995" w:rsidRDefault="00A26995" w:rsidP="00F51D8F">
            <w:pPr>
              <w:jc w:val="center"/>
              <w:rPr>
                <w:rFonts w:ascii="Calibri" w:hAnsi="Calibri" w:cs="Times New Roman"/>
                <w:b/>
                <w:bCs/>
                <w:color w:val="000000"/>
                <w:lang w:eastAsia="en-GB"/>
              </w:rPr>
            </w:pPr>
            <w:r w:rsidRPr="00D35141">
              <w:rPr>
                <w:rFonts w:ascii="Calibri" w:hAnsi="Calibri" w:cs="Times New Roman"/>
                <w:b/>
                <w:bCs/>
                <w:color w:val="000000"/>
                <w:lang w:eastAsia="en-GB"/>
              </w:rPr>
              <w:t>13</w:t>
            </w:r>
          </w:p>
        </w:tc>
        <w:tc>
          <w:tcPr>
            <w:tcW w:w="850" w:type="dxa"/>
            <w:tcBorders>
              <w:top w:val="nil"/>
              <w:left w:val="nil"/>
              <w:bottom w:val="nil"/>
              <w:right w:val="single" w:sz="4" w:space="0" w:color="auto"/>
            </w:tcBorders>
            <w:shd w:val="clear" w:color="auto" w:fill="auto"/>
            <w:noWrap/>
            <w:vAlign w:val="center"/>
          </w:tcPr>
          <w:p w14:paraId="522F0A32" w14:textId="77777777" w:rsidR="00A26995" w:rsidRDefault="00A26995" w:rsidP="00F51D8F">
            <w:pPr>
              <w:jc w:val="center"/>
              <w:rPr>
                <w:rFonts w:ascii="Calibri" w:hAnsi="Calibri" w:cs="Times New Roman"/>
                <w:b/>
                <w:bCs/>
                <w:color w:val="000000"/>
                <w:lang w:eastAsia="en-GB"/>
              </w:rPr>
            </w:pPr>
            <w:r>
              <w:rPr>
                <w:rFonts w:ascii="Calibri" w:hAnsi="Calibri" w:cs="Times New Roman"/>
                <w:b/>
                <w:bCs/>
                <w:color w:val="000000"/>
                <w:lang w:eastAsia="en-GB"/>
              </w:rPr>
              <w:t>1</w:t>
            </w:r>
          </w:p>
        </w:tc>
        <w:tc>
          <w:tcPr>
            <w:tcW w:w="1134" w:type="dxa"/>
            <w:tcBorders>
              <w:top w:val="nil"/>
              <w:left w:val="nil"/>
              <w:bottom w:val="nil"/>
              <w:right w:val="single" w:sz="4" w:space="0" w:color="auto"/>
            </w:tcBorders>
            <w:shd w:val="clear" w:color="auto" w:fill="auto"/>
            <w:noWrap/>
            <w:vAlign w:val="center"/>
          </w:tcPr>
          <w:p w14:paraId="71A6F475" w14:textId="77777777" w:rsidR="00A26995" w:rsidRDefault="00A26995" w:rsidP="00F51D8F">
            <w:pPr>
              <w:jc w:val="center"/>
              <w:rPr>
                <w:rFonts w:ascii="Calibri" w:hAnsi="Calibri" w:cs="Times New Roman"/>
                <w:b/>
                <w:bCs/>
                <w:color w:val="000000"/>
                <w:lang w:eastAsia="en-GB"/>
              </w:rPr>
            </w:pPr>
            <w:r>
              <w:rPr>
                <w:rFonts w:ascii="Calibri" w:hAnsi="Calibri" w:cs="Times New Roman"/>
                <w:b/>
                <w:bCs/>
                <w:color w:val="000000"/>
                <w:lang w:eastAsia="en-GB"/>
              </w:rPr>
              <w:t>3</w:t>
            </w:r>
          </w:p>
        </w:tc>
      </w:tr>
      <w:tr w:rsidR="00A26995" w:rsidRPr="00351DCB" w14:paraId="498049E2" w14:textId="77777777" w:rsidTr="00F51D8F">
        <w:trPr>
          <w:trHeight w:val="397"/>
        </w:trPr>
        <w:tc>
          <w:tcPr>
            <w:tcW w:w="1804" w:type="dxa"/>
            <w:tcBorders>
              <w:top w:val="nil"/>
              <w:left w:val="single" w:sz="4" w:space="0" w:color="auto"/>
              <w:bottom w:val="nil"/>
              <w:right w:val="single" w:sz="4" w:space="0" w:color="auto"/>
            </w:tcBorders>
            <w:vAlign w:val="center"/>
          </w:tcPr>
          <w:p w14:paraId="03E5F8C1" w14:textId="77777777" w:rsidR="00A26995" w:rsidRDefault="00A26995" w:rsidP="00F51D8F">
            <w:pPr>
              <w:jc w:val="center"/>
              <w:rPr>
                <w:rFonts w:ascii="Calibri" w:hAnsi="Calibri" w:cs="Times New Roman"/>
                <w:b/>
                <w:bCs/>
                <w:color w:val="000000"/>
                <w:lang w:eastAsia="en-GB"/>
              </w:rPr>
            </w:pPr>
            <w:r>
              <w:rPr>
                <w:rFonts w:ascii="Calibri" w:hAnsi="Calibri" w:cs="Times New Roman"/>
                <w:b/>
                <w:bCs/>
                <w:color w:val="000000"/>
                <w:lang w:eastAsia="en-GB"/>
              </w:rPr>
              <w:t xml:space="preserve">SWF </w:t>
            </w:r>
          </w:p>
        </w:tc>
        <w:tc>
          <w:tcPr>
            <w:tcW w:w="1555" w:type="dxa"/>
            <w:tcBorders>
              <w:top w:val="nil"/>
              <w:left w:val="single" w:sz="4" w:space="0" w:color="auto"/>
              <w:bottom w:val="nil"/>
              <w:right w:val="single" w:sz="4" w:space="0" w:color="auto"/>
            </w:tcBorders>
            <w:shd w:val="clear" w:color="auto" w:fill="auto"/>
            <w:vAlign w:val="center"/>
          </w:tcPr>
          <w:p w14:paraId="2884B69E" w14:textId="77777777" w:rsidR="00A26995" w:rsidRDefault="00A26995" w:rsidP="00F51D8F">
            <w:pPr>
              <w:jc w:val="center"/>
              <w:rPr>
                <w:rFonts w:ascii="Calibri" w:hAnsi="Calibri" w:cs="Times New Roman"/>
                <w:b/>
                <w:bCs/>
                <w:color w:val="000000"/>
                <w:lang w:eastAsia="en-GB"/>
              </w:rPr>
            </w:pPr>
            <w:r>
              <w:rPr>
                <w:rFonts w:ascii="Calibri" w:hAnsi="Calibri" w:cs="Times New Roman"/>
                <w:b/>
                <w:bCs/>
                <w:color w:val="000000"/>
                <w:lang w:eastAsia="en-GB"/>
              </w:rPr>
              <w:t>10</w:t>
            </w:r>
          </w:p>
        </w:tc>
        <w:tc>
          <w:tcPr>
            <w:tcW w:w="1701" w:type="dxa"/>
            <w:tcBorders>
              <w:top w:val="nil"/>
              <w:left w:val="nil"/>
              <w:bottom w:val="nil"/>
              <w:right w:val="single" w:sz="4" w:space="0" w:color="auto"/>
            </w:tcBorders>
            <w:shd w:val="clear" w:color="auto" w:fill="auto"/>
            <w:noWrap/>
            <w:vAlign w:val="center"/>
          </w:tcPr>
          <w:p w14:paraId="065E8F36" w14:textId="77777777" w:rsidR="00A26995" w:rsidRDefault="00A26995" w:rsidP="00F51D8F">
            <w:pPr>
              <w:jc w:val="center"/>
              <w:rPr>
                <w:rFonts w:ascii="Calibri" w:hAnsi="Calibri" w:cs="Times New Roman"/>
                <w:b/>
                <w:bCs/>
                <w:color w:val="000000"/>
                <w:lang w:eastAsia="en-GB"/>
              </w:rPr>
            </w:pPr>
            <w:r>
              <w:rPr>
                <w:rFonts w:ascii="Calibri" w:hAnsi="Calibri" w:cs="Times New Roman"/>
                <w:b/>
                <w:bCs/>
                <w:color w:val="000000"/>
                <w:lang w:eastAsia="en-GB"/>
              </w:rPr>
              <w:t>3.75</w:t>
            </w:r>
          </w:p>
        </w:tc>
        <w:tc>
          <w:tcPr>
            <w:tcW w:w="2126" w:type="dxa"/>
            <w:tcBorders>
              <w:top w:val="nil"/>
              <w:left w:val="nil"/>
              <w:bottom w:val="nil"/>
              <w:right w:val="single" w:sz="4" w:space="0" w:color="auto"/>
            </w:tcBorders>
            <w:shd w:val="clear" w:color="auto" w:fill="auto"/>
            <w:noWrap/>
            <w:vAlign w:val="center"/>
          </w:tcPr>
          <w:p w14:paraId="74A8CCDA" w14:textId="77777777" w:rsidR="00A26995" w:rsidRDefault="00A26995" w:rsidP="00F51D8F">
            <w:pPr>
              <w:jc w:val="center"/>
              <w:rPr>
                <w:rFonts w:ascii="Calibri" w:hAnsi="Calibri" w:cs="Times New Roman"/>
                <w:b/>
                <w:bCs/>
                <w:color w:val="000000"/>
                <w:lang w:eastAsia="en-GB"/>
              </w:rPr>
            </w:pPr>
            <w:r>
              <w:rPr>
                <w:rFonts w:ascii="Calibri" w:hAnsi="Calibri" w:cs="Times New Roman"/>
                <w:b/>
                <w:bCs/>
                <w:color w:val="000000"/>
                <w:lang w:eastAsia="en-GB"/>
              </w:rPr>
              <w:t>5</w:t>
            </w:r>
          </w:p>
        </w:tc>
        <w:tc>
          <w:tcPr>
            <w:tcW w:w="850" w:type="dxa"/>
            <w:tcBorders>
              <w:top w:val="nil"/>
              <w:left w:val="nil"/>
              <w:bottom w:val="nil"/>
              <w:right w:val="single" w:sz="4" w:space="0" w:color="auto"/>
            </w:tcBorders>
            <w:shd w:val="clear" w:color="auto" w:fill="auto"/>
            <w:noWrap/>
            <w:vAlign w:val="center"/>
          </w:tcPr>
          <w:p w14:paraId="0AC7B6EB" w14:textId="77777777" w:rsidR="00A26995" w:rsidRDefault="00A26995" w:rsidP="00F51D8F">
            <w:pPr>
              <w:jc w:val="center"/>
              <w:rPr>
                <w:rFonts w:ascii="Calibri" w:hAnsi="Calibri" w:cs="Times New Roman"/>
                <w:b/>
                <w:bCs/>
                <w:color w:val="000000"/>
                <w:lang w:eastAsia="en-GB"/>
              </w:rPr>
            </w:pPr>
            <w:r>
              <w:rPr>
                <w:rFonts w:ascii="Calibri" w:hAnsi="Calibri" w:cs="Times New Roman"/>
                <w:b/>
                <w:bCs/>
                <w:color w:val="000000"/>
                <w:lang w:eastAsia="en-GB"/>
              </w:rPr>
              <w:t>0</w:t>
            </w:r>
          </w:p>
        </w:tc>
        <w:tc>
          <w:tcPr>
            <w:tcW w:w="1134" w:type="dxa"/>
            <w:tcBorders>
              <w:top w:val="nil"/>
              <w:left w:val="nil"/>
              <w:bottom w:val="nil"/>
              <w:right w:val="single" w:sz="4" w:space="0" w:color="auto"/>
            </w:tcBorders>
            <w:shd w:val="clear" w:color="auto" w:fill="auto"/>
            <w:noWrap/>
            <w:vAlign w:val="center"/>
          </w:tcPr>
          <w:p w14:paraId="2AC10241" w14:textId="77777777" w:rsidR="00A26995" w:rsidRDefault="00A26995" w:rsidP="00F51D8F">
            <w:pPr>
              <w:jc w:val="center"/>
              <w:rPr>
                <w:rFonts w:ascii="Calibri" w:hAnsi="Calibri" w:cs="Times New Roman"/>
                <w:b/>
                <w:bCs/>
                <w:color w:val="000000"/>
                <w:lang w:eastAsia="en-GB"/>
              </w:rPr>
            </w:pPr>
            <w:r>
              <w:rPr>
                <w:rFonts w:ascii="Calibri" w:hAnsi="Calibri" w:cs="Times New Roman"/>
                <w:b/>
                <w:bCs/>
                <w:color w:val="000000"/>
                <w:lang w:eastAsia="en-GB"/>
              </w:rPr>
              <w:t>0</w:t>
            </w:r>
          </w:p>
        </w:tc>
      </w:tr>
      <w:tr w:rsidR="00A26995" w:rsidRPr="00351DCB" w14:paraId="2B6D4E8F" w14:textId="77777777" w:rsidTr="00F51D8F">
        <w:trPr>
          <w:trHeight w:val="397"/>
        </w:trPr>
        <w:tc>
          <w:tcPr>
            <w:tcW w:w="1804" w:type="dxa"/>
            <w:tcBorders>
              <w:top w:val="nil"/>
              <w:left w:val="single" w:sz="4" w:space="0" w:color="auto"/>
              <w:bottom w:val="nil"/>
              <w:right w:val="single" w:sz="4" w:space="0" w:color="auto"/>
            </w:tcBorders>
            <w:vAlign w:val="center"/>
          </w:tcPr>
          <w:p w14:paraId="599F4DE0" w14:textId="77777777" w:rsidR="00A26995" w:rsidRDefault="00A26995" w:rsidP="00F51D8F">
            <w:pPr>
              <w:jc w:val="center"/>
              <w:rPr>
                <w:rFonts w:ascii="Calibri" w:hAnsi="Calibri" w:cs="Times New Roman"/>
                <w:b/>
                <w:bCs/>
                <w:color w:val="000000"/>
                <w:lang w:eastAsia="en-GB"/>
              </w:rPr>
            </w:pPr>
            <w:r>
              <w:rPr>
                <w:rFonts w:ascii="Calibri" w:hAnsi="Calibri" w:cs="Times New Roman"/>
                <w:b/>
                <w:bCs/>
                <w:color w:val="000000"/>
                <w:lang w:eastAsia="en-GB"/>
              </w:rPr>
              <w:t>Waltham Abbey</w:t>
            </w:r>
          </w:p>
        </w:tc>
        <w:tc>
          <w:tcPr>
            <w:tcW w:w="1555" w:type="dxa"/>
            <w:tcBorders>
              <w:top w:val="nil"/>
              <w:left w:val="single" w:sz="4" w:space="0" w:color="auto"/>
              <w:bottom w:val="nil"/>
              <w:right w:val="single" w:sz="4" w:space="0" w:color="auto"/>
            </w:tcBorders>
            <w:shd w:val="clear" w:color="auto" w:fill="auto"/>
            <w:vAlign w:val="center"/>
          </w:tcPr>
          <w:p w14:paraId="4F7B5DFF" w14:textId="77777777" w:rsidR="00A26995" w:rsidRDefault="00A26995" w:rsidP="00F51D8F">
            <w:pPr>
              <w:jc w:val="center"/>
              <w:rPr>
                <w:rFonts w:ascii="Calibri" w:hAnsi="Calibri" w:cs="Times New Roman"/>
                <w:b/>
                <w:bCs/>
                <w:color w:val="000000"/>
                <w:lang w:eastAsia="en-GB"/>
              </w:rPr>
            </w:pPr>
            <w:r>
              <w:rPr>
                <w:rFonts w:ascii="Calibri" w:hAnsi="Calibri" w:cs="Times New Roman"/>
                <w:b/>
                <w:bCs/>
                <w:color w:val="000000"/>
                <w:lang w:eastAsia="en-GB"/>
              </w:rPr>
              <w:t>10</w:t>
            </w:r>
          </w:p>
        </w:tc>
        <w:tc>
          <w:tcPr>
            <w:tcW w:w="1701" w:type="dxa"/>
            <w:tcBorders>
              <w:top w:val="nil"/>
              <w:left w:val="nil"/>
              <w:bottom w:val="nil"/>
              <w:right w:val="single" w:sz="4" w:space="0" w:color="auto"/>
            </w:tcBorders>
            <w:shd w:val="clear" w:color="auto" w:fill="auto"/>
            <w:noWrap/>
            <w:vAlign w:val="center"/>
          </w:tcPr>
          <w:p w14:paraId="4AD1CE63" w14:textId="77777777" w:rsidR="00A26995" w:rsidRDefault="00A26995" w:rsidP="00F51D8F">
            <w:pPr>
              <w:jc w:val="center"/>
              <w:rPr>
                <w:rFonts w:ascii="Calibri" w:hAnsi="Calibri" w:cs="Times New Roman"/>
                <w:b/>
                <w:bCs/>
                <w:color w:val="000000"/>
                <w:lang w:eastAsia="en-GB"/>
              </w:rPr>
            </w:pPr>
            <w:r>
              <w:rPr>
                <w:rFonts w:ascii="Calibri" w:hAnsi="Calibri" w:cs="Times New Roman"/>
                <w:b/>
                <w:bCs/>
                <w:color w:val="000000"/>
                <w:lang w:eastAsia="en-GB"/>
              </w:rPr>
              <w:t>6.75</w:t>
            </w:r>
          </w:p>
        </w:tc>
        <w:tc>
          <w:tcPr>
            <w:tcW w:w="2126" w:type="dxa"/>
            <w:tcBorders>
              <w:top w:val="nil"/>
              <w:left w:val="nil"/>
              <w:bottom w:val="nil"/>
              <w:right w:val="single" w:sz="4" w:space="0" w:color="auto"/>
            </w:tcBorders>
            <w:shd w:val="clear" w:color="auto" w:fill="auto"/>
            <w:noWrap/>
            <w:vAlign w:val="center"/>
          </w:tcPr>
          <w:p w14:paraId="6DE78221" w14:textId="77777777" w:rsidR="00A26995" w:rsidRDefault="00A26995" w:rsidP="00F51D8F">
            <w:pPr>
              <w:jc w:val="center"/>
              <w:rPr>
                <w:rFonts w:ascii="Calibri" w:hAnsi="Calibri" w:cs="Times New Roman"/>
                <w:b/>
                <w:bCs/>
                <w:color w:val="000000"/>
                <w:lang w:eastAsia="en-GB"/>
              </w:rPr>
            </w:pPr>
            <w:r>
              <w:rPr>
                <w:rFonts w:ascii="Calibri" w:hAnsi="Calibri" w:cs="Times New Roman"/>
                <w:b/>
                <w:bCs/>
                <w:color w:val="000000"/>
                <w:lang w:eastAsia="en-GB"/>
              </w:rPr>
              <w:t>9</w:t>
            </w:r>
          </w:p>
        </w:tc>
        <w:tc>
          <w:tcPr>
            <w:tcW w:w="850" w:type="dxa"/>
            <w:tcBorders>
              <w:top w:val="nil"/>
              <w:left w:val="nil"/>
              <w:bottom w:val="nil"/>
              <w:right w:val="single" w:sz="4" w:space="0" w:color="auto"/>
            </w:tcBorders>
            <w:shd w:val="clear" w:color="auto" w:fill="auto"/>
            <w:noWrap/>
            <w:vAlign w:val="center"/>
          </w:tcPr>
          <w:p w14:paraId="657827D8" w14:textId="77777777" w:rsidR="00A26995" w:rsidRDefault="00A26995" w:rsidP="00F51D8F">
            <w:pPr>
              <w:jc w:val="center"/>
              <w:rPr>
                <w:rFonts w:ascii="Calibri" w:hAnsi="Calibri" w:cs="Times New Roman"/>
                <w:b/>
                <w:bCs/>
                <w:color w:val="000000"/>
                <w:lang w:eastAsia="en-GB"/>
              </w:rPr>
            </w:pPr>
            <w:r>
              <w:rPr>
                <w:rFonts w:ascii="Calibri" w:hAnsi="Calibri" w:cs="Times New Roman"/>
                <w:b/>
                <w:bCs/>
                <w:color w:val="000000"/>
                <w:lang w:eastAsia="en-GB"/>
              </w:rPr>
              <w:t>0</w:t>
            </w:r>
          </w:p>
        </w:tc>
        <w:tc>
          <w:tcPr>
            <w:tcW w:w="1134" w:type="dxa"/>
            <w:tcBorders>
              <w:top w:val="nil"/>
              <w:left w:val="nil"/>
              <w:bottom w:val="nil"/>
              <w:right w:val="single" w:sz="4" w:space="0" w:color="auto"/>
            </w:tcBorders>
            <w:shd w:val="clear" w:color="auto" w:fill="auto"/>
            <w:noWrap/>
            <w:vAlign w:val="center"/>
          </w:tcPr>
          <w:p w14:paraId="4D9D6D0C" w14:textId="77777777" w:rsidR="00A26995" w:rsidRDefault="00A26995" w:rsidP="00F51D8F">
            <w:pPr>
              <w:jc w:val="center"/>
              <w:rPr>
                <w:rFonts w:ascii="Calibri" w:hAnsi="Calibri" w:cs="Times New Roman"/>
                <w:b/>
                <w:bCs/>
                <w:color w:val="000000"/>
                <w:lang w:eastAsia="en-GB"/>
              </w:rPr>
            </w:pPr>
            <w:r>
              <w:rPr>
                <w:rFonts w:ascii="Calibri" w:hAnsi="Calibri" w:cs="Times New Roman"/>
                <w:b/>
                <w:bCs/>
                <w:color w:val="000000"/>
                <w:lang w:eastAsia="en-GB"/>
              </w:rPr>
              <w:t>0</w:t>
            </w:r>
          </w:p>
        </w:tc>
      </w:tr>
      <w:tr w:rsidR="00A26995" w:rsidRPr="00351DCB" w14:paraId="007492D4" w14:textId="77777777" w:rsidTr="00F51D8F">
        <w:trPr>
          <w:trHeight w:val="397"/>
        </w:trPr>
        <w:tc>
          <w:tcPr>
            <w:tcW w:w="1804" w:type="dxa"/>
            <w:tcBorders>
              <w:top w:val="nil"/>
              <w:left w:val="single" w:sz="4" w:space="0" w:color="auto"/>
              <w:bottom w:val="single" w:sz="4" w:space="0" w:color="auto"/>
              <w:right w:val="single" w:sz="4" w:space="0" w:color="auto"/>
            </w:tcBorders>
            <w:vAlign w:val="center"/>
          </w:tcPr>
          <w:p w14:paraId="1B6B9EB1" w14:textId="77777777" w:rsidR="00A26995" w:rsidRDefault="00A26995" w:rsidP="00F51D8F">
            <w:pPr>
              <w:jc w:val="center"/>
              <w:rPr>
                <w:rFonts w:ascii="Calibri" w:hAnsi="Calibri" w:cs="Times New Roman"/>
                <w:b/>
                <w:bCs/>
                <w:color w:val="000000"/>
                <w:lang w:eastAsia="en-GB"/>
              </w:rPr>
            </w:pPr>
            <w:r>
              <w:rPr>
                <w:rFonts w:ascii="Calibri" w:hAnsi="Calibri" w:cs="Times New Roman"/>
                <w:b/>
                <w:bCs/>
                <w:color w:val="000000"/>
                <w:lang w:eastAsia="en-GB"/>
              </w:rPr>
              <w:t xml:space="preserve">Great </w:t>
            </w:r>
            <w:proofErr w:type="spellStart"/>
            <w:r>
              <w:rPr>
                <w:rFonts w:ascii="Calibri" w:hAnsi="Calibri" w:cs="Times New Roman"/>
                <w:b/>
                <w:bCs/>
                <w:color w:val="000000"/>
                <w:lang w:eastAsia="en-GB"/>
              </w:rPr>
              <w:t>Baddow</w:t>
            </w:r>
            <w:proofErr w:type="spellEnd"/>
          </w:p>
        </w:tc>
        <w:tc>
          <w:tcPr>
            <w:tcW w:w="1555" w:type="dxa"/>
            <w:tcBorders>
              <w:top w:val="nil"/>
              <w:left w:val="single" w:sz="4" w:space="0" w:color="auto"/>
              <w:bottom w:val="single" w:sz="4" w:space="0" w:color="auto"/>
              <w:right w:val="single" w:sz="4" w:space="0" w:color="auto"/>
            </w:tcBorders>
            <w:shd w:val="clear" w:color="auto" w:fill="auto"/>
            <w:vAlign w:val="center"/>
          </w:tcPr>
          <w:p w14:paraId="0AB39E82" w14:textId="77777777" w:rsidR="00A26995" w:rsidRDefault="00A26995" w:rsidP="00F51D8F">
            <w:pPr>
              <w:jc w:val="center"/>
              <w:rPr>
                <w:rFonts w:ascii="Calibri" w:hAnsi="Calibri" w:cs="Times New Roman"/>
                <w:b/>
                <w:bCs/>
                <w:color w:val="000000"/>
                <w:lang w:eastAsia="en-GB"/>
              </w:rPr>
            </w:pPr>
            <w:r>
              <w:rPr>
                <w:rFonts w:ascii="Calibri" w:hAnsi="Calibri" w:cs="Times New Roman"/>
                <w:b/>
                <w:bCs/>
                <w:color w:val="000000"/>
                <w:lang w:eastAsia="en-GB"/>
              </w:rPr>
              <w:t>10</w:t>
            </w:r>
          </w:p>
        </w:tc>
        <w:tc>
          <w:tcPr>
            <w:tcW w:w="1701" w:type="dxa"/>
            <w:tcBorders>
              <w:top w:val="nil"/>
              <w:left w:val="nil"/>
              <w:bottom w:val="single" w:sz="4" w:space="0" w:color="auto"/>
              <w:right w:val="single" w:sz="4" w:space="0" w:color="auto"/>
            </w:tcBorders>
            <w:shd w:val="clear" w:color="auto" w:fill="auto"/>
            <w:noWrap/>
            <w:vAlign w:val="center"/>
          </w:tcPr>
          <w:p w14:paraId="27D4892A" w14:textId="77777777" w:rsidR="00A26995" w:rsidRDefault="00A26995" w:rsidP="00F51D8F">
            <w:pPr>
              <w:jc w:val="center"/>
              <w:rPr>
                <w:rFonts w:ascii="Calibri" w:hAnsi="Calibri" w:cs="Times New Roman"/>
                <w:b/>
                <w:bCs/>
                <w:color w:val="000000"/>
                <w:lang w:eastAsia="en-GB"/>
              </w:rPr>
            </w:pPr>
            <w:r>
              <w:rPr>
                <w:rFonts w:ascii="Calibri" w:hAnsi="Calibri" w:cs="Times New Roman"/>
                <w:b/>
                <w:bCs/>
                <w:color w:val="000000"/>
                <w:lang w:eastAsia="en-GB"/>
              </w:rPr>
              <w:t>.75</w:t>
            </w:r>
          </w:p>
        </w:tc>
        <w:tc>
          <w:tcPr>
            <w:tcW w:w="2126" w:type="dxa"/>
            <w:tcBorders>
              <w:top w:val="nil"/>
              <w:left w:val="nil"/>
              <w:bottom w:val="single" w:sz="4" w:space="0" w:color="auto"/>
              <w:right w:val="single" w:sz="4" w:space="0" w:color="auto"/>
            </w:tcBorders>
            <w:shd w:val="clear" w:color="auto" w:fill="auto"/>
            <w:noWrap/>
            <w:vAlign w:val="center"/>
          </w:tcPr>
          <w:p w14:paraId="1F9EE2FB" w14:textId="77777777" w:rsidR="00A26995" w:rsidRDefault="00A26995" w:rsidP="00F51D8F">
            <w:pPr>
              <w:jc w:val="center"/>
              <w:rPr>
                <w:rFonts w:ascii="Calibri" w:hAnsi="Calibri" w:cs="Times New Roman"/>
                <w:b/>
                <w:bCs/>
                <w:color w:val="000000"/>
                <w:lang w:eastAsia="en-GB"/>
              </w:rPr>
            </w:pPr>
            <w:r>
              <w:rPr>
                <w:rFonts w:ascii="Calibri" w:hAnsi="Calibri" w:cs="Times New Roman"/>
                <w:b/>
                <w:bCs/>
                <w:color w:val="000000"/>
                <w:lang w:eastAsia="en-GB"/>
              </w:rPr>
              <w:t>1</w:t>
            </w:r>
          </w:p>
        </w:tc>
        <w:tc>
          <w:tcPr>
            <w:tcW w:w="850" w:type="dxa"/>
            <w:tcBorders>
              <w:top w:val="nil"/>
              <w:left w:val="nil"/>
              <w:bottom w:val="single" w:sz="4" w:space="0" w:color="auto"/>
              <w:right w:val="single" w:sz="4" w:space="0" w:color="auto"/>
            </w:tcBorders>
            <w:shd w:val="clear" w:color="auto" w:fill="auto"/>
            <w:noWrap/>
            <w:vAlign w:val="center"/>
          </w:tcPr>
          <w:p w14:paraId="2D767F0B" w14:textId="77777777" w:rsidR="00A26995" w:rsidRDefault="00A26995" w:rsidP="00F51D8F">
            <w:pPr>
              <w:jc w:val="center"/>
              <w:rPr>
                <w:rFonts w:ascii="Calibri" w:hAnsi="Calibri" w:cs="Times New Roman"/>
                <w:b/>
                <w:bCs/>
                <w:color w:val="000000"/>
                <w:lang w:eastAsia="en-GB"/>
              </w:rPr>
            </w:pPr>
            <w:r>
              <w:rPr>
                <w:rFonts w:ascii="Calibri" w:hAnsi="Calibri" w:cs="Times New Roman"/>
                <w:b/>
                <w:bCs/>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center"/>
          </w:tcPr>
          <w:p w14:paraId="35F483E4" w14:textId="77777777" w:rsidR="00A26995" w:rsidRDefault="00A26995" w:rsidP="00F51D8F">
            <w:pPr>
              <w:jc w:val="center"/>
              <w:rPr>
                <w:rFonts w:ascii="Calibri" w:hAnsi="Calibri" w:cs="Times New Roman"/>
                <w:b/>
                <w:bCs/>
                <w:color w:val="000000"/>
                <w:lang w:eastAsia="en-GB"/>
              </w:rPr>
            </w:pPr>
            <w:r>
              <w:rPr>
                <w:rFonts w:ascii="Calibri" w:hAnsi="Calibri" w:cs="Times New Roman"/>
                <w:b/>
                <w:bCs/>
                <w:color w:val="000000"/>
                <w:lang w:eastAsia="en-GB"/>
              </w:rPr>
              <w:t>0</w:t>
            </w:r>
          </w:p>
        </w:tc>
      </w:tr>
    </w:tbl>
    <w:p w14:paraId="3EC1F319" w14:textId="2A4138D5" w:rsidR="00A26995" w:rsidRDefault="00A26995" w:rsidP="000F1C23">
      <w:pPr>
        <w:pStyle w:val="ListParagraph"/>
        <w:ind w:left="360"/>
        <w:rPr>
          <w:highlight w:val="yellow"/>
        </w:rPr>
      </w:pPr>
    </w:p>
    <w:p w14:paraId="56E0B506" w14:textId="5EA43955" w:rsidR="0036668E" w:rsidRDefault="0036668E" w:rsidP="0036668E">
      <w:pPr>
        <w:spacing w:after="180" w:line="259" w:lineRule="auto"/>
        <w:contextualSpacing/>
      </w:pPr>
      <w:r>
        <w:t>A review of the project identified the following issues which have impacted upon progress to date:</w:t>
      </w:r>
    </w:p>
    <w:p w14:paraId="5D3847F8" w14:textId="24B5054C" w:rsidR="0036668E" w:rsidRDefault="0036668E" w:rsidP="0036668E">
      <w:pPr>
        <w:spacing w:after="180" w:line="259" w:lineRule="auto"/>
        <w:contextualSpacing/>
      </w:pPr>
    </w:p>
    <w:p w14:paraId="4F99077B" w14:textId="5708FE77" w:rsidR="00FF51A8" w:rsidRPr="00FF51A8" w:rsidRDefault="00FF51A8" w:rsidP="00FF51A8">
      <w:pPr>
        <w:pStyle w:val="ListParagraph"/>
        <w:numPr>
          <w:ilvl w:val="0"/>
          <w:numId w:val="33"/>
        </w:numPr>
        <w:spacing w:after="180" w:line="259" w:lineRule="auto"/>
        <w:contextualSpacing/>
      </w:pPr>
      <w:proofErr w:type="spellStart"/>
      <w:r w:rsidRPr="00FF51A8">
        <w:t>Wholetime</w:t>
      </w:r>
      <w:proofErr w:type="spellEnd"/>
      <w:r w:rsidRPr="00FF51A8">
        <w:t xml:space="preserve"> Recruitment:</w:t>
      </w:r>
    </w:p>
    <w:p w14:paraId="6AD6DDD4" w14:textId="77777777" w:rsidR="00FF51A8" w:rsidRPr="00FF51A8" w:rsidRDefault="00FF51A8" w:rsidP="00FF51A8">
      <w:pPr>
        <w:pStyle w:val="ListParagraph"/>
        <w:numPr>
          <w:ilvl w:val="1"/>
          <w:numId w:val="33"/>
        </w:numPr>
        <w:spacing w:after="180" w:line="276" w:lineRule="auto"/>
        <w:contextualSpacing/>
      </w:pPr>
      <w:r w:rsidRPr="00FF51A8">
        <w:t xml:space="preserve">The </w:t>
      </w:r>
      <w:proofErr w:type="spellStart"/>
      <w:r w:rsidRPr="00FF51A8">
        <w:t>wholetime</w:t>
      </w:r>
      <w:proofErr w:type="spellEnd"/>
      <w:r w:rsidRPr="00FF51A8">
        <w:t xml:space="preserve"> recruitment marketing campaign took focus off OC recruitment, resulting in lower levels of interest being registered / less applications coming through during this time.</w:t>
      </w:r>
    </w:p>
    <w:p w14:paraId="0F16F719" w14:textId="0E4A6B08" w:rsidR="00FF51A8" w:rsidRDefault="00456A15" w:rsidP="00FF51A8">
      <w:pPr>
        <w:pStyle w:val="ListParagraph"/>
        <w:numPr>
          <w:ilvl w:val="1"/>
          <w:numId w:val="33"/>
        </w:numPr>
        <w:spacing w:after="180" w:line="259" w:lineRule="auto"/>
        <w:contextualSpacing/>
      </w:pPr>
      <w:r>
        <w:t>On-call</w:t>
      </w:r>
      <w:r w:rsidR="00FF51A8" w:rsidRPr="00FF51A8">
        <w:t xml:space="preserve"> to </w:t>
      </w:r>
      <w:proofErr w:type="spellStart"/>
      <w:r>
        <w:t>wholetime</w:t>
      </w:r>
      <w:proofErr w:type="spellEnd"/>
      <w:r w:rsidR="00FF51A8" w:rsidRPr="00FF51A8">
        <w:t xml:space="preserve"> transfers resulted in increase in number of vacant posts at </w:t>
      </w:r>
      <w:r>
        <w:t>On-call</w:t>
      </w:r>
      <w:r w:rsidR="00FF51A8" w:rsidRPr="00FF51A8">
        <w:t xml:space="preserve"> stations.</w:t>
      </w:r>
    </w:p>
    <w:p w14:paraId="173110A0" w14:textId="4D93788F" w:rsidR="00FF51A8" w:rsidRPr="00456A15" w:rsidRDefault="00456A15" w:rsidP="00FF51A8">
      <w:pPr>
        <w:pStyle w:val="ListParagraph"/>
        <w:numPr>
          <w:ilvl w:val="0"/>
          <w:numId w:val="33"/>
        </w:numPr>
        <w:spacing w:after="180" w:line="259" w:lineRule="auto"/>
        <w:contextualSpacing/>
      </w:pPr>
      <w:r w:rsidRPr="00456A15">
        <w:t>Dedicated recruitment resources reintegrated with HR Recruitment Team.</w:t>
      </w:r>
    </w:p>
    <w:p w14:paraId="55FB5AE7" w14:textId="097B9E6D" w:rsidR="00456A15" w:rsidRPr="00456A15" w:rsidRDefault="00456A15" w:rsidP="00456A15">
      <w:pPr>
        <w:pStyle w:val="ListParagraph"/>
        <w:numPr>
          <w:ilvl w:val="0"/>
          <w:numId w:val="33"/>
        </w:numPr>
        <w:spacing w:after="180" w:line="259" w:lineRule="auto"/>
        <w:contextualSpacing/>
      </w:pPr>
      <w:r w:rsidRPr="00456A15">
        <w:t>Planned recruitment levels have not been reached.</w:t>
      </w:r>
    </w:p>
    <w:p w14:paraId="3F3E5A37" w14:textId="5000ABD8" w:rsidR="00456A15" w:rsidRPr="00456A15" w:rsidRDefault="00456A15" w:rsidP="00456A15">
      <w:pPr>
        <w:pStyle w:val="ListParagraph"/>
        <w:numPr>
          <w:ilvl w:val="1"/>
          <w:numId w:val="33"/>
        </w:numPr>
        <w:spacing w:after="180" w:line="276" w:lineRule="auto"/>
        <w:contextualSpacing/>
      </w:pPr>
      <w:r w:rsidRPr="00456A15">
        <w:t>On-call firefighters recruited post-June’18 will not be fully competent by 31/3/2020.</w:t>
      </w:r>
    </w:p>
    <w:p w14:paraId="5617CC4B" w14:textId="77777777" w:rsidR="00456A15" w:rsidRPr="00456A15" w:rsidRDefault="00456A15" w:rsidP="00456A15">
      <w:pPr>
        <w:pStyle w:val="ListParagraph"/>
        <w:numPr>
          <w:ilvl w:val="1"/>
          <w:numId w:val="33"/>
        </w:numPr>
        <w:spacing w:after="180" w:line="276" w:lineRule="auto"/>
        <w:contextualSpacing/>
      </w:pPr>
      <w:r w:rsidRPr="00456A15">
        <w:t xml:space="preserve">Internal/external perception is that conversions are failing. </w:t>
      </w:r>
    </w:p>
    <w:p w14:paraId="667973B8" w14:textId="36303CB5" w:rsidR="00456A15" w:rsidRPr="00456A15" w:rsidRDefault="00456A15" w:rsidP="00456A15">
      <w:pPr>
        <w:pStyle w:val="ListParagraph"/>
        <w:numPr>
          <w:ilvl w:val="1"/>
          <w:numId w:val="33"/>
        </w:numPr>
        <w:spacing w:after="180" w:line="259" w:lineRule="auto"/>
        <w:contextualSpacing/>
      </w:pPr>
      <w:r w:rsidRPr="00456A15">
        <w:t>Reduces the pool of new recruits from which to identify talent to progress to Crew/Watch Manager.</w:t>
      </w:r>
    </w:p>
    <w:p w14:paraId="3DFDCD3D" w14:textId="0CEC8F58" w:rsidR="00456A15" w:rsidRPr="00456A15" w:rsidRDefault="00456A15" w:rsidP="00456A15">
      <w:pPr>
        <w:pStyle w:val="ListParagraph"/>
        <w:numPr>
          <w:ilvl w:val="0"/>
          <w:numId w:val="33"/>
        </w:numPr>
        <w:spacing w:after="180" w:line="259" w:lineRule="auto"/>
        <w:contextualSpacing/>
      </w:pPr>
      <w:r w:rsidRPr="00456A15">
        <w:t xml:space="preserve">Crew/Watch </w:t>
      </w:r>
      <w:r>
        <w:t>Manager p</w:t>
      </w:r>
      <w:r w:rsidRPr="00456A15">
        <w:t>ositions will not be filled by 31/3/20.</w:t>
      </w:r>
    </w:p>
    <w:p w14:paraId="2F4BA99D" w14:textId="77777777" w:rsidR="00456A15" w:rsidRPr="00456A15" w:rsidRDefault="00456A15" w:rsidP="00456A15">
      <w:pPr>
        <w:pStyle w:val="ListParagraph"/>
        <w:numPr>
          <w:ilvl w:val="1"/>
          <w:numId w:val="33"/>
        </w:numPr>
        <w:spacing w:after="180" w:line="259" w:lineRule="auto"/>
        <w:contextualSpacing/>
      </w:pPr>
      <w:r w:rsidRPr="00456A15">
        <w:t>Converting stations will not be fully crewed at manager level by conversion date.</w:t>
      </w:r>
    </w:p>
    <w:p w14:paraId="04B6ADC0" w14:textId="52579301" w:rsidR="00456A15" w:rsidRPr="00456A15" w:rsidRDefault="00456A15" w:rsidP="00456A15">
      <w:pPr>
        <w:pStyle w:val="ListParagraph"/>
        <w:numPr>
          <w:ilvl w:val="1"/>
          <w:numId w:val="33"/>
        </w:numPr>
        <w:spacing w:after="180" w:line="259" w:lineRule="auto"/>
        <w:contextualSpacing/>
      </w:pPr>
      <w:r w:rsidRPr="00456A15">
        <w:t>Stations will be not be fully converted to on-call by 31/3/20.</w:t>
      </w:r>
    </w:p>
    <w:p w14:paraId="3527FE0E" w14:textId="1CA93AD5" w:rsidR="00456A15" w:rsidRPr="00456A15" w:rsidRDefault="00456A15" w:rsidP="00456A15">
      <w:pPr>
        <w:pStyle w:val="ListParagraph"/>
        <w:numPr>
          <w:ilvl w:val="1"/>
          <w:numId w:val="33"/>
        </w:numPr>
        <w:spacing w:after="180" w:line="259" w:lineRule="auto"/>
        <w:contextualSpacing/>
      </w:pPr>
      <w:r w:rsidRPr="00456A15">
        <w:t>Alternative approaches to filling these posts required.</w:t>
      </w:r>
    </w:p>
    <w:p w14:paraId="2342C649" w14:textId="50F4ECF1" w:rsidR="00456A15" w:rsidRPr="00456A15" w:rsidRDefault="00456A15" w:rsidP="00456A15">
      <w:pPr>
        <w:pStyle w:val="ListParagraph"/>
        <w:numPr>
          <w:ilvl w:val="0"/>
          <w:numId w:val="33"/>
        </w:numPr>
        <w:spacing w:after="180" w:line="259" w:lineRule="auto"/>
        <w:contextualSpacing/>
      </w:pPr>
      <w:r w:rsidRPr="00456A15">
        <w:t>Core Hours project</w:t>
      </w:r>
    </w:p>
    <w:p w14:paraId="3D272F3A" w14:textId="77777777" w:rsidR="00456A15" w:rsidRPr="00456A15" w:rsidRDefault="00456A15" w:rsidP="00456A15">
      <w:pPr>
        <w:pStyle w:val="ListParagraph"/>
        <w:numPr>
          <w:ilvl w:val="1"/>
          <w:numId w:val="33"/>
        </w:numPr>
        <w:spacing w:after="180" w:line="276" w:lineRule="auto"/>
        <w:contextualSpacing/>
      </w:pPr>
      <w:r w:rsidRPr="00456A15">
        <w:t xml:space="preserve">Findings indicate required increase in training hours. </w:t>
      </w:r>
    </w:p>
    <w:p w14:paraId="5F32BE41" w14:textId="00BDE24A" w:rsidR="00456A15" w:rsidRPr="00456A15" w:rsidRDefault="00456A15" w:rsidP="00456A15">
      <w:pPr>
        <w:pStyle w:val="ListParagraph"/>
        <w:numPr>
          <w:ilvl w:val="1"/>
          <w:numId w:val="33"/>
        </w:numPr>
        <w:spacing w:after="180" w:line="259" w:lineRule="auto"/>
        <w:contextualSpacing/>
      </w:pPr>
      <w:r w:rsidRPr="00456A15">
        <w:t>Potential to impact ability to recruit if requirements are too demanding / inflexible.</w:t>
      </w:r>
    </w:p>
    <w:p w14:paraId="0F9EDB38" w14:textId="14AFC70A" w:rsidR="00456A15" w:rsidRPr="00456A15" w:rsidRDefault="00456A15" w:rsidP="00456A15">
      <w:pPr>
        <w:pStyle w:val="ListParagraph"/>
        <w:numPr>
          <w:ilvl w:val="0"/>
          <w:numId w:val="33"/>
        </w:numPr>
        <w:spacing w:after="180" w:line="259" w:lineRule="auto"/>
        <w:contextualSpacing/>
      </w:pPr>
      <w:r w:rsidRPr="00456A15">
        <w:t>New availability model and contracts not delivered.</w:t>
      </w:r>
    </w:p>
    <w:p w14:paraId="1FEB359C" w14:textId="77777777" w:rsidR="00456A15" w:rsidRPr="00456A15" w:rsidRDefault="00456A15" w:rsidP="00456A15">
      <w:pPr>
        <w:pStyle w:val="ListParagraph"/>
        <w:numPr>
          <w:ilvl w:val="1"/>
          <w:numId w:val="33"/>
        </w:numPr>
        <w:spacing w:after="180" w:line="276" w:lineRule="auto"/>
        <w:contextualSpacing/>
      </w:pPr>
      <w:r w:rsidRPr="00456A15">
        <w:t>Considered a significant barrier to recruitment.</w:t>
      </w:r>
    </w:p>
    <w:p w14:paraId="1D745347" w14:textId="77777777" w:rsidR="00456A15" w:rsidRPr="00456A15" w:rsidRDefault="00456A15" w:rsidP="00456A15">
      <w:pPr>
        <w:pStyle w:val="ListParagraph"/>
        <w:numPr>
          <w:ilvl w:val="1"/>
          <w:numId w:val="33"/>
        </w:numPr>
        <w:spacing w:after="180" w:line="276" w:lineRule="auto"/>
        <w:contextualSpacing/>
      </w:pPr>
      <w:r w:rsidRPr="00456A15">
        <w:t>Results in stations not achieving required recruitment levels.</w:t>
      </w:r>
    </w:p>
    <w:p w14:paraId="36739902" w14:textId="77777777" w:rsidR="00456A15" w:rsidRPr="00456A15" w:rsidRDefault="00456A15" w:rsidP="00456A15">
      <w:pPr>
        <w:pStyle w:val="ListParagraph"/>
        <w:spacing w:after="180" w:line="259" w:lineRule="auto"/>
        <w:contextualSpacing/>
        <w:rPr>
          <w:highlight w:val="yellow"/>
        </w:rPr>
      </w:pPr>
    </w:p>
    <w:p w14:paraId="2E69559F" w14:textId="77777777" w:rsidR="002E62DA" w:rsidRDefault="002E62DA">
      <w:r>
        <w:br w:type="page"/>
      </w:r>
    </w:p>
    <w:p w14:paraId="5DDE9453" w14:textId="2CFE2F4D" w:rsidR="0036668E" w:rsidRPr="002E62DA" w:rsidRDefault="001E0950" w:rsidP="0036668E">
      <w:pPr>
        <w:spacing w:after="180" w:line="259" w:lineRule="auto"/>
        <w:contextualSpacing/>
      </w:pPr>
      <w:r w:rsidRPr="002E62DA">
        <w:t xml:space="preserve">A number of remedial actions have been identified and are in either in the process of being delivered or planned. The key activities are described below. </w:t>
      </w:r>
    </w:p>
    <w:p w14:paraId="590F64FB" w14:textId="77777777" w:rsidR="001E0950" w:rsidRPr="006F4C20" w:rsidRDefault="001E0950" w:rsidP="0036668E">
      <w:pPr>
        <w:spacing w:after="180" w:line="259" w:lineRule="auto"/>
        <w:contextualSpacing/>
        <w:rPr>
          <w:highlight w:val="yellow"/>
        </w:rPr>
      </w:pPr>
    </w:p>
    <w:p w14:paraId="6780F44D" w14:textId="24EE5DB0" w:rsidR="0036668E" w:rsidRPr="002E62DA" w:rsidRDefault="005A11A2" w:rsidP="0036668E">
      <w:pPr>
        <w:spacing w:after="180" w:line="259" w:lineRule="auto"/>
        <w:contextualSpacing/>
        <w:rPr>
          <w:b/>
        </w:rPr>
      </w:pPr>
      <w:r>
        <w:rPr>
          <w:b/>
        </w:rPr>
        <w:t>In progress</w:t>
      </w:r>
      <w:r w:rsidR="0036668E" w:rsidRPr="002E62DA">
        <w:rPr>
          <w:b/>
        </w:rPr>
        <w:t>:</w:t>
      </w:r>
    </w:p>
    <w:p w14:paraId="6EBD85DF" w14:textId="208FA9F7" w:rsidR="0036668E" w:rsidRPr="002E62DA" w:rsidRDefault="0036668E" w:rsidP="002E62DA">
      <w:pPr>
        <w:pStyle w:val="ListParagraph"/>
        <w:numPr>
          <w:ilvl w:val="0"/>
          <w:numId w:val="33"/>
        </w:numPr>
        <w:spacing w:after="180" w:line="259" w:lineRule="auto"/>
        <w:contextualSpacing/>
      </w:pPr>
      <w:r w:rsidRPr="002E62DA">
        <w:t xml:space="preserve">Day duty workers at non-station locations/roles work from converting stations – to support Officer </w:t>
      </w:r>
      <w:proofErr w:type="gramStart"/>
      <w:r w:rsidRPr="002E62DA">
        <w:t>cover</w:t>
      </w:r>
      <w:proofErr w:type="gramEnd"/>
      <w:r w:rsidRPr="002E62DA">
        <w:t xml:space="preserve"> and availability until fully transitioned/embedded.   </w:t>
      </w:r>
    </w:p>
    <w:p w14:paraId="0D47A12E" w14:textId="62174403" w:rsidR="001E0950" w:rsidRPr="002E62DA" w:rsidRDefault="001E0950" w:rsidP="002E62DA">
      <w:pPr>
        <w:pStyle w:val="ListParagraph"/>
        <w:numPr>
          <w:ilvl w:val="0"/>
          <w:numId w:val="33"/>
        </w:numPr>
        <w:spacing w:after="180" w:line="259" w:lineRule="auto"/>
        <w:contextualSpacing/>
      </w:pPr>
      <w:r w:rsidRPr="002E62DA">
        <w:t xml:space="preserve">New </w:t>
      </w:r>
      <w:r w:rsidR="005A11A2" w:rsidRPr="00456A15">
        <w:t>On-call</w:t>
      </w:r>
      <w:r w:rsidRPr="002E62DA">
        <w:t xml:space="preserve"> recruitment approach – to include new branding and innovative marketing approaches to raise profile and relaunch recruitment for converting stations. </w:t>
      </w:r>
    </w:p>
    <w:p w14:paraId="5DF5F788" w14:textId="262FA7DD" w:rsidR="001E0950" w:rsidRPr="002E62DA" w:rsidRDefault="001E0950" w:rsidP="002E62DA">
      <w:pPr>
        <w:pStyle w:val="ListParagraph"/>
        <w:numPr>
          <w:ilvl w:val="0"/>
          <w:numId w:val="33"/>
        </w:numPr>
        <w:spacing w:after="180" w:line="259" w:lineRule="auto"/>
        <w:contextualSpacing/>
      </w:pPr>
      <w:r w:rsidRPr="002E62DA">
        <w:t>Re-established key stakeholder groups – to support engagement and collaboration;</w:t>
      </w:r>
    </w:p>
    <w:p w14:paraId="4278250C" w14:textId="70EA238A" w:rsidR="001E0950" w:rsidRPr="006F4C20" w:rsidRDefault="001E0950" w:rsidP="002E62DA">
      <w:pPr>
        <w:pStyle w:val="ListParagraph"/>
        <w:spacing w:after="180" w:line="259" w:lineRule="auto"/>
        <w:contextualSpacing/>
        <w:rPr>
          <w:highlight w:val="yellow"/>
        </w:rPr>
      </w:pPr>
    </w:p>
    <w:p w14:paraId="32FD1881" w14:textId="612A2DFC" w:rsidR="0036668E" w:rsidRPr="005A11A2" w:rsidRDefault="005A11A2" w:rsidP="0036668E">
      <w:pPr>
        <w:spacing w:after="180" w:line="259" w:lineRule="auto"/>
        <w:contextualSpacing/>
        <w:rPr>
          <w:b/>
        </w:rPr>
      </w:pPr>
      <w:r w:rsidRPr="005A11A2">
        <w:rPr>
          <w:b/>
        </w:rPr>
        <w:t>Short-term:</w:t>
      </w:r>
    </w:p>
    <w:p w14:paraId="3935434C" w14:textId="0B4FED42" w:rsidR="001E0950" w:rsidRPr="005A11A2" w:rsidRDefault="001E0950" w:rsidP="005A11A2">
      <w:pPr>
        <w:pStyle w:val="ListParagraph"/>
        <w:numPr>
          <w:ilvl w:val="0"/>
          <w:numId w:val="33"/>
        </w:numPr>
        <w:spacing w:after="180" w:line="259" w:lineRule="auto"/>
        <w:contextualSpacing/>
      </w:pPr>
      <w:r w:rsidRPr="005A11A2">
        <w:t>Business Engagement workshops for Station Managers / Watch Managers to ensure confidence and support a consistent and professional approach.</w:t>
      </w:r>
    </w:p>
    <w:p w14:paraId="4E422B92" w14:textId="74E65629" w:rsidR="001E0950" w:rsidRPr="005A11A2" w:rsidRDefault="001E0950" w:rsidP="005A11A2">
      <w:pPr>
        <w:pStyle w:val="ListParagraph"/>
        <w:numPr>
          <w:ilvl w:val="0"/>
          <w:numId w:val="33"/>
        </w:numPr>
        <w:spacing w:after="180" w:line="259" w:lineRule="auto"/>
        <w:contextualSpacing/>
      </w:pPr>
      <w:r w:rsidRPr="005A11A2">
        <w:t>Business Engagement Project scope to include employer reward &amp; recognition programme – Approach to include letters of thanks from CFO and visits from Station Managers, certificates of recognition of support, invitation to annual recognition event, publicity at stations, social media/press articles.</w:t>
      </w:r>
    </w:p>
    <w:p w14:paraId="5B8E66EA" w14:textId="413E5576" w:rsidR="001E0950" w:rsidRPr="005A11A2" w:rsidRDefault="001E0950" w:rsidP="005A11A2">
      <w:pPr>
        <w:pStyle w:val="ListParagraph"/>
        <w:numPr>
          <w:ilvl w:val="0"/>
          <w:numId w:val="33"/>
        </w:numPr>
        <w:spacing w:after="180" w:line="259" w:lineRule="auto"/>
        <w:contextualSpacing/>
      </w:pPr>
      <w:proofErr w:type="spellStart"/>
      <w:r w:rsidRPr="005A11A2">
        <w:t>Wholetime</w:t>
      </w:r>
      <w:proofErr w:type="spellEnd"/>
      <w:r w:rsidRPr="005A11A2">
        <w:t xml:space="preserve"> recruitment campaigns factored </w:t>
      </w:r>
      <w:r w:rsidR="005A11A2">
        <w:t>in to O</w:t>
      </w:r>
      <w:r w:rsidRPr="005A11A2">
        <w:t>n-call recruitment plans. Upcoming recruitment strategy will support this. Next WT recruitment expected April ’19.</w:t>
      </w:r>
    </w:p>
    <w:p w14:paraId="11A67E93" w14:textId="02F770DF" w:rsidR="001E0950" w:rsidRPr="005A11A2" w:rsidRDefault="005A11A2" w:rsidP="005A11A2">
      <w:pPr>
        <w:pStyle w:val="ListParagraph"/>
        <w:numPr>
          <w:ilvl w:val="0"/>
          <w:numId w:val="33"/>
        </w:numPr>
        <w:spacing w:after="180" w:line="259" w:lineRule="auto"/>
        <w:contextualSpacing/>
      </w:pPr>
      <w:r w:rsidRPr="00456A15">
        <w:t>On-call</w:t>
      </w:r>
      <w:r w:rsidR="001E0950" w:rsidRPr="005A11A2">
        <w:t xml:space="preserve"> new recruits join </w:t>
      </w:r>
      <w:proofErr w:type="spellStart"/>
      <w:r w:rsidR="001E0950" w:rsidRPr="005A11A2">
        <w:t>wholetime</w:t>
      </w:r>
      <w:proofErr w:type="spellEnd"/>
      <w:r w:rsidR="001E0950" w:rsidRPr="005A11A2">
        <w:t xml:space="preserve"> new recruits training programme – to accelerate </w:t>
      </w:r>
      <w:r w:rsidRPr="00456A15">
        <w:t>On-call</w:t>
      </w:r>
      <w:r w:rsidR="001E0950" w:rsidRPr="005A11A2">
        <w:t xml:space="preserve"> training, where possible and recruits able to do so.</w:t>
      </w:r>
    </w:p>
    <w:p w14:paraId="503F858D" w14:textId="733ADB77" w:rsidR="001E0950" w:rsidRPr="005A11A2" w:rsidRDefault="001E0950" w:rsidP="0036668E">
      <w:pPr>
        <w:spacing w:after="180" w:line="259" w:lineRule="auto"/>
        <w:contextualSpacing/>
        <w:rPr>
          <w:b/>
        </w:rPr>
      </w:pPr>
      <w:r w:rsidRPr="005A11A2">
        <w:rPr>
          <w:b/>
        </w:rPr>
        <w:t>Longer-term</w:t>
      </w:r>
      <w:r w:rsidR="005A11A2" w:rsidRPr="005A11A2">
        <w:rPr>
          <w:b/>
        </w:rPr>
        <w:t>:</w:t>
      </w:r>
    </w:p>
    <w:p w14:paraId="12AAEBD2" w14:textId="7652388B" w:rsidR="001E0950" w:rsidRPr="005A11A2" w:rsidRDefault="001E0950" w:rsidP="005A11A2">
      <w:pPr>
        <w:pStyle w:val="ListParagraph"/>
        <w:numPr>
          <w:ilvl w:val="0"/>
          <w:numId w:val="33"/>
        </w:numPr>
        <w:spacing w:after="180" w:line="259" w:lineRule="auto"/>
        <w:contextualSpacing/>
      </w:pPr>
      <w:r w:rsidRPr="005A11A2">
        <w:t xml:space="preserve">New availability model and contracts – to help address some recruitment challenges. To better support the needs of the employees and provide the flexibility and reliability stations need to plan and manage availability. </w:t>
      </w:r>
    </w:p>
    <w:p w14:paraId="355D71F8" w14:textId="43F8B93D" w:rsidR="001E0950" w:rsidRPr="005A11A2" w:rsidRDefault="001E0950" w:rsidP="005A11A2">
      <w:pPr>
        <w:pStyle w:val="ListParagraph"/>
        <w:numPr>
          <w:ilvl w:val="0"/>
          <w:numId w:val="33"/>
        </w:numPr>
        <w:spacing w:after="180" w:line="259" w:lineRule="auto"/>
        <w:contextualSpacing/>
      </w:pPr>
      <w:r w:rsidRPr="005A11A2">
        <w:t>Embedded Officers (day work) at converting stations for the duration of the project and until the new response model is fully embedded.</w:t>
      </w:r>
    </w:p>
    <w:p w14:paraId="1BF442DA" w14:textId="351D124D" w:rsidR="001E0950" w:rsidRPr="005A11A2" w:rsidRDefault="001E0950" w:rsidP="005A11A2">
      <w:pPr>
        <w:pStyle w:val="ListParagraph"/>
        <w:numPr>
          <w:ilvl w:val="0"/>
          <w:numId w:val="33"/>
        </w:numPr>
        <w:spacing w:after="180" w:line="259" w:lineRule="auto"/>
        <w:contextualSpacing/>
      </w:pPr>
      <w:r w:rsidRPr="005A11A2">
        <w:t>Consider an increase in the number of Crew Managers at converting on-call stations – for duration of the project and period of transitioning, to improve resilience and provide development opportunities for firefighters.</w:t>
      </w:r>
    </w:p>
    <w:p w14:paraId="3C0930CE" w14:textId="786D7309" w:rsidR="001E0950" w:rsidRPr="005A11A2" w:rsidRDefault="001E0950" w:rsidP="005A11A2">
      <w:pPr>
        <w:pStyle w:val="ListParagraph"/>
        <w:numPr>
          <w:ilvl w:val="0"/>
          <w:numId w:val="33"/>
        </w:numPr>
        <w:spacing w:after="180" w:line="259" w:lineRule="auto"/>
        <w:contextualSpacing/>
      </w:pPr>
      <w:r w:rsidRPr="005A11A2">
        <w:t>Station Managers/Watch Managers take a proactive approach to local business engagement - for respective areas. Make use of the business engagement toolkit, work together with recruitment team and Corporate Communications to plan activity.</w:t>
      </w:r>
    </w:p>
    <w:p w14:paraId="3044C5F2" w14:textId="19A89C28" w:rsidR="001E0950" w:rsidRPr="005A11A2" w:rsidRDefault="001E0950" w:rsidP="005A11A2">
      <w:pPr>
        <w:pStyle w:val="ListParagraph"/>
        <w:numPr>
          <w:ilvl w:val="0"/>
          <w:numId w:val="33"/>
        </w:numPr>
        <w:spacing w:after="180" w:line="259" w:lineRule="auto"/>
        <w:contextualSpacing/>
      </w:pPr>
      <w:r w:rsidRPr="005A11A2">
        <w:t xml:space="preserve">Develop Fast Track Crew Manager Opportunities – for where talent is identified - develop a ‘fast track’ training programme to support transition to Crew Manager/Watch Manager. </w:t>
      </w:r>
    </w:p>
    <w:p w14:paraId="6D460DB4" w14:textId="5E1BB2A2" w:rsidR="001E0950" w:rsidRPr="005A11A2" w:rsidRDefault="001E0950" w:rsidP="005A11A2">
      <w:pPr>
        <w:pStyle w:val="ListParagraph"/>
        <w:numPr>
          <w:ilvl w:val="0"/>
          <w:numId w:val="33"/>
        </w:numPr>
        <w:spacing w:after="180" w:line="259" w:lineRule="auto"/>
        <w:contextualSpacing/>
      </w:pPr>
      <w:r w:rsidRPr="005A11A2">
        <w:t xml:space="preserve">Offer relocation package to current Crew Managers / Firefighters in </w:t>
      </w:r>
      <w:r w:rsidR="005A11A2">
        <w:t>Crew Manager</w:t>
      </w:r>
      <w:r w:rsidRPr="005A11A2">
        <w:t xml:space="preserve"> </w:t>
      </w:r>
      <w:proofErr w:type="gramStart"/>
      <w:r w:rsidRPr="005A11A2">
        <w:t>talent</w:t>
      </w:r>
      <w:proofErr w:type="gramEnd"/>
      <w:r w:rsidRPr="005A11A2">
        <w:t xml:space="preserve"> pool – to encourage moves to response distance of converting stations.</w:t>
      </w:r>
    </w:p>
    <w:p w14:paraId="3388B045" w14:textId="77777777" w:rsidR="001E0950" w:rsidRPr="005A11A2" w:rsidRDefault="001E0950" w:rsidP="005A11A2">
      <w:pPr>
        <w:pStyle w:val="ListParagraph"/>
        <w:numPr>
          <w:ilvl w:val="0"/>
          <w:numId w:val="33"/>
        </w:numPr>
        <w:spacing w:after="180" w:line="259" w:lineRule="auto"/>
        <w:contextualSpacing/>
      </w:pPr>
      <w:r w:rsidRPr="005A11A2">
        <w:t>Recruit Green Book employees to become on-call firefighters - to provide support where needed until converting stations fully transitioned. Green book employees undertake a ‘fast track’ training programme to phase 2 / phase 3. Can provide longer-term operational support and resilience.</w:t>
      </w:r>
    </w:p>
    <w:p w14:paraId="73D3ADEE" w14:textId="77777777" w:rsidR="00A26995" w:rsidRPr="007D6C3F" w:rsidRDefault="00A26995" w:rsidP="000F1C23">
      <w:pPr>
        <w:pStyle w:val="ListParagraph"/>
        <w:ind w:left="360"/>
        <w:rPr>
          <w:highlight w:val="yellow"/>
        </w:rPr>
      </w:pPr>
    </w:p>
    <w:p w14:paraId="622B6326" w14:textId="61488614" w:rsidR="000E0229" w:rsidRPr="009341FC" w:rsidRDefault="000E0229" w:rsidP="00287195">
      <w:pPr>
        <w:pStyle w:val="ListParagraph"/>
        <w:numPr>
          <w:ilvl w:val="0"/>
          <w:numId w:val="18"/>
        </w:numPr>
        <w:rPr>
          <w:b/>
        </w:rPr>
      </w:pPr>
      <w:r w:rsidRPr="009341FC">
        <w:rPr>
          <w:b/>
        </w:rPr>
        <w:t>Special appliance relocation project</w:t>
      </w:r>
      <w:r w:rsidR="000F1C23" w:rsidRPr="009341FC">
        <w:rPr>
          <w:b/>
        </w:rPr>
        <w:t xml:space="preserve"> – IN PROGRESS</w:t>
      </w:r>
    </w:p>
    <w:p w14:paraId="364C9C4F" w14:textId="6A6A6640" w:rsidR="005257A4" w:rsidRPr="009341FC" w:rsidRDefault="005257A4" w:rsidP="005257A4">
      <w:pPr>
        <w:pStyle w:val="ListParagraph"/>
        <w:ind w:left="360"/>
        <w:rPr>
          <w:i/>
        </w:rPr>
      </w:pPr>
      <w:r w:rsidRPr="009341FC">
        <w:rPr>
          <w:i/>
        </w:rPr>
        <w:t>Review of the Service specialist capability asset numbers and locations following the programme 2020 options for change and agreed operational model. Delivery of any agreed movements and changes.</w:t>
      </w:r>
    </w:p>
    <w:p w14:paraId="0EE18CBB" w14:textId="15E63016" w:rsidR="005257A4" w:rsidRPr="009341FC" w:rsidRDefault="005257A4" w:rsidP="005257A4">
      <w:pPr>
        <w:pStyle w:val="ListParagraph"/>
        <w:ind w:left="360"/>
        <w:rPr>
          <w:i/>
        </w:rPr>
      </w:pPr>
    </w:p>
    <w:p w14:paraId="6F822393" w14:textId="05EE44AA" w:rsidR="005257A4" w:rsidRPr="009341FC" w:rsidRDefault="005257A4" w:rsidP="005257A4">
      <w:pPr>
        <w:pStyle w:val="ListParagraph"/>
        <w:ind w:left="360"/>
      </w:pPr>
      <w:r w:rsidRPr="009341FC">
        <w:t xml:space="preserve">The initial review of locations has been completed and the project is now in the process of undertaking the relocations. </w:t>
      </w:r>
    </w:p>
    <w:p w14:paraId="20CCEF8C" w14:textId="3000D887" w:rsidR="005257A4" w:rsidRPr="009341FC" w:rsidRDefault="005257A4" w:rsidP="005257A4">
      <w:pPr>
        <w:pStyle w:val="ListParagraph"/>
        <w:ind w:left="360"/>
      </w:pPr>
    </w:p>
    <w:p w14:paraId="2B7F8F95" w14:textId="2C36CD32" w:rsidR="005257A4" w:rsidRPr="009341FC" w:rsidRDefault="005257A4" w:rsidP="005257A4">
      <w:pPr>
        <w:pStyle w:val="ListParagraph"/>
        <w:ind w:left="360"/>
      </w:pPr>
      <w:r w:rsidRPr="009341FC">
        <w:t>Completed relocations:</w:t>
      </w:r>
    </w:p>
    <w:p w14:paraId="7D137CB1" w14:textId="6320C8EB" w:rsidR="005257A4" w:rsidRPr="009341FC" w:rsidRDefault="005257A4" w:rsidP="005257A4">
      <w:pPr>
        <w:pStyle w:val="ListParagraph"/>
        <w:ind w:left="360"/>
      </w:pPr>
      <w:r w:rsidRPr="009341FC">
        <w:t xml:space="preserve">Incident command united relocated from Clacton to </w:t>
      </w:r>
      <w:proofErr w:type="spellStart"/>
      <w:r w:rsidRPr="009341FC">
        <w:t>Frinton</w:t>
      </w:r>
      <w:proofErr w:type="spellEnd"/>
      <w:r w:rsidRPr="009341FC">
        <w:t xml:space="preserve"> - January 2018</w:t>
      </w:r>
    </w:p>
    <w:p w14:paraId="463AB7EE" w14:textId="56614CB5" w:rsidR="005257A4" w:rsidRPr="009341FC" w:rsidRDefault="005257A4" w:rsidP="005257A4">
      <w:pPr>
        <w:pStyle w:val="ListParagraph"/>
        <w:ind w:left="360"/>
      </w:pPr>
      <w:r w:rsidRPr="009341FC">
        <w:t xml:space="preserve">Water bowser relocated from Chelmsford to </w:t>
      </w:r>
      <w:proofErr w:type="spellStart"/>
      <w:r w:rsidRPr="009341FC">
        <w:t>Corringham</w:t>
      </w:r>
      <w:proofErr w:type="spellEnd"/>
      <w:r w:rsidRPr="009341FC">
        <w:t xml:space="preserve"> - November 2017</w:t>
      </w:r>
    </w:p>
    <w:p w14:paraId="7BC8C233" w14:textId="2FD1EE5A" w:rsidR="005257A4" w:rsidRPr="009341FC" w:rsidRDefault="005257A4" w:rsidP="005257A4">
      <w:pPr>
        <w:pStyle w:val="ListParagraph"/>
        <w:ind w:left="360"/>
      </w:pPr>
      <w:r w:rsidRPr="009341FC">
        <w:t>Aerial Ladder Platform (ALP) removed from Harlow - May 2018</w:t>
      </w:r>
    </w:p>
    <w:p w14:paraId="656E9DE4" w14:textId="5A38715D" w:rsidR="005257A4" w:rsidRPr="009341FC" w:rsidRDefault="005257A4" w:rsidP="005257A4">
      <w:pPr>
        <w:pStyle w:val="ListParagraph"/>
        <w:ind w:left="360"/>
      </w:pPr>
      <w:r w:rsidRPr="009341FC">
        <w:t xml:space="preserve">Detection Identification </w:t>
      </w:r>
      <w:proofErr w:type="gramStart"/>
      <w:r w:rsidRPr="009341FC">
        <w:t>Monitoring</w:t>
      </w:r>
      <w:proofErr w:type="gramEnd"/>
      <w:r w:rsidRPr="009341FC">
        <w:t xml:space="preserve"> vehicle (DIM) relocated from Epping to Harlow May 2018</w:t>
      </w:r>
    </w:p>
    <w:p w14:paraId="5E1F12D9" w14:textId="2E51D8AE" w:rsidR="009341FC" w:rsidRDefault="009341FC" w:rsidP="005257A4">
      <w:pPr>
        <w:pStyle w:val="ListParagraph"/>
        <w:ind w:left="360"/>
      </w:pPr>
    </w:p>
    <w:p w14:paraId="14F257DE" w14:textId="654874D1" w:rsidR="009341FC" w:rsidRDefault="009341FC" w:rsidP="005257A4">
      <w:pPr>
        <w:pStyle w:val="ListParagraph"/>
        <w:ind w:left="360"/>
      </w:pPr>
      <w:r>
        <w:t xml:space="preserve">Training continues to enable the remaining conversions to take place as planned: </w:t>
      </w:r>
    </w:p>
    <w:p w14:paraId="27B6540A" w14:textId="77777777" w:rsidR="009341FC" w:rsidRPr="009341FC" w:rsidRDefault="009341FC" w:rsidP="005257A4">
      <w:pPr>
        <w:pStyle w:val="ListParagraph"/>
        <w:ind w:left="360"/>
      </w:pPr>
    </w:p>
    <w:p w14:paraId="29F29570" w14:textId="42C1AE31" w:rsidR="005257A4" w:rsidRPr="009341FC" w:rsidRDefault="001B06CF" w:rsidP="005257A4">
      <w:pPr>
        <w:pStyle w:val="ListParagraph"/>
        <w:ind w:left="360"/>
      </w:pPr>
      <w:r w:rsidRPr="009341FC">
        <w:t xml:space="preserve">Swift water rescue relocating from </w:t>
      </w:r>
      <w:proofErr w:type="spellStart"/>
      <w:r w:rsidRPr="009341FC">
        <w:t>Dovercourt</w:t>
      </w:r>
      <w:proofErr w:type="spellEnd"/>
      <w:r w:rsidRPr="009341FC">
        <w:t xml:space="preserve"> to Colchester – November 2019</w:t>
      </w:r>
    </w:p>
    <w:p w14:paraId="6A0CFF23" w14:textId="51538933" w:rsidR="001B06CF" w:rsidRDefault="001B06CF" w:rsidP="005257A4">
      <w:pPr>
        <w:pStyle w:val="ListParagraph"/>
        <w:ind w:left="360"/>
      </w:pPr>
      <w:r w:rsidRPr="009341FC">
        <w:t xml:space="preserve">Animal rescue unit relocating from South </w:t>
      </w:r>
      <w:proofErr w:type="spellStart"/>
      <w:r w:rsidRPr="009341FC">
        <w:t>Woodham</w:t>
      </w:r>
      <w:proofErr w:type="spellEnd"/>
      <w:r w:rsidRPr="009341FC">
        <w:t xml:space="preserve"> </w:t>
      </w:r>
      <w:proofErr w:type="spellStart"/>
      <w:r w:rsidRPr="009341FC">
        <w:t>Ferrers</w:t>
      </w:r>
      <w:proofErr w:type="spellEnd"/>
      <w:r w:rsidRPr="009341FC">
        <w:t xml:space="preserve"> to Chelmsford – October 2018</w:t>
      </w:r>
    </w:p>
    <w:p w14:paraId="0CC33C8D" w14:textId="7758B0CD" w:rsidR="009341FC" w:rsidRDefault="009341FC" w:rsidP="005257A4">
      <w:pPr>
        <w:pStyle w:val="ListParagraph"/>
        <w:ind w:left="360"/>
      </w:pPr>
    </w:p>
    <w:p w14:paraId="6D9E9F55" w14:textId="77777777" w:rsidR="00BC7141" w:rsidRPr="00BC7141" w:rsidRDefault="00BC7141" w:rsidP="00BC7141">
      <w:pPr>
        <w:pStyle w:val="ListParagraph"/>
        <w:ind w:left="360"/>
      </w:pPr>
    </w:p>
    <w:p w14:paraId="4A00CCEB" w14:textId="19A19769" w:rsidR="000E0229" w:rsidRPr="007D6C3F" w:rsidRDefault="000E0229" w:rsidP="00287195">
      <w:pPr>
        <w:pStyle w:val="ListParagraph"/>
        <w:numPr>
          <w:ilvl w:val="0"/>
          <w:numId w:val="18"/>
        </w:numPr>
        <w:rPr>
          <w:b/>
        </w:rPr>
      </w:pPr>
      <w:r w:rsidRPr="007D6C3F">
        <w:rPr>
          <w:b/>
        </w:rPr>
        <w:t>Off-road vehicle replacement</w:t>
      </w:r>
      <w:r w:rsidR="000F1C23" w:rsidRPr="007D6C3F">
        <w:rPr>
          <w:b/>
        </w:rPr>
        <w:t xml:space="preserve"> – IN PROGRESS</w:t>
      </w:r>
    </w:p>
    <w:p w14:paraId="4F5CB65C" w14:textId="1CE41FF7" w:rsidR="00BC7141" w:rsidRPr="007D6C3F" w:rsidRDefault="00BC7141" w:rsidP="00BC7141">
      <w:pPr>
        <w:pStyle w:val="ListParagraph"/>
        <w:ind w:left="360"/>
        <w:jc w:val="both"/>
        <w:rPr>
          <w:i/>
        </w:rPr>
      </w:pPr>
      <w:r w:rsidRPr="007D6C3F">
        <w:rPr>
          <w:i/>
        </w:rPr>
        <w:t xml:space="preserve">Replacement of the existing </w:t>
      </w:r>
      <w:proofErr w:type="spellStart"/>
      <w:r w:rsidRPr="007D6C3F">
        <w:rPr>
          <w:i/>
        </w:rPr>
        <w:t>Pinzgauers</w:t>
      </w:r>
      <w:proofErr w:type="spellEnd"/>
      <w:r w:rsidRPr="007D6C3F">
        <w:rPr>
          <w:i/>
        </w:rPr>
        <w:t xml:space="preserve"> as they reach end of life with specific off-road capability vehicles. This includes specification development, procurement, training and roll out.</w:t>
      </w:r>
    </w:p>
    <w:p w14:paraId="76AB1541" w14:textId="77777777" w:rsidR="00BC7141" w:rsidRPr="007D6C3F" w:rsidRDefault="00BC7141" w:rsidP="00BC7141">
      <w:pPr>
        <w:pStyle w:val="ListParagraph"/>
        <w:ind w:left="360"/>
        <w:jc w:val="both"/>
      </w:pPr>
    </w:p>
    <w:p w14:paraId="74D6F0BB" w14:textId="6098107F" w:rsidR="00BC7141" w:rsidRDefault="00BC7141" w:rsidP="00BC7141">
      <w:pPr>
        <w:pStyle w:val="ListParagraph"/>
        <w:ind w:left="360"/>
      </w:pPr>
      <w:r w:rsidRPr="007D6C3F">
        <w:t xml:space="preserve">Following development of a specification and a procurement exercise the order </w:t>
      </w:r>
      <w:r w:rsidR="005257A4" w:rsidRPr="007D6C3F">
        <w:t>has been placed for 4 vehicles with a view to these being in use by the end of 2018.</w:t>
      </w:r>
    </w:p>
    <w:p w14:paraId="0EE34AA2" w14:textId="77777777" w:rsidR="000F1C23" w:rsidRPr="000F1C23" w:rsidRDefault="000F1C23" w:rsidP="000F1C23">
      <w:pPr>
        <w:pStyle w:val="ListParagraph"/>
        <w:ind w:left="360"/>
      </w:pPr>
    </w:p>
    <w:p w14:paraId="5AF7B1EC" w14:textId="1CFFF980" w:rsidR="000E0229" w:rsidRPr="004D538B" w:rsidRDefault="000E0229" w:rsidP="00287195">
      <w:pPr>
        <w:pStyle w:val="ListParagraph"/>
        <w:numPr>
          <w:ilvl w:val="0"/>
          <w:numId w:val="18"/>
        </w:numPr>
        <w:rPr>
          <w:b/>
        </w:rPr>
      </w:pPr>
      <w:r w:rsidRPr="004D538B">
        <w:rPr>
          <w:b/>
        </w:rPr>
        <w:t>Firefighters delivering differently</w:t>
      </w:r>
      <w:r w:rsidR="000F1C23" w:rsidRPr="004D538B">
        <w:rPr>
          <w:b/>
        </w:rPr>
        <w:t xml:space="preserve"> – IN PROGRESS</w:t>
      </w:r>
    </w:p>
    <w:p w14:paraId="106309C0" w14:textId="44532CDF" w:rsidR="000F1C23" w:rsidRPr="004D538B" w:rsidRDefault="004715EC" w:rsidP="004715EC">
      <w:pPr>
        <w:pStyle w:val="ListParagraph"/>
        <w:ind w:left="360"/>
        <w:jc w:val="both"/>
        <w:rPr>
          <w:i/>
        </w:rPr>
      </w:pPr>
      <w:r w:rsidRPr="004D538B">
        <w:rPr>
          <w:i/>
        </w:rPr>
        <w:t xml:space="preserve">Roll out of new approach to delivering community safety activity using experience gained in the 2015 Delivering Differently in Neighbourhoods pilot. Rolling out across all On-Call and </w:t>
      </w:r>
      <w:proofErr w:type="spellStart"/>
      <w:r w:rsidRPr="004D538B">
        <w:rPr>
          <w:i/>
        </w:rPr>
        <w:t>wholetime</w:t>
      </w:r>
      <w:proofErr w:type="spellEnd"/>
      <w:r w:rsidRPr="004D538B">
        <w:rPr>
          <w:i/>
        </w:rPr>
        <w:t xml:space="preserve"> fire stations, Firefighters will be more involved in determining what community safety activity happens in their local area and local communities engaged.</w:t>
      </w:r>
    </w:p>
    <w:p w14:paraId="45ED30BE" w14:textId="3E92000B" w:rsidR="004715EC" w:rsidRPr="004D538B" w:rsidRDefault="004715EC" w:rsidP="004715EC">
      <w:pPr>
        <w:pStyle w:val="ListParagraph"/>
        <w:ind w:left="360"/>
        <w:jc w:val="both"/>
      </w:pPr>
    </w:p>
    <w:p w14:paraId="0218780C" w14:textId="0EEFE4A5" w:rsidR="004715EC" w:rsidRDefault="00FB7568" w:rsidP="004715EC">
      <w:pPr>
        <w:pStyle w:val="ListParagraph"/>
        <w:ind w:left="360"/>
        <w:jc w:val="both"/>
      </w:pPr>
      <w:r w:rsidRPr="004D538B">
        <w:t xml:space="preserve">The project follows a structured engagement </w:t>
      </w:r>
      <w:r w:rsidR="005257A4" w:rsidRPr="004D538B">
        <w:t xml:space="preserve">and training </w:t>
      </w:r>
      <w:r w:rsidRPr="004D538B">
        <w:t>process with station based staff</w:t>
      </w:r>
      <w:r w:rsidR="005257A4" w:rsidRPr="004D538B">
        <w:t xml:space="preserve">. </w:t>
      </w:r>
      <w:r w:rsidR="004715EC" w:rsidRPr="004D538B">
        <w:t xml:space="preserve">So far the project has rolled out to 18 </w:t>
      </w:r>
      <w:proofErr w:type="spellStart"/>
      <w:r w:rsidR="004715EC" w:rsidRPr="004D538B">
        <w:t>wholetime</w:t>
      </w:r>
      <w:proofErr w:type="spellEnd"/>
      <w:r w:rsidR="004715EC" w:rsidRPr="004D538B">
        <w:t xml:space="preserve"> and 6 On-Call fire stations.</w:t>
      </w:r>
      <w:r w:rsidR="004D538B" w:rsidRPr="004D538B">
        <w:t xml:space="preserve"> Engagement with the remaining watches is programmed to run through until December 2019. </w:t>
      </w:r>
    </w:p>
    <w:p w14:paraId="622AD2AC" w14:textId="77777777" w:rsidR="004715EC" w:rsidRDefault="004715EC" w:rsidP="004715EC">
      <w:pPr>
        <w:pStyle w:val="ListParagraph"/>
        <w:ind w:left="360"/>
        <w:jc w:val="both"/>
      </w:pPr>
    </w:p>
    <w:p w14:paraId="637C3086" w14:textId="77777777" w:rsidR="004715EC" w:rsidRPr="000F1C23" w:rsidRDefault="004715EC" w:rsidP="000F1C23">
      <w:pPr>
        <w:pStyle w:val="ListParagraph"/>
        <w:ind w:left="360"/>
      </w:pPr>
    </w:p>
    <w:p w14:paraId="0284056C" w14:textId="19E7FB68" w:rsidR="00BC7141" w:rsidRDefault="000E0229" w:rsidP="00BC7141">
      <w:pPr>
        <w:pStyle w:val="ListParagraph"/>
        <w:numPr>
          <w:ilvl w:val="0"/>
          <w:numId w:val="18"/>
        </w:numPr>
        <w:rPr>
          <w:b/>
        </w:rPr>
      </w:pPr>
      <w:r w:rsidRPr="000F1C23">
        <w:rPr>
          <w:b/>
        </w:rPr>
        <w:t>Home safety model</w:t>
      </w:r>
      <w:r w:rsidR="000F1C23">
        <w:rPr>
          <w:b/>
        </w:rPr>
        <w:t xml:space="preserve"> – </w:t>
      </w:r>
      <w:r w:rsidR="007D6C3F">
        <w:rPr>
          <w:b/>
        </w:rPr>
        <w:t>COMPLETE</w:t>
      </w:r>
    </w:p>
    <w:p w14:paraId="4BAC1951" w14:textId="735AEEB2" w:rsidR="00A03EF4" w:rsidRPr="004715EC" w:rsidRDefault="00A03EF4" w:rsidP="00BC7141">
      <w:pPr>
        <w:pStyle w:val="ListParagraph"/>
        <w:ind w:left="360"/>
        <w:rPr>
          <w:b/>
          <w:i/>
        </w:rPr>
      </w:pPr>
      <w:r w:rsidRPr="004715EC">
        <w:rPr>
          <w:i/>
        </w:rPr>
        <w:t>This project was to build capacity to enable delivery of Safe and Well visits (Level 1 &amp; 2) which focus on a broader range of health issues, including issues relating to winter-related ill-health (including falls, social isolation, cold homes and flu) and home security.</w:t>
      </w:r>
    </w:p>
    <w:p w14:paraId="30ED1E50" w14:textId="1A686751" w:rsidR="00A03EF4" w:rsidRDefault="00A03EF4" w:rsidP="00A03EF4">
      <w:pPr>
        <w:pStyle w:val="ListParagraph"/>
        <w:ind w:left="360"/>
      </w:pPr>
    </w:p>
    <w:p w14:paraId="398622B1" w14:textId="44E103DD" w:rsidR="00BC7141" w:rsidRPr="00BC7141" w:rsidRDefault="007D6C3F" w:rsidP="00BC7141">
      <w:pPr>
        <w:pStyle w:val="ListParagraph"/>
        <w:ind w:left="360"/>
        <w:jc w:val="both"/>
      </w:pPr>
      <w:r>
        <w:t xml:space="preserve">Project closed. </w:t>
      </w:r>
    </w:p>
    <w:p w14:paraId="25DEA916" w14:textId="77777777" w:rsidR="00BC7141" w:rsidRPr="00BC7141" w:rsidRDefault="00BC7141" w:rsidP="00BC7141"/>
    <w:p w14:paraId="0672404E" w14:textId="5FF95963" w:rsidR="000F1C23" w:rsidRDefault="000F1C23" w:rsidP="000F1C23">
      <w:pPr>
        <w:pStyle w:val="ListParagraph"/>
        <w:numPr>
          <w:ilvl w:val="0"/>
          <w:numId w:val="18"/>
        </w:numPr>
        <w:rPr>
          <w:b/>
        </w:rPr>
      </w:pPr>
      <w:r>
        <w:rPr>
          <w:b/>
        </w:rPr>
        <w:t xml:space="preserve">Removal of the second appliance from </w:t>
      </w:r>
      <w:proofErr w:type="spellStart"/>
      <w:r>
        <w:rPr>
          <w:b/>
        </w:rPr>
        <w:t>Frinton</w:t>
      </w:r>
      <w:proofErr w:type="spellEnd"/>
      <w:r>
        <w:rPr>
          <w:b/>
        </w:rPr>
        <w:t xml:space="preserve"> - COMPLETE</w:t>
      </w:r>
    </w:p>
    <w:p w14:paraId="542A6CBB" w14:textId="77777777" w:rsidR="004715EC" w:rsidRPr="004715EC" w:rsidRDefault="000F1C23" w:rsidP="00BC7141">
      <w:pPr>
        <w:pStyle w:val="ListParagraph"/>
        <w:ind w:left="360"/>
        <w:jc w:val="both"/>
        <w:rPr>
          <w:i/>
        </w:rPr>
      </w:pPr>
      <w:r w:rsidRPr="004715EC">
        <w:rPr>
          <w:i/>
        </w:rPr>
        <w:t xml:space="preserve">The specific work to ensure timely removal of the second appliance from </w:t>
      </w:r>
      <w:proofErr w:type="spellStart"/>
      <w:r w:rsidRPr="004715EC">
        <w:rPr>
          <w:i/>
        </w:rPr>
        <w:t>Frinton</w:t>
      </w:r>
      <w:proofErr w:type="spellEnd"/>
      <w:r w:rsidRPr="004715EC">
        <w:rPr>
          <w:i/>
        </w:rPr>
        <w:t xml:space="preserve"> was treated separately form the other removals as the-time frames were different.</w:t>
      </w:r>
    </w:p>
    <w:p w14:paraId="00116D0C" w14:textId="77777777" w:rsidR="004715EC" w:rsidRDefault="004715EC" w:rsidP="00BC7141">
      <w:pPr>
        <w:pStyle w:val="ListParagraph"/>
        <w:ind w:left="360"/>
        <w:jc w:val="both"/>
      </w:pPr>
    </w:p>
    <w:p w14:paraId="55956716" w14:textId="5CE2B39D" w:rsidR="000F1C23" w:rsidRPr="000F1C23" w:rsidRDefault="000F1C23" w:rsidP="00BC7141">
      <w:pPr>
        <w:pStyle w:val="ListParagraph"/>
        <w:ind w:left="360"/>
        <w:jc w:val="both"/>
      </w:pPr>
      <w:r>
        <w:t>The appliance was removed from operational service on 3</w:t>
      </w:r>
      <w:r w:rsidRPr="000F1C23">
        <w:rPr>
          <w:vertAlign w:val="superscript"/>
        </w:rPr>
        <w:t>rd</w:t>
      </w:r>
      <w:r>
        <w:t xml:space="preserve"> January 2018. </w:t>
      </w:r>
    </w:p>
    <w:p w14:paraId="5E2306B8" w14:textId="77777777" w:rsidR="000F1C23" w:rsidRPr="000F1C23" w:rsidRDefault="000F1C23" w:rsidP="000F1C23">
      <w:pPr>
        <w:pStyle w:val="ListParagraph"/>
        <w:ind w:left="360"/>
      </w:pPr>
    </w:p>
    <w:p w14:paraId="03D820AC" w14:textId="77777777" w:rsidR="000E0229" w:rsidRDefault="000E0229" w:rsidP="000E0229"/>
    <w:p w14:paraId="1D0EE2A7" w14:textId="77777777" w:rsidR="00C0492F" w:rsidRPr="00E86436" w:rsidRDefault="00C0492F" w:rsidP="00C0492F">
      <w:pPr>
        <w:pStyle w:val="Heading1"/>
      </w:pPr>
      <w:r w:rsidRPr="00E86436">
        <w:t>Benefits and Risk Implications</w:t>
      </w:r>
    </w:p>
    <w:p w14:paraId="7F3106FC" w14:textId="5D807AC1" w:rsidR="001C5E31" w:rsidRDefault="00E86436" w:rsidP="00E86436">
      <w:pPr>
        <w:pStyle w:val="ListParagraph"/>
        <w:numPr>
          <w:ilvl w:val="0"/>
          <w:numId w:val="18"/>
        </w:numPr>
      </w:pPr>
      <w:r>
        <w:t xml:space="preserve">The risk around delivery of Programme 2020 is captured in </w:t>
      </w:r>
      <w:r w:rsidRPr="00E86436">
        <w:t>Strategic Risk SRR150018 - The Service does not deliver changes set out in the 2020 programme which identified financial savings and thus cannot deliver against its medium term financial plan.</w:t>
      </w:r>
      <w:r>
        <w:t xml:space="preserve"> The following control measures have been assigned:</w:t>
      </w:r>
    </w:p>
    <w:p w14:paraId="73E3E6D5" w14:textId="75A86EBB" w:rsidR="00E86436" w:rsidRDefault="007D7CA8" w:rsidP="007D7CA8">
      <w:pPr>
        <w:pStyle w:val="ListParagraph"/>
        <w:numPr>
          <w:ilvl w:val="1"/>
          <w:numId w:val="18"/>
        </w:numPr>
      </w:pPr>
      <w:r>
        <w:t>Reporting of Medium-t</w:t>
      </w:r>
      <w:r w:rsidRPr="007D7CA8">
        <w:t>e</w:t>
      </w:r>
      <w:r>
        <w:t>r</w:t>
      </w:r>
      <w:r w:rsidRPr="007D7CA8">
        <w:t>m financial plan to be included in monthly finance to SLT</w:t>
      </w:r>
      <w:r>
        <w:t>.</w:t>
      </w:r>
    </w:p>
    <w:p w14:paraId="59ACE4FB" w14:textId="21E5779D" w:rsidR="007D7CA8" w:rsidRDefault="007D7CA8" w:rsidP="007D7CA8">
      <w:pPr>
        <w:pStyle w:val="ListParagraph"/>
        <w:numPr>
          <w:ilvl w:val="1"/>
          <w:numId w:val="18"/>
        </w:numPr>
      </w:pPr>
      <w:r w:rsidRPr="007D7CA8">
        <w:t>Monthly reports of progress of the Service's progress against the On-call conversion programme</w:t>
      </w:r>
      <w:r>
        <w:t>.</w:t>
      </w:r>
    </w:p>
    <w:p w14:paraId="7B2A9919" w14:textId="58DB03D4" w:rsidR="007D7CA8" w:rsidRDefault="007D7CA8" w:rsidP="007D7CA8">
      <w:pPr>
        <w:pStyle w:val="ListParagraph"/>
        <w:numPr>
          <w:ilvl w:val="1"/>
          <w:numId w:val="18"/>
        </w:numPr>
      </w:pPr>
      <w:r w:rsidRPr="007D7CA8">
        <w:t>Complete a review of all projects within the 2020 programme, and provide a status and lessons learnt report</w:t>
      </w:r>
    </w:p>
    <w:p w14:paraId="652EC969" w14:textId="06706AA4" w:rsidR="007D7CA8" w:rsidRPr="00E86436" w:rsidRDefault="007D7CA8" w:rsidP="007D7CA8">
      <w:pPr>
        <w:pStyle w:val="ListParagraph"/>
        <w:numPr>
          <w:ilvl w:val="1"/>
          <w:numId w:val="18"/>
        </w:numPr>
      </w:pPr>
      <w:r w:rsidRPr="007D7CA8">
        <w:t>Produce a new implementation plan for 2020 programme for PFCC approval at P&amp;R 24 September 2018</w:t>
      </w:r>
      <w:r>
        <w:t>.</w:t>
      </w:r>
    </w:p>
    <w:p w14:paraId="16E5FCD7" w14:textId="77777777" w:rsidR="00251FD2" w:rsidRPr="00132E56" w:rsidRDefault="00251FD2" w:rsidP="00251FD2">
      <w:pPr>
        <w:pStyle w:val="ListParagraph"/>
        <w:ind w:left="360"/>
      </w:pPr>
    </w:p>
    <w:p w14:paraId="1021915C" w14:textId="77777777" w:rsidR="00C0492F" w:rsidRPr="004D0D05" w:rsidRDefault="00C0492F" w:rsidP="00A20145">
      <w:pPr>
        <w:pStyle w:val="Heading1"/>
      </w:pPr>
      <w:r w:rsidRPr="004D0D05">
        <w:t>Financial Implications</w:t>
      </w:r>
    </w:p>
    <w:p w14:paraId="72D2344F" w14:textId="6B3B0D92" w:rsidR="00C07D0F" w:rsidRPr="004D0D05" w:rsidRDefault="00021CAB" w:rsidP="001F60EB">
      <w:pPr>
        <w:pStyle w:val="ListParagraph"/>
        <w:numPr>
          <w:ilvl w:val="0"/>
          <w:numId w:val="18"/>
        </w:numPr>
      </w:pPr>
      <w:r w:rsidRPr="004D0D05">
        <w:t xml:space="preserve">The set of changes </w:t>
      </w:r>
      <w:r w:rsidR="004D0D05">
        <w:t xml:space="preserve">and strategy </w:t>
      </w:r>
      <w:r w:rsidRPr="004D0D05">
        <w:t>approved through Programme 2020</w:t>
      </w:r>
      <w:r w:rsidR="004D0D05">
        <w:t xml:space="preserve"> formed</w:t>
      </w:r>
      <w:r w:rsidR="0082109F" w:rsidRPr="004D0D05">
        <w:t xml:space="preserve"> the efficiency plan accepted by government and providing a </w:t>
      </w:r>
      <w:r w:rsidR="004D0D05" w:rsidRPr="004D0D05">
        <w:t>four-year</w:t>
      </w:r>
      <w:r w:rsidR="0082109F" w:rsidRPr="004D0D05">
        <w:t xml:space="preserve"> funding settlement (2016/17 to 2019/20).</w:t>
      </w:r>
    </w:p>
    <w:p w14:paraId="1D60434A" w14:textId="01326E89" w:rsidR="0082109F" w:rsidRPr="004D0D05" w:rsidRDefault="0082109F" w:rsidP="007D6C3F"/>
    <w:p w14:paraId="559187F9" w14:textId="77777777" w:rsidR="0082109F" w:rsidRPr="004D0D05" w:rsidRDefault="0082109F" w:rsidP="0082109F">
      <w:pPr>
        <w:pStyle w:val="ListParagraph"/>
        <w:numPr>
          <w:ilvl w:val="0"/>
          <w:numId w:val="18"/>
        </w:numPr>
      </w:pPr>
      <w:r w:rsidRPr="004D0D05">
        <w:t>The Authority’s ability to reduce costs through the changes to the crewing system for</w:t>
      </w:r>
    </w:p>
    <w:p w14:paraId="1EA0F05C" w14:textId="0B36B7C2" w:rsidR="0082109F" w:rsidRDefault="0082109F" w:rsidP="0082109F">
      <w:pPr>
        <w:pStyle w:val="ListParagraph"/>
        <w:ind w:left="360"/>
        <w:jc w:val="both"/>
      </w:pPr>
      <w:r w:rsidRPr="004D0D05">
        <w:t xml:space="preserve">appliances from </w:t>
      </w:r>
      <w:proofErr w:type="spellStart"/>
      <w:r w:rsidRPr="004D0D05">
        <w:t>wholetime</w:t>
      </w:r>
      <w:proofErr w:type="spellEnd"/>
      <w:r w:rsidRPr="004D0D05">
        <w:t xml:space="preserve"> firefighter to On-Call firefighters is largely determined by the speed at which new staff can be recruited, trained and developed to become competent firefighters. The use of reserves to balance the budget during the development period for On-Call firefighters </w:t>
      </w:r>
      <w:r w:rsidR="007D6C3F">
        <w:t>was</w:t>
      </w:r>
      <w:r w:rsidRPr="004D0D05">
        <w:t xml:space="preserve"> set out in the efficiency plan. </w:t>
      </w:r>
    </w:p>
    <w:p w14:paraId="4D343663" w14:textId="7745178F" w:rsidR="007D6C3F" w:rsidRDefault="007D6C3F" w:rsidP="0082109F">
      <w:pPr>
        <w:pStyle w:val="ListParagraph"/>
        <w:ind w:left="360"/>
        <w:jc w:val="both"/>
      </w:pPr>
    </w:p>
    <w:p w14:paraId="30A5CF5F" w14:textId="0C96A7CD" w:rsidR="007D6C3F" w:rsidRPr="00E86436" w:rsidRDefault="00E86436" w:rsidP="007D6C3F">
      <w:pPr>
        <w:pStyle w:val="ListParagraph"/>
        <w:numPr>
          <w:ilvl w:val="0"/>
          <w:numId w:val="18"/>
        </w:numPr>
      </w:pPr>
      <w:r w:rsidRPr="00E86436">
        <w:t xml:space="preserve">The impact of the delays in the On-Call conversion project are factored into the 19/20 budget setting process and revision of the medium term financial plan. </w:t>
      </w:r>
    </w:p>
    <w:p w14:paraId="23162217" w14:textId="77777777" w:rsidR="007D6C3F" w:rsidRDefault="007D6C3F" w:rsidP="0082109F">
      <w:pPr>
        <w:pStyle w:val="ListParagraph"/>
        <w:ind w:left="360"/>
        <w:jc w:val="both"/>
      </w:pPr>
    </w:p>
    <w:p w14:paraId="052DBC41" w14:textId="77777777" w:rsidR="00C83F79" w:rsidRPr="00C83F79" w:rsidRDefault="00C83F79" w:rsidP="00C83F79">
      <w:pPr>
        <w:pStyle w:val="ListParagraph"/>
        <w:ind w:left="360"/>
      </w:pPr>
    </w:p>
    <w:p w14:paraId="469BBF56" w14:textId="77777777" w:rsidR="00C0492F" w:rsidRPr="007D6C3F" w:rsidRDefault="00C0492F" w:rsidP="00C0492F">
      <w:pPr>
        <w:pStyle w:val="Heading1"/>
      </w:pPr>
      <w:r w:rsidRPr="007D6C3F">
        <w:t>Equality and Diversity Implications</w:t>
      </w:r>
    </w:p>
    <w:p w14:paraId="60082925" w14:textId="77777777" w:rsidR="00784EB6" w:rsidRPr="007D6C3F" w:rsidRDefault="00BD3747" w:rsidP="00784EB6">
      <w:pPr>
        <w:pStyle w:val="ListParagraph"/>
        <w:numPr>
          <w:ilvl w:val="0"/>
          <w:numId w:val="18"/>
        </w:numPr>
      </w:pPr>
      <w:r w:rsidRPr="007D6C3F">
        <w:t xml:space="preserve">None arising from this report. </w:t>
      </w:r>
    </w:p>
    <w:p w14:paraId="341F67A7" w14:textId="77777777" w:rsidR="00784EB6" w:rsidRPr="007D6C3F" w:rsidRDefault="00784EB6" w:rsidP="00784EB6"/>
    <w:p w14:paraId="33D84B22" w14:textId="77777777" w:rsidR="00C07D0F" w:rsidRPr="007D6C3F" w:rsidRDefault="00C07D0F" w:rsidP="00C07D0F"/>
    <w:p w14:paraId="0BC72C8C" w14:textId="77777777" w:rsidR="00C0492F" w:rsidRPr="007D6C3F" w:rsidRDefault="00C0492F" w:rsidP="00C0492F">
      <w:pPr>
        <w:pStyle w:val="Heading1"/>
      </w:pPr>
      <w:r w:rsidRPr="007D6C3F">
        <w:t>Workforce Engagement</w:t>
      </w:r>
    </w:p>
    <w:p w14:paraId="180CB421" w14:textId="3FAC47E6" w:rsidR="00C0492F" w:rsidRPr="007D6C3F" w:rsidRDefault="001C5E31" w:rsidP="00B505FE">
      <w:pPr>
        <w:pStyle w:val="ListParagraph"/>
        <w:spacing w:after="240"/>
        <w:ind w:left="0"/>
        <w:jc w:val="both"/>
        <w:rPr>
          <w:noProof/>
        </w:rPr>
      </w:pPr>
      <w:r w:rsidRPr="007D6C3F">
        <w:t xml:space="preserve">None directly from this report. </w:t>
      </w:r>
    </w:p>
    <w:p w14:paraId="3A670D10" w14:textId="77777777" w:rsidR="00C0492F" w:rsidRPr="007D6C3F" w:rsidRDefault="00A20145" w:rsidP="00C0492F">
      <w:pPr>
        <w:pStyle w:val="Heading1"/>
      </w:pPr>
      <w:r w:rsidRPr="007D6C3F">
        <w:t>Legal ImplicationS</w:t>
      </w:r>
    </w:p>
    <w:p w14:paraId="1E6CE5B2" w14:textId="77777777" w:rsidR="00784EB6" w:rsidRPr="007D6C3F" w:rsidRDefault="00C24655" w:rsidP="00784EB6">
      <w:pPr>
        <w:pStyle w:val="ListParagraph"/>
        <w:numPr>
          <w:ilvl w:val="0"/>
          <w:numId w:val="18"/>
        </w:numPr>
      </w:pPr>
      <w:r w:rsidRPr="007D6C3F">
        <w:t>None from the contents of this report.</w:t>
      </w:r>
    </w:p>
    <w:p w14:paraId="52B4B10F" w14:textId="77777777" w:rsidR="00784EB6" w:rsidRPr="00784EB6" w:rsidRDefault="00784EB6" w:rsidP="00784EB6"/>
    <w:sectPr w:rsidR="00784EB6" w:rsidRPr="00784EB6" w:rsidSect="00A8212D">
      <w:type w:val="continuous"/>
      <w:pgSz w:w="11906" w:h="16838" w:code="9"/>
      <w:pgMar w:top="1134" w:right="1276"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FB730" w14:textId="77777777" w:rsidR="004F3663" w:rsidRDefault="004F3663">
      <w:r>
        <w:separator/>
      </w:r>
    </w:p>
  </w:endnote>
  <w:endnote w:type="continuationSeparator" w:id="0">
    <w:p w14:paraId="5C84A301" w14:textId="77777777" w:rsidR="004F3663" w:rsidRDefault="004F3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DF5E3" w14:textId="77777777" w:rsidR="00A8212D" w:rsidRDefault="00A8212D" w:rsidP="00A8212D">
    <w:pPr>
      <w:pStyle w:val="Footer"/>
      <w:jc w:val="center"/>
      <w:rPr>
        <w:sz w:val="22"/>
        <w:szCs w:val="22"/>
      </w:rPr>
    </w:pPr>
  </w:p>
  <w:p w14:paraId="377EA948" w14:textId="394FE31E" w:rsidR="00A8212D" w:rsidRPr="00A8212D" w:rsidRDefault="00A8212D" w:rsidP="00A8212D">
    <w:pPr>
      <w:pStyle w:val="Footer"/>
      <w:jc w:val="center"/>
      <w:rPr>
        <w:sz w:val="22"/>
        <w:szCs w:val="22"/>
      </w:rPr>
    </w:pPr>
    <w:r w:rsidRPr="00AA60E6">
      <w:rPr>
        <w:sz w:val="22"/>
        <w:szCs w:val="22"/>
      </w:rPr>
      <w:t xml:space="preserve">Page </w:t>
    </w:r>
    <w:r w:rsidRPr="00AA60E6">
      <w:rPr>
        <w:sz w:val="22"/>
        <w:szCs w:val="22"/>
      </w:rPr>
      <w:fldChar w:fldCharType="begin"/>
    </w:r>
    <w:r w:rsidRPr="00AA60E6">
      <w:rPr>
        <w:sz w:val="22"/>
        <w:szCs w:val="22"/>
      </w:rPr>
      <w:instrText xml:space="preserve"> PAGE </w:instrText>
    </w:r>
    <w:r w:rsidRPr="00AA60E6">
      <w:rPr>
        <w:sz w:val="22"/>
        <w:szCs w:val="22"/>
      </w:rPr>
      <w:fldChar w:fldCharType="separate"/>
    </w:r>
    <w:r w:rsidR="00C02049">
      <w:rPr>
        <w:noProof/>
        <w:sz w:val="22"/>
        <w:szCs w:val="22"/>
      </w:rPr>
      <w:t>1</w:t>
    </w:r>
    <w:r w:rsidRPr="00AA60E6">
      <w:rPr>
        <w:sz w:val="22"/>
        <w:szCs w:val="22"/>
      </w:rPr>
      <w:fldChar w:fldCharType="end"/>
    </w:r>
    <w:r w:rsidRPr="00AA60E6">
      <w:rPr>
        <w:sz w:val="22"/>
        <w:szCs w:val="22"/>
      </w:rPr>
      <w:t xml:space="preserve"> of </w:t>
    </w:r>
    <w:r w:rsidRPr="00AA60E6">
      <w:rPr>
        <w:sz w:val="22"/>
        <w:szCs w:val="22"/>
      </w:rPr>
      <w:fldChar w:fldCharType="begin"/>
    </w:r>
    <w:r w:rsidRPr="00AA60E6">
      <w:rPr>
        <w:sz w:val="22"/>
        <w:szCs w:val="22"/>
      </w:rPr>
      <w:instrText xml:space="preserve"> NUMPAGES </w:instrText>
    </w:r>
    <w:r w:rsidRPr="00AA60E6">
      <w:rPr>
        <w:sz w:val="22"/>
        <w:szCs w:val="22"/>
      </w:rPr>
      <w:fldChar w:fldCharType="separate"/>
    </w:r>
    <w:r w:rsidR="00C02049">
      <w:rPr>
        <w:noProof/>
        <w:sz w:val="22"/>
        <w:szCs w:val="22"/>
      </w:rPr>
      <w:t>6</w:t>
    </w:r>
    <w:r w:rsidRPr="00AA60E6">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26E55" w14:textId="77777777" w:rsidR="00C0492F" w:rsidRDefault="00C0492F" w:rsidP="00AA60E6">
    <w:pPr>
      <w:pStyle w:val="Footer"/>
      <w:jc w:val="center"/>
      <w:rPr>
        <w:sz w:val="22"/>
        <w:szCs w:val="22"/>
      </w:rPr>
    </w:pPr>
  </w:p>
  <w:p w14:paraId="16CF88D3" w14:textId="5FB71F6D" w:rsidR="00C0492F" w:rsidRPr="00AA60E6" w:rsidRDefault="00C0492F" w:rsidP="00AA60E6">
    <w:pPr>
      <w:pStyle w:val="Footer"/>
      <w:jc w:val="center"/>
      <w:rPr>
        <w:sz w:val="22"/>
        <w:szCs w:val="22"/>
      </w:rPr>
    </w:pPr>
    <w:r w:rsidRPr="00AA60E6">
      <w:rPr>
        <w:sz w:val="22"/>
        <w:szCs w:val="22"/>
      </w:rPr>
      <w:t xml:space="preserve">Page </w:t>
    </w:r>
    <w:r w:rsidRPr="00AA60E6">
      <w:rPr>
        <w:sz w:val="22"/>
        <w:szCs w:val="22"/>
      </w:rPr>
      <w:fldChar w:fldCharType="begin"/>
    </w:r>
    <w:r w:rsidRPr="00AA60E6">
      <w:rPr>
        <w:sz w:val="22"/>
        <w:szCs w:val="22"/>
      </w:rPr>
      <w:instrText xml:space="preserve"> PAGE </w:instrText>
    </w:r>
    <w:r w:rsidRPr="00AA60E6">
      <w:rPr>
        <w:sz w:val="22"/>
        <w:szCs w:val="22"/>
      </w:rPr>
      <w:fldChar w:fldCharType="separate"/>
    </w:r>
    <w:r w:rsidR="00C02049">
      <w:rPr>
        <w:noProof/>
        <w:sz w:val="22"/>
        <w:szCs w:val="22"/>
      </w:rPr>
      <w:t>6</w:t>
    </w:r>
    <w:r w:rsidRPr="00AA60E6">
      <w:rPr>
        <w:sz w:val="22"/>
        <w:szCs w:val="22"/>
      </w:rPr>
      <w:fldChar w:fldCharType="end"/>
    </w:r>
    <w:r w:rsidRPr="00AA60E6">
      <w:rPr>
        <w:sz w:val="22"/>
        <w:szCs w:val="22"/>
      </w:rPr>
      <w:t xml:space="preserve"> of </w:t>
    </w:r>
    <w:r w:rsidRPr="00AA60E6">
      <w:rPr>
        <w:sz w:val="22"/>
        <w:szCs w:val="22"/>
      </w:rPr>
      <w:fldChar w:fldCharType="begin"/>
    </w:r>
    <w:r w:rsidRPr="00AA60E6">
      <w:rPr>
        <w:sz w:val="22"/>
        <w:szCs w:val="22"/>
      </w:rPr>
      <w:instrText xml:space="preserve"> NUMPAGES </w:instrText>
    </w:r>
    <w:r w:rsidRPr="00AA60E6">
      <w:rPr>
        <w:sz w:val="22"/>
        <w:szCs w:val="22"/>
      </w:rPr>
      <w:fldChar w:fldCharType="separate"/>
    </w:r>
    <w:r w:rsidR="00C02049">
      <w:rPr>
        <w:noProof/>
        <w:sz w:val="22"/>
        <w:szCs w:val="22"/>
      </w:rPr>
      <w:t>6</w:t>
    </w:r>
    <w:r w:rsidRPr="00AA60E6">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85F08" w14:textId="672ABBB0" w:rsidR="00C0492F" w:rsidRPr="00AA60E6" w:rsidRDefault="00C0492F" w:rsidP="00D13372">
    <w:pPr>
      <w:pStyle w:val="Footer"/>
      <w:jc w:val="center"/>
      <w:rPr>
        <w:sz w:val="22"/>
        <w:szCs w:val="22"/>
      </w:rPr>
    </w:pPr>
    <w:r w:rsidRPr="00AA60E6">
      <w:rPr>
        <w:sz w:val="22"/>
        <w:szCs w:val="22"/>
      </w:rPr>
      <w:t xml:space="preserve">Page </w:t>
    </w:r>
    <w:r w:rsidRPr="00AA60E6">
      <w:rPr>
        <w:sz w:val="22"/>
        <w:szCs w:val="22"/>
      </w:rPr>
      <w:fldChar w:fldCharType="begin"/>
    </w:r>
    <w:r w:rsidRPr="00AA60E6">
      <w:rPr>
        <w:sz w:val="22"/>
        <w:szCs w:val="22"/>
      </w:rPr>
      <w:instrText xml:space="preserve"> PAGE </w:instrText>
    </w:r>
    <w:r w:rsidRPr="00AA60E6">
      <w:rPr>
        <w:sz w:val="22"/>
        <w:szCs w:val="22"/>
      </w:rPr>
      <w:fldChar w:fldCharType="separate"/>
    </w:r>
    <w:r>
      <w:rPr>
        <w:noProof/>
        <w:sz w:val="22"/>
        <w:szCs w:val="22"/>
      </w:rPr>
      <w:t>1</w:t>
    </w:r>
    <w:r w:rsidRPr="00AA60E6">
      <w:rPr>
        <w:sz w:val="22"/>
        <w:szCs w:val="22"/>
      </w:rPr>
      <w:fldChar w:fldCharType="end"/>
    </w:r>
    <w:r w:rsidRPr="00AA60E6">
      <w:rPr>
        <w:sz w:val="22"/>
        <w:szCs w:val="22"/>
      </w:rPr>
      <w:t xml:space="preserve"> of </w:t>
    </w:r>
    <w:r w:rsidRPr="00AA60E6">
      <w:rPr>
        <w:sz w:val="22"/>
        <w:szCs w:val="22"/>
      </w:rPr>
      <w:fldChar w:fldCharType="begin"/>
    </w:r>
    <w:r w:rsidRPr="00AA60E6">
      <w:rPr>
        <w:sz w:val="22"/>
        <w:szCs w:val="22"/>
      </w:rPr>
      <w:instrText xml:space="preserve"> NUMPAGES </w:instrText>
    </w:r>
    <w:r w:rsidRPr="00AA60E6">
      <w:rPr>
        <w:sz w:val="22"/>
        <w:szCs w:val="22"/>
      </w:rPr>
      <w:fldChar w:fldCharType="separate"/>
    </w:r>
    <w:r w:rsidR="001A6DC6">
      <w:rPr>
        <w:noProof/>
        <w:sz w:val="22"/>
        <w:szCs w:val="22"/>
      </w:rPr>
      <w:t>6</w:t>
    </w:r>
    <w:r w:rsidRPr="00AA60E6">
      <w:rPr>
        <w:sz w:val="22"/>
        <w:szCs w:val="22"/>
      </w:rPr>
      <w:fldChar w:fldCharType="end"/>
    </w:r>
  </w:p>
  <w:p w14:paraId="5E5270A6" w14:textId="77777777" w:rsidR="00C0492F" w:rsidRDefault="00C0492F" w:rsidP="00D1337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0F090" w14:textId="77777777" w:rsidR="004F3663" w:rsidRDefault="004F3663">
      <w:r>
        <w:separator/>
      </w:r>
    </w:p>
  </w:footnote>
  <w:footnote w:type="continuationSeparator" w:id="0">
    <w:p w14:paraId="5AEF2ABD" w14:textId="77777777" w:rsidR="004F3663" w:rsidRDefault="004F3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03BF3" w14:textId="77777777" w:rsidR="00C0492F" w:rsidRPr="00A8212D" w:rsidRDefault="00C0492F" w:rsidP="00A821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00B9"/>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44BA4"/>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7F76E2"/>
    <w:multiLevelType w:val="hybridMultilevel"/>
    <w:tmpl w:val="D2D281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1AA6187"/>
    <w:multiLevelType w:val="hybridMultilevel"/>
    <w:tmpl w:val="AEDA62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3BB1FC0"/>
    <w:multiLevelType w:val="hybridMultilevel"/>
    <w:tmpl w:val="9460C1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872524"/>
    <w:multiLevelType w:val="hybridMultilevel"/>
    <w:tmpl w:val="643E260A"/>
    <w:lvl w:ilvl="0" w:tplc="DB40DE4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5747C3"/>
    <w:multiLevelType w:val="hybridMultilevel"/>
    <w:tmpl w:val="954E6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560457"/>
    <w:multiLevelType w:val="hybridMultilevel"/>
    <w:tmpl w:val="35E602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CDC496E"/>
    <w:multiLevelType w:val="hybridMultilevel"/>
    <w:tmpl w:val="77A699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B006BA"/>
    <w:multiLevelType w:val="hybridMultilevel"/>
    <w:tmpl w:val="6E5A11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19051C6"/>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371D81"/>
    <w:multiLevelType w:val="hybridMultilevel"/>
    <w:tmpl w:val="FDBA8A7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9D1F64"/>
    <w:multiLevelType w:val="multilevel"/>
    <w:tmpl w:val="71C058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0044B50"/>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8015F9"/>
    <w:multiLevelType w:val="hybridMultilevel"/>
    <w:tmpl w:val="29AE7C58"/>
    <w:lvl w:ilvl="0" w:tplc="A730581C">
      <w:start w:val="1"/>
      <w:numFmt w:val="bullet"/>
      <w:pStyle w:val="Bulleted"/>
      <w:lvlText w:val=""/>
      <w:lvlJc w:val="left"/>
      <w:pPr>
        <w:tabs>
          <w:tab w:val="num" w:pos="1077"/>
        </w:tabs>
        <w:ind w:left="1077" w:hanging="397"/>
      </w:pPr>
      <w:rPr>
        <w:rFonts w:ascii="Symbol" w:hAnsi="Symbol"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5B0DA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9E848ED"/>
    <w:multiLevelType w:val="hybridMultilevel"/>
    <w:tmpl w:val="F322E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9F3838"/>
    <w:multiLevelType w:val="hybridMultilevel"/>
    <w:tmpl w:val="DE5AB1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3D1933DF"/>
    <w:multiLevelType w:val="hybridMultilevel"/>
    <w:tmpl w:val="AC745E6C"/>
    <w:lvl w:ilvl="0" w:tplc="08090001">
      <w:start w:val="1"/>
      <w:numFmt w:val="bullet"/>
      <w:lvlText w:val=""/>
      <w:lvlJc w:val="left"/>
      <w:pPr>
        <w:ind w:left="3072" w:hanging="360"/>
      </w:pPr>
      <w:rPr>
        <w:rFonts w:ascii="Symbol" w:hAnsi="Symbol" w:hint="default"/>
      </w:rPr>
    </w:lvl>
    <w:lvl w:ilvl="1" w:tplc="08090003" w:tentative="1">
      <w:start w:val="1"/>
      <w:numFmt w:val="bullet"/>
      <w:lvlText w:val="o"/>
      <w:lvlJc w:val="left"/>
      <w:pPr>
        <w:ind w:left="3792" w:hanging="360"/>
      </w:pPr>
      <w:rPr>
        <w:rFonts w:ascii="Courier New" w:hAnsi="Courier New" w:cs="Courier New" w:hint="default"/>
      </w:rPr>
    </w:lvl>
    <w:lvl w:ilvl="2" w:tplc="08090005" w:tentative="1">
      <w:start w:val="1"/>
      <w:numFmt w:val="bullet"/>
      <w:lvlText w:val=""/>
      <w:lvlJc w:val="left"/>
      <w:pPr>
        <w:ind w:left="4512" w:hanging="360"/>
      </w:pPr>
      <w:rPr>
        <w:rFonts w:ascii="Wingdings" w:hAnsi="Wingdings" w:hint="default"/>
      </w:rPr>
    </w:lvl>
    <w:lvl w:ilvl="3" w:tplc="08090001" w:tentative="1">
      <w:start w:val="1"/>
      <w:numFmt w:val="bullet"/>
      <w:lvlText w:val=""/>
      <w:lvlJc w:val="left"/>
      <w:pPr>
        <w:ind w:left="5232" w:hanging="360"/>
      </w:pPr>
      <w:rPr>
        <w:rFonts w:ascii="Symbol" w:hAnsi="Symbol" w:hint="default"/>
      </w:rPr>
    </w:lvl>
    <w:lvl w:ilvl="4" w:tplc="08090003" w:tentative="1">
      <w:start w:val="1"/>
      <w:numFmt w:val="bullet"/>
      <w:lvlText w:val="o"/>
      <w:lvlJc w:val="left"/>
      <w:pPr>
        <w:ind w:left="5952" w:hanging="360"/>
      </w:pPr>
      <w:rPr>
        <w:rFonts w:ascii="Courier New" w:hAnsi="Courier New" w:cs="Courier New" w:hint="default"/>
      </w:rPr>
    </w:lvl>
    <w:lvl w:ilvl="5" w:tplc="08090005" w:tentative="1">
      <w:start w:val="1"/>
      <w:numFmt w:val="bullet"/>
      <w:lvlText w:val=""/>
      <w:lvlJc w:val="left"/>
      <w:pPr>
        <w:ind w:left="6672" w:hanging="360"/>
      </w:pPr>
      <w:rPr>
        <w:rFonts w:ascii="Wingdings" w:hAnsi="Wingdings" w:hint="default"/>
      </w:rPr>
    </w:lvl>
    <w:lvl w:ilvl="6" w:tplc="08090001" w:tentative="1">
      <w:start w:val="1"/>
      <w:numFmt w:val="bullet"/>
      <w:lvlText w:val=""/>
      <w:lvlJc w:val="left"/>
      <w:pPr>
        <w:ind w:left="7392" w:hanging="360"/>
      </w:pPr>
      <w:rPr>
        <w:rFonts w:ascii="Symbol" w:hAnsi="Symbol" w:hint="default"/>
      </w:rPr>
    </w:lvl>
    <w:lvl w:ilvl="7" w:tplc="08090003" w:tentative="1">
      <w:start w:val="1"/>
      <w:numFmt w:val="bullet"/>
      <w:lvlText w:val="o"/>
      <w:lvlJc w:val="left"/>
      <w:pPr>
        <w:ind w:left="8112" w:hanging="360"/>
      </w:pPr>
      <w:rPr>
        <w:rFonts w:ascii="Courier New" w:hAnsi="Courier New" w:cs="Courier New" w:hint="default"/>
      </w:rPr>
    </w:lvl>
    <w:lvl w:ilvl="8" w:tplc="08090005" w:tentative="1">
      <w:start w:val="1"/>
      <w:numFmt w:val="bullet"/>
      <w:lvlText w:val=""/>
      <w:lvlJc w:val="left"/>
      <w:pPr>
        <w:ind w:left="8832" w:hanging="360"/>
      </w:pPr>
      <w:rPr>
        <w:rFonts w:ascii="Wingdings" w:hAnsi="Wingdings" w:hint="default"/>
      </w:rPr>
    </w:lvl>
  </w:abstractNum>
  <w:abstractNum w:abstractNumId="19" w15:restartNumberingAfterBreak="0">
    <w:nsid w:val="42DE0181"/>
    <w:multiLevelType w:val="hybridMultilevel"/>
    <w:tmpl w:val="D6B6C414"/>
    <w:lvl w:ilvl="0" w:tplc="D41A62D0">
      <w:start w:val="1"/>
      <w:numFmt w:val="decimal"/>
      <w:pStyle w:val="NumbList3"/>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99477EB"/>
    <w:multiLevelType w:val="hybridMultilevel"/>
    <w:tmpl w:val="8D522CB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51317D9E"/>
    <w:multiLevelType w:val="multilevel"/>
    <w:tmpl w:val="71C058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BDC4A71"/>
    <w:multiLevelType w:val="hybridMultilevel"/>
    <w:tmpl w:val="1EF053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E4B2F78"/>
    <w:multiLevelType w:val="hybridMultilevel"/>
    <w:tmpl w:val="756E64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F20CED"/>
    <w:multiLevelType w:val="hybridMultilevel"/>
    <w:tmpl w:val="3F1EC1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2D29E5"/>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72111A"/>
    <w:multiLevelType w:val="multilevel"/>
    <w:tmpl w:val="992CCB4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60F2082"/>
    <w:multiLevelType w:val="multilevel"/>
    <w:tmpl w:val="71C058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7377A06"/>
    <w:multiLevelType w:val="multilevel"/>
    <w:tmpl w:val="71C058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C8B6B9C"/>
    <w:multiLevelType w:val="hybridMultilevel"/>
    <w:tmpl w:val="B908E312"/>
    <w:lvl w:ilvl="0" w:tplc="A20AF690">
      <w:numFmt w:val="decimal"/>
      <w:lvlText w:val="%1."/>
      <w:lvlJc w:val="left"/>
      <w:pPr>
        <w:ind w:left="644"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4617AFC"/>
    <w:multiLevelType w:val="hybridMultilevel"/>
    <w:tmpl w:val="9E3CF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9"/>
  </w:num>
  <w:num w:numId="3">
    <w:abstractNumId w:val="9"/>
  </w:num>
  <w:num w:numId="4">
    <w:abstractNumId w:val="0"/>
  </w:num>
  <w:num w:numId="5">
    <w:abstractNumId w:val="25"/>
  </w:num>
  <w:num w:numId="6">
    <w:abstractNumId w:val="13"/>
  </w:num>
  <w:num w:numId="7">
    <w:abstractNumId w:val="10"/>
  </w:num>
  <w:num w:numId="8">
    <w:abstractNumId w:val="1"/>
  </w:num>
  <w:num w:numId="9">
    <w:abstractNumId w:val="19"/>
  </w:num>
  <w:num w:numId="10">
    <w:abstractNumId w:val="19"/>
  </w:num>
  <w:num w:numId="11">
    <w:abstractNumId w:val="20"/>
  </w:num>
  <w:num w:numId="12">
    <w:abstractNumId w:val="23"/>
  </w:num>
  <w:num w:numId="13">
    <w:abstractNumId w:val="22"/>
  </w:num>
  <w:num w:numId="14">
    <w:abstractNumId w:val="24"/>
  </w:num>
  <w:num w:numId="15">
    <w:abstractNumId w:val="4"/>
  </w:num>
  <w:num w:numId="16">
    <w:abstractNumId w:val="16"/>
  </w:num>
  <w:num w:numId="17">
    <w:abstractNumId w:val="30"/>
  </w:num>
  <w:num w:numId="18">
    <w:abstractNumId w:val="26"/>
  </w:num>
  <w:num w:numId="19">
    <w:abstractNumId w:val="15"/>
  </w:num>
  <w:num w:numId="20">
    <w:abstractNumId w:val="21"/>
  </w:num>
  <w:num w:numId="21">
    <w:abstractNumId w:val="12"/>
  </w:num>
  <w:num w:numId="22">
    <w:abstractNumId w:val="28"/>
  </w:num>
  <w:num w:numId="23">
    <w:abstractNumId w:val="27"/>
  </w:num>
  <w:num w:numId="2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2"/>
  </w:num>
  <w:num w:numId="29">
    <w:abstractNumId w:val="7"/>
  </w:num>
  <w:num w:numId="30">
    <w:abstractNumId w:val="18"/>
  </w:num>
  <w:num w:numId="31">
    <w:abstractNumId w:val="6"/>
  </w:num>
  <w:num w:numId="32">
    <w:abstractNumId w:val="5"/>
  </w:num>
  <w:num w:numId="33">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C22"/>
    <w:rsid w:val="000007B4"/>
    <w:rsid w:val="00000F31"/>
    <w:rsid w:val="00001B3C"/>
    <w:rsid w:val="000035D1"/>
    <w:rsid w:val="0000398F"/>
    <w:rsid w:val="0000484C"/>
    <w:rsid w:val="00006B4F"/>
    <w:rsid w:val="00006C81"/>
    <w:rsid w:val="00007F2F"/>
    <w:rsid w:val="0001097D"/>
    <w:rsid w:val="000127F2"/>
    <w:rsid w:val="000129FE"/>
    <w:rsid w:val="00014B58"/>
    <w:rsid w:val="0001605A"/>
    <w:rsid w:val="00016E9E"/>
    <w:rsid w:val="000172A6"/>
    <w:rsid w:val="00017E73"/>
    <w:rsid w:val="00021C6E"/>
    <w:rsid w:val="00021CAB"/>
    <w:rsid w:val="00022849"/>
    <w:rsid w:val="000232BD"/>
    <w:rsid w:val="00023A84"/>
    <w:rsid w:val="00024588"/>
    <w:rsid w:val="00024BAB"/>
    <w:rsid w:val="00024D0E"/>
    <w:rsid w:val="00025C65"/>
    <w:rsid w:val="00026CE5"/>
    <w:rsid w:val="0003039A"/>
    <w:rsid w:val="00030D92"/>
    <w:rsid w:val="00031DE4"/>
    <w:rsid w:val="0003296A"/>
    <w:rsid w:val="00032BE5"/>
    <w:rsid w:val="00032EE9"/>
    <w:rsid w:val="000340B9"/>
    <w:rsid w:val="00035151"/>
    <w:rsid w:val="000351C5"/>
    <w:rsid w:val="00035A87"/>
    <w:rsid w:val="00035B01"/>
    <w:rsid w:val="00037C5B"/>
    <w:rsid w:val="000440A4"/>
    <w:rsid w:val="00047123"/>
    <w:rsid w:val="00050A61"/>
    <w:rsid w:val="00050FB5"/>
    <w:rsid w:val="000562DA"/>
    <w:rsid w:val="00057E76"/>
    <w:rsid w:val="000609B3"/>
    <w:rsid w:val="00061F0C"/>
    <w:rsid w:val="000640F3"/>
    <w:rsid w:val="000649BD"/>
    <w:rsid w:val="000651F2"/>
    <w:rsid w:val="000655B3"/>
    <w:rsid w:val="00067B17"/>
    <w:rsid w:val="000708BF"/>
    <w:rsid w:val="00074824"/>
    <w:rsid w:val="0007685A"/>
    <w:rsid w:val="0007715F"/>
    <w:rsid w:val="0007728B"/>
    <w:rsid w:val="00077D61"/>
    <w:rsid w:val="000816CB"/>
    <w:rsid w:val="00081A13"/>
    <w:rsid w:val="00082A0E"/>
    <w:rsid w:val="0008484A"/>
    <w:rsid w:val="00085616"/>
    <w:rsid w:val="00085F5A"/>
    <w:rsid w:val="000860C5"/>
    <w:rsid w:val="00086F1C"/>
    <w:rsid w:val="00092822"/>
    <w:rsid w:val="000952E3"/>
    <w:rsid w:val="000961DD"/>
    <w:rsid w:val="00096321"/>
    <w:rsid w:val="00096D9B"/>
    <w:rsid w:val="00097190"/>
    <w:rsid w:val="000A4F77"/>
    <w:rsid w:val="000A58C0"/>
    <w:rsid w:val="000A5D6C"/>
    <w:rsid w:val="000A68F1"/>
    <w:rsid w:val="000A77CF"/>
    <w:rsid w:val="000A7A2A"/>
    <w:rsid w:val="000A7C91"/>
    <w:rsid w:val="000B0FF6"/>
    <w:rsid w:val="000B3154"/>
    <w:rsid w:val="000B3582"/>
    <w:rsid w:val="000B42D8"/>
    <w:rsid w:val="000B4668"/>
    <w:rsid w:val="000B48BC"/>
    <w:rsid w:val="000B7DB2"/>
    <w:rsid w:val="000B7ECF"/>
    <w:rsid w:val="000C21A3"/>
    <w:rsid w:val="000C4119"/>
    <w:rsid w:val="000C427F"/>
    <w:rsid w:val="000C5166"/>
    <w:rsid w:val="000C5169"/>
    <w:rsid w:val="000C6226"/>
    <w:rsid w:val="000C6736"/>
    <w:rsid w:val="000C711F"/>
    <w:rsid w:val="000C72ED"/>
    <w:rsid w:val="000D0335"/>
    <w:rsid w:val="000D2229"/>
    <w:rsid w:val="000D28AC"/>
    <w:rsid w:val="000D2B69"/>
    <w:rsid w:val="000D2BAC"/>
    <w:rsid w:val="000D34CF"/>
    <w:rsid w:val="000D664C"/>
    <w:rsid w:val="000E01B6"/>
    <w:rsid w:val="000E0229"/>
    <w:rsid w:val="000E4379"/>
    <w:rsid w:val="000E4CAB"/>
    <w:rsid w:val="000E58BA"/>
    <w:rsid w:val="000E6924"/>
    <w:rsid w:val="000F1BFE"/>
    <w:rsid w:val="000F1C23"/>
    <w:rsid w:val="000F24CB"/>
    <w:rsid w:val="000F38B9"/>
    <w:rsid w:val="000F41F3"/>
    <w:rsid w:val="000F65A2"/>
    <w:rsid w:val="00100492"/>
    <w:rsid w:val="00100810"/>
    <w:rsid w:val="00101758"/>
    <w:rsid w:val="00103FA4"/>
    <w:rsid w:val="001041C9"/>
    <w:rsid w:val="00106736"/>
    <w:rsid w:val="0010759D"/>
    <w:rsid w:val="001123A9"/>
    <w:rsid w:val="0011396F"/>
    <w:rsid w:val="0011420E"/>
    <w:rsid w:val="00115CBB"/>
    <w:rsid w:val="00115D0F"/>
    <w:rsid w:val="001160E8"/>
    <w:rsid w:val="001167F8"/>
    <w:rsid w:val="00116860"/>
    <w:rsid w:val="00116F06"/>
    <w:rsid w:val="00120C6E"/>
    <w:rsid w:val="00121537"/>
    <w:rsid w:val="00121710"/>
    <w:rsid w:val="00121C63"/>
    <w:rsid w:val="00124DF5"/>
    <w:rsid w:val="00126B19"/>
    <w:rsid w:val="0012725A"/>
    <w:rsid w:val="00127D18"/>
    <w:rsid w:val="00127ED9"/>
    <w:rsid w:val="00131182"/>
    <w:rsid w:val="00131632"/>
    <w:rsid w:val="001323A9"/>
    <w:rsid w:val="00132E56"/>
    <w:rsid w:val="00133CC7"/>
    <w:rsid w:val="00134004"/>
    <w:rsid w:val="001359B3"/>
    <w:rsid w:val="00136449"/>
    <w:rsid w:val="00136873"/>
    <w:rsid w:val="00136ED5"/>
    <w:rsid w:val="00140960"/>
    <w:rsid w:val="00141BAD"/>
    <w:rsid w:val="00141D9F"/>
    <w:rsid w:val="001430F8"/>
    <w:rsid w:val="00145602"/>
    <w:rsid w:val="00145D73"/>
    <w:rsid w:val="0014714B"/>
    <w:rsid w:val="00151327"/>
    <w:rsid w:val="00153361"/>
    <w:rsid w:val="0015497F"/>
    <w:rsid w:val="00154F7E"/>
    <w:rsid w:val="00160C32"/>
    <w:rsid w:val="001619B4"/>
    <w:rsid w:val="00164527"/>
    <w:rsid w:val="001666C0"/>
    <w:rsid w:val="0016715E"/>
    <w:rsid w:val="00167E80"/>
    <w:rsid w:val="00171207"/>
    <w:rsid w:val="00171B3F"/>
    <w:rsid w:val="00172383"/>
    <w:rsid w:val="00175029"/>
    <w:rsid w:val="0017517B"/>
    <w:rsid w:val="00176705"/>
    <w:rsid w:val="00181604"/>
    <w:rsid w:val="00181851"/>
    <w:rsid w:val="0018191C"/>
    <w:rsid w:val="0018427B"/>
    <w:rsid w:val="001846AE"/>
    <w:rsid w:val="00186320"/>
    <w:rsid w:val="00186B3F"/>
    <w:rsid w:val="00187579"/>
    <w:rsid w:val="00187C47"/>
    <w:rsid w:val="00187FB1"/>
    <w:rsid w:val="00190BF5"/>
    <w:rsid w:val="00191D89"/>
    <w:rsid w:val="0019293A"/>
    <w:rsid w:val="0019306B"/>
    <w:rsid w:val="00196CAA"/>
    <w:rsid w:val="001A013D"/>
    <w:rsid w:val="001A05AD"/>
    <w:rsid w:val="001A0754"/>
    <w:rsid w:val="001A07A4"/>
    <w:rsid w:val="001A0CB3"/>
    <w:rsid w:val="001A4AC0"/>
    <w:rsid w:val="001A4D55"/>
    <w:rsid w:val="001A6DC6"/>
    <w:rsid w:val="001A7C3E"/>
    <w:rsid w:val="001B06CF"/>
    <w:rsid w:val="001B2635"/>
    <w:rsid w:val="001B2E8F"/>
    <w:rsid w:val="001B4A01"/>
    <w:rsid w:val="001B4C05"/>
    <w:rsid w:val="001B7629"/>
    <w:rsid w:val="001C2A15"/>
    <w:rsid w:val="001C38A3"/>
    <w:rsid w:val="001C474C"/>
    <w:rsid w:val="001C5581"/>
    <w:rsid w:val="001C5E31"/>
    <w:rsid w:val="001C5FD5"/>
    <w:rsid w:val="001C6A87"/>
    <w:rsid w:val="001D0EF3"/>
    <w:rsid w:val="001D21F4"/>
    <w:rsid w:val="001D391E"/>
    <w:rsid w:val="001D3CCE"/>
    <w:rsid w:val="001D555B"/>
    <w:rsid w:val="001D58E7"/>
    <w:rsid w:val="001D6166"/>
    <w:rsid w:val="001D63B7"/>
    <w:rsid w:val="001D66D7"/>
    <w:rsid w:val="001E0950"/>
    <w:rsid w:val="001E0EA4"/>
    <w:rsid w:val="001E1D30"/>
    <w:rsid w:val="001E3211"/>
    <w:rsid w:val="001E608C"/>
    <w:rsid w:val="001E6FA7"/>
    <w:rsid w:val="001E71C9"/>
    <w:rsid w:val="001E76E0"/>
    <w:rsid w:val="001E7C2B"/>
    <w:rsid w:val="001F133E"/>
    <w:rsid w:val="001F1937"/>
    <w:rsid w:val="001F2550"/>
    <w:rsid w:val="001F38C8"/>
    <w:rsid w:val="001F44D5"/>
    <w:rsid w:val="001F4842"/>
    <w:rsid w:val="001F4941"/>
    <w:rsid w:val="001F61D1"/>
    <w:rsid w:val="001F6ACB"/>
    <w:rsid w:val="001F7EE7"/>
    <w:rsid w:val="0020041F"/>
    <w:rsid w:val="00200C8D"/>
    <w:rsid w:val="00203EB0"/>
    <w:rsid w:val="0020595C"/>
    <w:rsid w:val="00205FB6"/>
    <w:rsid w:val="00211179"/>
    <w:rsid w:val="00211330"/>
    <w:rsid w:val="0021368E"/>
    <w:rsid w:val="0021521F"/>
    <w:rsid w:val="002156C7"/>
    <w:rsid w:val="00216527"/>
    <w:rsid w:val="002175AC"/>
    <w:rsid w:val="00217E03"/>
    <w:rsid w:val="002203A9"/>
    <w:rsid w:val="002207C3"/>
    <w:rsid w:val="00221F30"/>
    <w:rsid w:val="00223C26"/>
    <w:rsid w:val="00223D52"/>
    <w:rsid w:val="00224260"/>
    <w:rsid w:val="0022498A"/>
    <w:rsid w:val="002249D3"/>
    <w:rsid w:val="00224A46"/>
    <w:rsid w:val="00224A56"/>
    <w:rsid w:val="002255B8"/>
    <w:rsid w:val="002265B5"/>
    <w:rsid w:val="00226E73"/>
    <w:rsid w:val="002273BB"/>
    <w:rsid w:val="00227A04"/>
    <w:rsid w:val="00230EFC"/>
    <w:rsid w:val="00231574"/>
    <w:rsid w:val="002320AB"/>
    <w:rsid w:val="002332EC"/>
    <w:rsid w:val="002354A2"/>
    <w:rsid w:val="00235DF6"/>
    <w:rsid w:val="00236B8A"/>
    <w:rsid w:val="00241168"/>
    <w:rsid w:val="002414C2"/>
    <w:rsid w:val="00241F9B"/>
    <w:rsid w:val="00242BDE"/>
    <w:rsid w:val="00243CF7"/>
    <w:rsid w:val="002467FB"/>
    <w:rsid w:val="00246DBB"/>
    <w:rsid w:val="00246DE0"/>
    <w:rsid w:val="00247326"/>
    <w:rsid w:val="00247A49"/>
    <w:rsid w:val="002507E2"/>
    <w:rsid w:val="002515E4"/>
    <w:rsid w:val="00251B83"/>
    <w:rsid w:val="00251EC5"/>
    <w:rsid w:val="00251FD2"/>
    <w:rsid w:val="00252076"/>
    <w:rsid w:val="0025315B"/>
    <w:rsid w:val="00254127"/>
    <w:rsid w:val="00256991"/>
    <w:rsid w:val="0026017D"/>
    <w:rsid w:val="002604C2"/>
    <w:rsid w:val="0026099E"/>
    <w:rsid w:val="00260C5B"/>
    <w:rsid w:val="00261662"/>
    <w:rsid w:val="0026264D"/>
    <w:rsid w:val="00263B8A"/>
    <w:rsid w:val="00263D8D"/>
    <w:rsid w:val="002661B8"/>
    <w:rsid w:val="00266A44"/>
    <w:rsid w:val="00270F11"/>
    <w:rsid w:val="0027171A"/>
    <w:rsid w:val="00272039"/>
    <w:rsid w:val="002746DA"/>
    <w:rsid w:val="00274BF2"/>
    <w:rsid w:val="00276428"/>
    <w:rsid w:val="002764BA"/>
    <w:rsid w:val="002766D2"/>
    <w:rsid w:val="0028061A"/>
    <w:rsid w:val="00280A2B"/>
    <w:rsid w:val="00280D92"/>
    <w:rsid w:val="00280DCB"/>
    <w:rsid w:val="00281A3E"/>
    <w:rsid w:val="00281EF4"/>
    <w:rsid w:val="00283429"/>
    <w:rsid w:val="00283D27"/>
    <w:rsid w:val="00283D6E"/>
    <w:rsid w:val="002844D3"/>
    <w:rsid w:val="00285409"/>
    <w:rsid w:val="00285B53"/>
    <w:rsid w:val="00286926"/>
    <w:rsid w:val="00287195"/>
    <w:rsid w:val="0028722A"/>
    <w:rsid w:val="00287AF0"/>
    <w:rsid w:val="0029107F"/>
    <w:rsid w:val="002911D7"/>
    <w:rsid w:val="002919BB"/>
    <w:rsid w:val="00292719"/>
    <w:rsid w:val="00293E36"/>
    <w:rsid w:val="002A0622"/>
    <w:rsid w:val="002A10AF"/>
    <w:rsid w:val="002A4CFC"/>
    <w:rsid w:val="002A567E"/>
    <w:rsid w:val="002A5BC9"/>
    <w:rsid w:val="002A6854"/>
    <w:rsid w:val="002A7357"/>
    <w:rsid w:val="002A78AE"/>
    <w:rsid w:val="002B14D7"/>
    <w:rsid w:val="002B14DD"/>
    <w:rsid w:val="002B2C36"/>
    <w:rsid w:val="002B3411"/>
    <w:rsid w:val="002B61FB"/>
    <w:rsid w:val="002B631D"/>
    <w:rsid w:val="002B67B3"/>
    <w:rsid w:val="002B7F25"/>
    <w:rsid w:val="002C0FAA"/>
    <w:rsid w:val="002C1247"/>
    <w:rsid w:val="002C30F2"/>
    <w:rsid w:val="002C3628"/>
    <w:rsid w:val="002C3DAB"/>
    <w:rsid w:val="002C4FDD"/>
    <w:rsid w:val="002C5DFB"/>
    <w:rsid w:val="002C6728"/>
    <w:rsid w:val="002C7BB1"/>
    <w:rsid w:val="002D1648"/>
    <w:rsid w:val="002D24A7"/>
    <w:rsid w:val="002D2AAD"/>
    <w:rsid w:val="002D4ACF"/>
    <w:rsid w:val="002D560C"/>
    <w:rsid w:val="002D678D"/>
    <w:rsid w:val="002D6A56"/>
    <w:rsid w:val="002D700B"/>
    <w:rsid w:val="002E08E8"/>
    <w:rsid w:val="002E10B1"/>
    <w:rsid w:val="002E2693"/>
    <w:rsid w:val="002E36F8"/>
    <w:rsid w:val="002E49EB"/>
    <w:rsid w:val="002E4C9F"/>
    <w:rsid w:val="002E4FF7"/>
    <w:rsid w:val="002E62DA"/>
    <w:rsid w:val="002E6D94"/>
    <w:rsid w:val="002E7974"/>
    <w:rsid w:val="002E7B4A"/>
    <w:rsid w:val="002F0392"/>
    <w:rsid w:val="002F0617"/>
    <w:rsid w:val="002F120B"/>
    <w:rsid w:val="002F1805"/>
    <w:rsid w:val="002F19E9"/>
    <w:rsid w:val="002F24E3"/>
    <w:rsid w:val="002F45F7"/>
    <w:rsid w:val="002F634D"/>
    <w:rsid w:val="002F6550"/>
    <w:rsid w:val="003007D9"/>
    <w:rsid w:val="00303742"/>
    <w:rsid w:val="00304F86"/>
    <w:rsid w:val="00307E2F"/>
    <w:rsid w:val="00310FB4"/>
    <w:rsid w:val="00311DE8"/>
    <w:rsid w:val="0031264D"/>
    <w:rsid w:val="00313226"/>
    <w:rsid w:val="00313AC9"/>
    <w:rsid w:val="00320AFF"/>
    <w:rsid w:val="003213BF"/>
    <w:rsid w:val="00321BED"/>
    <w:rsid w:val="00322997"/>
    <w:rsid w:val="00322E3E"/>
    <w:rsid w:val="003242F3"/>
    <w:rsid w:val="00324549"/>
    <w:rsid w:val="003247B7"/>
    <w:rsid w:val="003247D0"/>
    <w:rsid w:val="00325B97"/>
    <w:rsid w:val="00326EE8"/>
    <w:rsid w:val="00327063"/>
    <w:rsid w:val="0032754E"/>
    <w:rsid w:val="00330F33"/>
    <w:rsid w:val="003321FF"/>
    <w:rsid w:val="003372DC"/>
    <w:rsid w:val="0033767C"/>
    <w:rsid w:val="00337BFE"/>
    <w:rsid w:val="00337E0A"/>
    <w:rsid w:val="00345B4F"/>
    <w:rsid w:val="00347FCD"/>
    <w:rsid w:val="00350E86"/>
    <w:rsid w:val="00351CEC"/>
    <w:rsid w:val="0035223F"/>
    <w:rsid w:val="003528A1"/>
    <w:rsid w:val="00353461"/>
    <w:rsid w:val="00354DCE"/>
    <w:rsid w:val="00356339"/>
    <w:rsid w:val="00356C2D"/>
    <w:rsid w:val="003606A2"/>
    <w:rsid w:val="00360A3A"/>
    <w:rsid w:val="0036149C"/>
    <w:rsid w:val="00364850"/>
    <w:rsid w:val="003650E4"/>
    <w:rsid w:val="00365FBE"/>
    <w:rsid w:val="003660C3"/>
    <w:rsid w:val="0036668E"/>
    <w:rsid w:val="00367B21"/>
    <w:rsid w:val="003703D3"/>
    <w:rsid w:val="00371DD3"/>
    <w:rsid w:val="003724D0"/>
    <w:rsid w:val="003727BC"/>
    <w:rsid w:val="0037618E"/>
    <w:rsid w:val="00380585"/>
    <w:rsid w:val="00380A82"/>
    <w:rsid w:val="00380FE4"/>
    <w:rsid w:val="00382B0F"/>
    <w:rsid w:val="0039069F"/>
    <w:rsid w:val="00391893"/>
    <w:rsid w:val="0039269C"/>
    <w:rsid w:val="00392E6F"/>
    <w:rsid w:val="003935F3"/>
    <w:rsid w:val="003947DD"/>
    <w:rsid w:val="00396119"/>
    <w:rsid w:val="00396CA6"/>
    <w:rsid w:val="00397073"/>
    <w:rsid w:val="003974D8"/>
    <w:rsid w:val="003A00B9"/>
    <w:rsid w:val="003A1BF7"/>
    <w:rsid w:val="003A2929"/>
    <w:rsid w:val="003A46D1"/>
    <w:rsid w:val="003A5A2F"/>
    <w:rsid w:val="003A6392"/>
    <w:rsid w:val="003A689D"/>
    <w:rsid w:val="003A7548"/>
    <w:rsid w:val="003A7A3F"/>
    <w:rsid w:val="003A7E58"/>
    <w:rsid w:val="003A7F21"/>
    <w:rsid w:val="003B0B0C"/>
    <w:rsid w:val="003B0ED4"/>
    <w:rsid w:val="003B12E2"/>
    <w:rsid w:val="003B415C"/>
    <w:rsid w:val="003B4C60"/>
    <w:rsid w:val="003B7070"/>
    <w:rsid w:val="003B7201"/>
    <w:rsid w:val="003B73DA"/>
    <w:rsid w:val="003C03B5"/>
    <w:rsid w:val="003C06ED"/>
    <w:rsid w:val="003C07C3"/>
    <w:rsid w:val="003C1A2C"/>
    <w:rsid w:val="003C33C4"/>
    <w:rsid w:val="003C603E"/>
    <w:rsid w:val="003C62FF"/>
    <w:rsid w:val="003C6904"/>
    <w:rsid w:val="003D22D1"/>
    <w:rsid w:val="003D3327"/>
    <w:rsid w:val="003D3504"/>
    <w:rsid w:val="003D5E8A"/>
    <w:rsid w:val="003E0237"/>
    <w:rsid w:val="003E23C5"/>
    <w:rsid w:val="003E2B63"/>
    <w:rsid w:val="003E3748"/>
    <w:rsid w:val="003E4DCE"/>
    <w:rsid w:val="003E621F"/>
    <w:rsid w:val="003E707F"/>
    <w:rsid w:val="003E773C"/>
    <w:rsid w:val="003E7E2F"/>
    <w:rsid w:val="003F1243"/>
    <w:rsid w:val="003F15B7"/>
    <w:rsid w:val="003F3081"/>
    <w:rsid w:val="003F40D7"/>
    <w:rsid w:val="003F4A6B"/>
    <w:rsid w:val="003F4C81"/>
    <w:rsid w:val="003F60A0"/>
    <w:rsid w:val="003F684E"/>
    <w:rsid w:val="003F6C0F"/>
    <w:rsid w:val="004003A2"/>
    <w:rsid w:val="00400510"/>
    <w:rsid w:val="00404002"/>
    <w:rsid w:val="00405469"/>
    <w:rsid w:val="00406B88"/>
    <w:rsid w:val="00406CE1"/>
    <w:rsid w:val="00407528"/>
    <w:rsid w:val="00410923"/>
    <w:rsid w:val="0041116E"/>
    <w:rsid w:val="0041154E"/>
    <w:rsid w:val="00411F90"/>
    <w:rsid w:val="00413B48"/>
    <w:rsid w:val="00414FE6"/>
    <w:rsid w:val="00416883"/>
    <w:rsid w:val="00420BDF"/>
    <w:rsid w:val="00420F52"/>
    <w:rsid w:val="00421629"/>
    <w:rsid w:val="00422E5F"/>
    <w:rsid w:val="004239D4"/>
    <w:rsid w:val="004261E7"/>
    <w:rsid w:val="00426266"/>
    <w:rsid w:val="00432D1D"/>
    <w:rsid w:val="00433283"/>
    <w:rsid w:val="00433768"/>
    <w:rsid w:val="00433AFA"/>
    <w:rsid w:val="00433D68"/>
    <w:rsid w:val="004340FE"/>
    <w:rsid w:val="0043708D"/>
    <w:rsid w:val="004401FD"/>
    <w:rsid w:val="00440CFC"/>
    <w:rsid w:val="0044109C"/>
    <w:rsid w:val="0044279D"/>
    <w:rsid w:val="004438D2"/>
    <w:rsid w:val="00445032"/>
    <w:rsid w:val="00446BE6"/>
    <w:rsid w:val="00447ECF"/>
    <w:rsid w:val="004521A1"/>
    <w:rsid w:val="0045506D"/>
    <w:rsid w:val="00456A15"/>
    <w:rsid w:val="004576F0"/>
    <w:rsid w:val="00457FF3"/>
    <w:rsid w:val="00460210"/>
    <w:rsid w:val="00463C77"/>
    <w:rsid w:val="00464B78"/>
    <w:rsid w:val="00464C3C"/>
    <w:rsid w:val="00465BBB"/>
    <w:rsid w:val="00466B4D"/>
    <w:rsid w:val="00466D89"/>
    <w:rsid w:val="00467072"/>
    <w:rsid w:val="00467CDC"/>
    <w:rsid w:val="004715EC"/>
    <w:rsid w:val="00471E19"/>
    <w:rsid w:val="00473409"/>
    <w:rsid w:val="00473927"/>
    <w:rsid w:val="00474F6A"/>
    <w:rsid w:val="00475CA4"/>
    <w:rsid w:val="00476300"/>
    <w:rsid w:val="00480728"/>
    <w:rsid w:val="00480C49"/>
    <w:rsid w:val="004819E5"/>
    <w:rsid w:val="0048282B"/>
    <w:rsid w:val="004830B5"/>
    <w:rsid w:val="00484012"/>
    <w:rsid w:val="00485D14"/>
    <w:rsid w:val="0048662A"/>
    <w:rsid w:val="00486EEC"/>
    <w:rsid w:val="00487199"/>
    <w:rsid w:val="004914B7"/>
    <w:rsid w:val="00491C6B"/>
    <w:rsid w:val="004944C6"/>
    <w:rsid w:val="00495F79"/>
    <w:rsid w:val="00496384"/>
    <w:rsid w:val="00496C27"/>
    <w:rsid w:val="00497525"/>
    <w:rsid w:val="004A0F5A"/>
    <w:rsid w:val="004A11EB"/>
    <w:rsid w:val="004A31F7"/>
    <w:rsid w:val="004A323C"/>
    <w:rsid w:val="004A62B2"/>
    <w:rsid w:val="004B0C8C"/>
    <w:rsid w:val="004B2041"/>
    <w:rsid w:val="004B28AE"/>
    <w:rsid w:val="004B3393"/>
    <w:rsid w:val="004B357C"/>
    <w:rsid w:val="004B37E1"/>
    <w:rsid w:val="004B4F48"/>
    <w:rsid w:val="004B6551"/>
    <w:rsid w:val="004B6BFF"/>
    <w:rsid w:val="004C0ACD"/>
    <w:rsid w:val="004C0BB5"/>
    <w:rsid w:val="004C1069"/>
    <w:rsid w:val="004C1952"/>
    <w:rsid w:val="004C35FD"/>
    <w:rsid w:val="004C3CA7"/>
    <w:rsid w:val="004C4D69"/>
    <w:rsid w:val="004C543A"/>
    <w:rsid w:val="004C60E0"/>
    <w:rsid w:val="004C6240"/>
    <w:rsid w:val="004C7546"/>
    <w:rsid w:val="004D03B6"/>
    <w:rsid w:val="004D0D05"/>
    <w:rsid w:val="004D186D"/>
    <w:rsid w:val="004D26F4"/>
    <w:rsid w:val="004D2B1A"/>
    <w:rsid w:val="004D3FBF"/>
    <w:rsid w:val="004D43FF"/>
    <w:rsid w:val="004D5048"/>
    <w:rsid w:val="004D538B"/>
    <w:rsid w:val="004D549F"/>
    <w:rsid w:val="004D6709"/>
    <w:rsid w:val="004D69B7"/>
    <w:rsid w:val="004D70D3"/>
    <w:rsid w:val="004D740F"/>
    <w:rsid w:val="004D742A"/>
    <w:rsid w:val="004D7F3F"/>
    <w:rsid w:val="004E1391"/>
    <w:rsid w:val="004E2135"/>
    <w:rsid w:val="004E26BD"/>
    <w:rsid w:val="004E3DAC"/>
    <w:rsid w:val="004E5CAD"/>
    <w:rsid w:val="004E60A8"/>
    <w:rsid w:val="004F012F"/>
    <w:rsid w:val="004F02E8"/>
    <w:rsid w:val="004F0997"/>
    <w:rsid w:val="004F155F"/>
    <w:rsid w:val="004F19B9"/>
    <w:rsid w:val="004F23CA"/>
    <w:rsid w:val="004F2C41"/>
    <w:rsid w:val="004F3663"/>
    <w:rsid w:val="004F3A47"/>
    <w:rsid w:val="004F550C"/>
    <w:rsid w:val="004F7179"/>
    <w:rsid w:val="00500754"/>
    <w:rsid w:val="00502356"/>
    <w:rsid w:val="0050277E"/>
    <w:rsid w:val="00502ADB"/>
    <w:rsid w:val="00503D85"/>
    <w:rsid w:val="00505420"/>
    <w:rsid w:val="005063F1"/>
    <w:rsid w:val="0050677A"/>
    <w:rsid w:val="005103A0"/>
    <w:rsid w:val="00510C59"/>
    <w:rsid w:val="00511043"/>
    <w:rsid w:val="005131D1"/>
    <w:rsid w:val="0051689E"/>
    <w:rsid w:val="00517DE4"/>
    <w:rsid w:val="00520A8B"/>
    <w:rsid w:val="00521BBE"/>
    <w:rsid w:val="005257A4"/>
    <w:rsid w:val="0052597D"/>
    <w:rsid w:val="00526681"/>
    <w:rsid w:val="00531668"/>
    <w:rsid w:val="00534B30"/>
    <w:rsid w:val="005357B0"/>
    <w:rsid w:val="00535F5C"/>
    <w:rsid w:val="00543DC6"/>
    <w:rsid w:val="005461F6"/>
    <w:rsid w:val="00550384"/>
    <w:rsid w:val="005509FE"/>
    <w:rsid w:val="005525B4"/>
    <w:rsid w:val="0055273B"/>
    <w:rsid w:val="00552EF2"/>
    <w:rsid w:val="00552FA4"/>
    <w:rsid w:val="00555BA5"/>
    <w:rsid w:val="00562129"/>
    <w:rsid w:val="005647DD"/>
    <w:rsid w:val="00567022"/>
    <w:rsid w:val="00567AB8"/>
    <w:rsid w:val="0057017A"/>
    <w:rsid w:val="005702DA"/>
    <w:rsid w:val="00570A03"/>
    <w:rsid w:val="00570C22"/>
    <w:rsid w:val="00572BD4"/>
    <w:rsid w:val="00572EA4"/>
    <w:rsid w:val="005754AF"/>
    <w:rsid w:val="005761F4"/>
    <w:rsid w:val="00576820"/>
    <w:rsid w:val="0057749B"/>
    <w:rsid w:val="00577918"/>
    <w:rsid w:val="00577E0B"/>
    <w:rsid w:val="00580692"/>
    <w:rsid w:val="00582203"/>
    <w:rsid w:val="0058237F"/>
    <w:rsid w:val="00582538"/>
    <w:rsid w:val="005825D2"/>
    <w:rsid w:val="0058284E"/>
    <w:rsid w:val="005849EB"/>
    <w:rsid w:val="00586041"/>
    <w:rsid w:val="00587957"/>
    <w:rsid w:val="00591204"/>
    <w:rsid w:val="00591805"/>
    <w:rsid w:val="00591CBC"/>
    <w:rsid w:val="00592A99"/>
    <w:rsid w:val="00593B2A"/>
    <w:rsid w:val="00595416"/>
    <w:rsid w:val="00595954"/>
    <w:rsid w:val="005A11A2"/>
    <w:rsid w:val="005A186C"/>
    <w:rsid w:val="005A2872"/>
    <w:rsid w:val="005A433F"/>
    <w:rsid w:val="005A4EA0"/>
    <w:rsid w:val="005A53DB"/>
    <w:rsid w:val="005A6FFA"/>
    <w:rsid w:val="005A7917"/>
    <w:rsid w:val="005B0195"/>
    <w:rsid w:val="005B0353"/>
    <w:rsid w:val="005B0A84"/>
    <w:rsid w:val="005B3085"/>
    <w:rsid w:val="005B5143"/>
    <w:rsid w:val="005B55EA"/>
    <w:rsid w:val="005B6366"/>
    <w:rsid w:val="005B7713"/>
    <w:rsid w:val="005C1EC5"/>
    <w:rsid w:val="005C23A4"/>
    <w:rsid w:val="005C324B"/>
    <w:rsid w:val="005C3712"/>
    <w:rsid w:val="005C488E"/>
    <w:rsid w:val="005C6BA6"/>
    <w:rsid w:val="005D0C3D"/>
    <w:rsid w:val="005D1589"/>
    <w:rsid w:val="005D1595"/>
    <w:rsid w:val="005D1D2F"/>
    <w:rsid w:val="005D41E9"/>
    <w:rsid w:val="005D74B8"/>
    <w:rsid w:val="005E0DB3"/>
    <w:rsid w:val="005E1ABF"/>
    <w:rsid w:val="005E317F"/>
    <w:rsid w:val="005E360D"/>
    <w:rsid w:val="005E41B0"/>
    <w:rsid w:val="005E539D"/>
    <w:rsid w:val="005E5B4A"/>
    <w:rsid w:val="005F06DF"/>
    <w:rsid w:val="005F0721"/>
    <w:rsid w:val="005F1929"/>
    <w:rsid w:val="005F4245"/>
    <w:rsid w:val="005F50B7"/>
    <w:rsid w:val="005F64B4"/>
    <w:rsid w:val="005F6D3C"/>
    <w:rsid w:val="005F7DDE"/>
    <w:rsid w:val="0060091C"/>
    <w:rsid w:val="00600FC8"/>
    <w:rsid w:val="006013F6"/>
    <w:rsid w:val="00602FFF"/>
    <w:rsid w:val="00604664"/>
    <w:rsid w:val="0060473C"/>
    <w:rsid w:val="006071D7"/>
    <w:rsid w:val="00612012"/>
    <w:rsid w:val="00613206"/>
    <w:rsid w:val="006138CD"/>
    <w:rsid w:val="0061459E"/>
    <w:rsid w:val="0061598E"/>
    <w:rsid w:val="006167A7"/>
    <w:rsid w:val="006236EB"/>
    <w:rsid w:val="00626166"/>
    <w:rsid w:val="006265EC"/>
    <w:rsid w:val="006275AD"/>
    <w:rsid w:val="00632B60"/>
    <w:rsid w:val="00633C11"/>
    <w:rsid w:val="00635565"/>
    <w:rsid w:val="00635E10"/>
    <w:rsid w:val="006422FE"/>
    <w:rsid w:val="00642EC1"/>
    <w:rsid w:val="006441AB"/>
    <w:rsid w:val="0064446C"/>
    <w:rsid w:val="006447C3"/>
    <w:rsid w:val="006447E3"/>
    <w:rsid w:val="00646A4B"/>
    <w:rsid w:val="006470F5"/>
    <w:rsid w:val="00647A05"/>
    <w:rsid w:val="0065014B"/>
    <w:rsid w:val="00651C98"/>
    <w:rsid w:val="00651F0E"/>
    <w:rsid w:val="00652929"/>
    <w:rsid w:val="00653E4C"/>
    <w:rsid w:val="00654841"/>
    <w:rsid w:val="00655B3C"/>
    <w:rsid w:val="00655EF3"/>
    <w:rsid w:val="00657602"/>
    <w:rsid w:val="00665ED6"/>
    <w:rsid w:val="0066631D"/>
    <w:rsid w:val="00666D7B"/>
    <w:rsid w:val="0066769F"/>
    <w:rsid w:val="0067032E"/>
    <w:rsid w:val="00670BC3"/>
    <w:rsid w:val="006729AD"/>
    <w:rsid w:val="00674926"/>
    <w:rsid w:val="006759F4"/>
    <w:rsid w:val="00675C98"/>
    <w:rsid w:val="00675E9D"/>
    <w:rsid w:val="0067624F"/>
    <w:rsid w:val="0067750B"/>
    <w:rsid w:val="0068042F"/>
    <w:rsid w:val="006839B0"/>
    <w:rsid w:val="00683BFD"/>
    <w:rsid w:val="006845B4"/>
    <w:rsid w:val="00684D13"/>
    <w:rsid w:val="00685071"/>
    <w:rsid w:val="00686715"/>
    <w:rsid w:val="00686DAE"/>
    <w:rsid w:val="006914DC"/>
    <w:rsid w:val="00691A70"/>
    <w:rsid w:val="00692E79"/>
    <w:rsid w:val="00693ABE"/>
    <w:rsid w:val="00693C95"/>
    <w:rsid w:val="00693D23"/>
    <w:rsid w:val="00694482"/>
    <w:rsid w:val="006A0DC2"/>
    <w:rsid w:val="006A10FC"/>
    <w:rsid w:val="006A2B71"/>
    <w:rsid w:val="006A3E36"/>
    <w:rsid w:val="006A4DED"/>
    <w:rsid w:val="006A5076"/>
    <w:rsid w:val="006A54CE"/>
    <w:rsid w:val="006A7058"/>
    <w:rsid w:val="006A7F0D"/>
    <w:rsid w:val="006B0A82"/>
    <w:rsid w:val="006B0C26"/>
    <w:rsid w:val="006B2378"/>
    <w:rsid w:val="006B27CC"/>
    <w:rsid w:val="006B2D2F"/>
    <w:rsid w:val="006B2F88"/>
    <w:rsid w:val="006B328C"/>
    <w:rsid w:val="006B41B0"/>
    <w:rsid w:val="006B4381"/>
    <w:rsid w:val="006B4E92"/>
    <w:rsid w:val="006B5B17"/>
    <w:rsid w:val="006B6514"/>
    <w:rsid w:val="006B682F"/>
    <w:rsid w:val="006B6DAD"/>
    <w:rsid w:val="006C0AF4"/>
    <w:rsid w:val="006C2B32"/>
    <w:rsid w:val="006C312B"/>
    <w:rsid w:val="006C32F8"/>
    <w:rsid w:val="006C3A34"/>
    <w:rsid w:val="006C4A58"/>
    <w:rsid w:val="006C797E"/>
    <w:rsid w:val="006C7C78"/>
    <w:rsid w:val="006C7D76"/>
    <w:rsid w:val="006D1066"/>
    <w:rsid w:val="006D1EC8"/>
    <w:rsid w:val="006D351B"/>
    <w:rsid w:val="006D430F"/>
    <w:rsid w:val="006D50F9"/>
    <w:rsid w:val="006D6C74"/>
    <w:rsid w:val="006E096D"/>
    <w:rsid w:val="006E0BE4"/>
    <w:rsid w:val="006E16C8"/>
    <w:rsid w:val="006E373F"/>
    <w:rsid w:val="006E3CFA"/>
    <w:rsid w:val="006E5213"/>
    <w:rsid w:val="006E6970"/>
    <w:rsid w:val="006E69AD"/>
    <w:rsid w:val="006E6C13"/>
    <w:rsid w:val="006F02AA"/>
    <w:rsid w:val="006F0BC2"/>
    <w:rsid w:val="006F1131"/>
    <w:rsid w:val="006F2CEC"/>
    <w:rsid w:val="006F338E"/>
    <w:rsid w:val="006F4997"/>
    <w:rsid w:val="006F4C20"/>
    <w:rsid w:val="006F500D"/>
    <w:rsid w:val="006F5409"/>
    <w:rsid w:val="006F5426"/>
    <w:rsid w:val="006F5675"/>
    <w:rsid w:val="006F5BE0"/>
    <w:rsid w:val="006F5EDC"/>
    <w:rsid w:val="006F720E"/>
    <w:rsid w:val="007000D1"/>
    <w:rsid w:val="007002F5"/>
    <w:rsid w:val="00700EF6"/>
    <w:rsid w:val="0070298A"/>
    <w:rsid w:val="00702E2C"/>
    <w:rsid w:val="007033A1"/>
    <w:rsid w:val="007035DA"/>
    <w:rsid w:val="0070471E"/>
    <w:rsid w:val="00705955"/>
    <w:rsid w:val="00705BE5"/>
    <w:rsid w:val="00705C52"/>
    <w:rsid w:val="00705D84"/>
    <w:rsid w:val="007071D4"/>
    <w:rsid w:val="007103E9"/>
    <w:rsid w:val="00710504"/>
    <w:rsid w:val="00711923"/>
    <w:rsid w:val="00712517"/>
    <w:rsid w:val="00712BE5"/>
    <w:rsid w:val="007164EB"/>
    <w:rsid w:val="0072089A"/>
    <w:rsid w:val="007209AB"/>
    <w:rsid w:val="00720A8A"/>
    <w:rsid w:val="00721519"/>
    <w:rsid w:val="00722BA5"/>
    <w:rsid w:val="00723498"/>
    <w:rsid w:val="00725D49"/>
    <w:rsid w:val="00725F20"/>
    <w:rsid w:val="00730BA7"/>
    <w:rsid w:val="00730CA1"/>
    <w:rsid w:val="00732032"/>
    <w:rsid w:val="007321AE"/>
    <w:rsid w:val="00733585"/>
    <w:rsid w:val="007336BA"/>
    <w:rsid w:val="00734943"/>
    <w:rsid w:val="00734C70"/>
    <w:rsid w:val="00735A3D"/>
    <w:rsid w:val="007367D7"/>
    <w:rsid w:val="00737A86"/>
    <w:rsid w:val="00741C13"/>
    <w:rsid w:val="007420A0"/>
    <w:rsid w:val="00743170"/>
    <w:rsid w:val="00744B34"/>
    <w:rsid w:val="00745276"/>
    <w:rsid w:val="007452B2"/>
    <w:rsid w:val="007457CA"/>
    <w:rsid w:val="00745AB8"/>
    <w:rsid w:val="00747F33"/>
    <w:rsid w:val="00750E84"/>
    <w:rsid w:val="00751B64"/>
    <w:rsid w:val="00753119"/>
    <w:rsid w:val="00753280"/>
    <w:rsid w:val="0075540C"/>
    <w:rsid w:val="00755F67"/>
    <w:rsid w:val="00757835"/>
    <w:rsid w:val="00757DB2"/>
    <w:rsid w:val="0076087E"/>
    <w:rsid w:val="00760CBC"/>
    <w:rsid w:val="00760E86"/>
    <w:rsid w:val="00761874"/>
    <w:rsid w:val="00761AB2"/>
    <w:rsid w:val="007632AE"/>
    <w:rsid w:val="007639F0"/>
    <w:rsid w:val="00767934"/>
    <w:rsid w:val="00767CDF"/>
    <w:rsid w:val="00767D50"/>
    <w:rsid w:val="00770C3D"/>
    <w:rsid w:val="007716EB"/>
    <w:rsid w:val="00772CDC"/>
    <w:rsid w:val="007733B8"/>
    <w:rsid w:val="00774844"/>
    <w:rsid w:val="007765E2"/>
    <w:rsid w:val="00780752"/>
    <w:rsid w:val="00780E62"/>
    <w:rsid w:val="00781C17"/>
    <w:rsid w:val="007823A5"/>
    <w:rsid w:val="007839E0"/>
    <w:rsid w:val="007849C6"/>
    <w:rsid w:val="00784AA4"/>
    <w:rsid w:val="00784EB6"/>
    <w:rsid w:val="007852E5"/>
    <w:rsid w:val="00785949"/>
    <w:rsid w:val="00785BF4"/>
    <w:rsid w:val="00787168"/>
    <w:rsid w:val="007905E9"/>
    <w:rsid w:val="007911BF"/>
    <w:rsid w:val="00791FB8"/>
    <w:rsid w:val="007923A6"/>
    <w:rsid w:val="007955FB"/>
    <w:rsid w:val="00795673"/>
    <w:rsid w:val="0079680D"/>
    <w:rsid w:val="00797D5F"/>
    <w:rsid w:val="007A0064"/>
    <w:rsid w:val="007A0351"/>
    <w:rsid w:val="007A09DF"/>
    <w:rsid w:val="007A41CD"/>
    <w:rsid w:val="007A49E0"/>
    <w:rsid w:val="007A5ECC"/>
    <w:rsid w:val="007A602E"/>
    <w:rsid w:val="007A6C0B"/>
    <w:rsid w:val="007B0EB2"/>
    <w:rsid w:val="007B1C55"/>
    <w:rsid w:val="007B29A7"/>
    <w:rsid w:val="007B34F2"/>
    <w:rsid w:val="007B7A23"/>
    <w:rsid w:val="007C17D7"/>
    <w:rsid w:val="007C188D"/>
    <w:rsid w:val="007C262E"/>
    <w:rsid w:val="007C3AE4"/>
    <w:rsid w:val="007C5650"/>
    <w:rsid w:val="007C5DF4"/>
    <w:rsid w:val="007C6BCD"/>
    <w:rsid w:val="007D00AF"/>
    <w:rsid w:val="007D153A"/>
    <w:rsid w:val="007D1623"/>
    <w:rsid w:val="007D6C3F"/>
    <w:rsid w:val="007D7CA8"/>
    <w:rsid w:val="007E0119"/>
    <w:rsid w:val="007E137D"/>
    <w:rsid w:val="007E3809"/>
    <w:rsid w:val="007E3B90"/>
    <w:rsid w:val="007E67A3"/>
    <w:rsid w:val="007E6E14"/>
    <w:rsid w:val="007F08C1"/>
    <w:rsid w:val="007F107F"/>
    <w:rsid w:val="007F21E6"/>
    <w:rsid w:val="007F22B1"/>
    <w:rsid w:val="007F2C6B"/>
    <w:rsid w:val="007F320A"/>
    <w:rsid w:val="007F391B"/>
    <w:rsid w:val="007F6538"/>
    <w:rsid w:val="007F6B3A"/>
    <w:rsid w:val="00800CCA"/>
    <w:rsid w:val="0080243D"/>
    <w:rsid w:val="00802EC1"/>
    <w:rsid w:val="00803C2F"/>
    <w:rsid w:val="00804AF8"/>
    <w:rsid w:val="008056BE"/>
    <w:rsid w:val="00805EAE"/>
    <w:rsid w:val="00806198"/>
    <w:rsid w:val="00807BE2"/>
    <w:rsid w:val="00807CA6"/>
    <w:rsid w:val="00810876"/>
    <w:rsid w:val="00810E1C"/>
    <w:rsid w:val="008124C0"/>
    <w:rsid w:val="00815866"/>
    <w:rsid w:val="00815C39"/>
    <w:rsid w:val="00815FD5"/>
    <w:rsid w:val="0082109F"/>
    <w:rsid w:val="00821E36"/>
    <w:rsid w:val="00822BE4"/>
    <w:rsid w:val="0082306B"/>
    <w:rsid w:val="0082524E"/>
    <w:rsid w:val="00826291"/>
    <w:rsid w:val="008272BB"/>
    <w:rsid w:val="008300EE"/>
    <w:rsid w:val="00830CA9"/>
    <w:rsid w:val="00832903"/>
    <w:rsid w:val="0083319B"/>
    <w:rsid w:val="00833819"/>
    <w:rsid w:val="00834CC3"/>
    <w:rsid w:val="00835DE0"/>
    <w:rsid w:val="00835F67"/>
    <w:rsid w:val="00836358"/>
    <w:rsid w:val="00836F31"/>
    <w:rsid w:val="00842260"/>
    <w:rsid w:val="00842CD0"/>
    <w:rsid w:val="0084430B"/>
    <w:rsid w:val="008453B8"/>
    <w:rsid w:val="0084586B"/>
    <w:rsid w:val="008458BE"/>
    <w:rsid w:val="00845FD2"/>
    <w:rsid w:val="00847B4E"/>
    <w:rsid w:val="00850A0B"/>
    <w:rsid w:val="0085123F"/>
    <w:rsid w:val="008525DB"/>
    <w:rsid w:val="008533EC"/>
    <w:rsid w:val="008553DC"/>
    <w:rsid w:val="00855A08"/>
    <w:rsid w:val="00855FB4"/>
    <w:rsid w:val="00857107"/>
    <w:rsid w:val="008623B8"/>
    <w:rsid w:val="00862A58"/>
    <w:rsid w:val="00862D2D"/>
    <w:rsid w:val="00863127"/>
    <w:rsid w:val="00863323"/>
    <w:rsid w:val="00864C4D"/>
    <w:rsid w:val="00865829"/>
    <w:rsid w:val="00866711"/>
    <w:rsid w:val="00866C48"/>
    <w:rsid w:val="008675C2"/>
    <w:rsid w:val="00871C9B"/>
    <w:rsid w:val="00873B81"/>
    <w:rsid w:val="008740D6"/>
    <w:rsid w:val="00874C99"/>
    <w:rsid w:val="0087716D"/>
    <w:rsid w:val="00877F83"/>
    <w:rsid w:val="008846EC"/>
    <w:rsid w:val="0088500B"/>
    <w:rsid w:val="008858C0"/>
    <w:rsid w:val="00885E7A"/>
    <w:rsid w:val="00885FB0"/>
    <w:rsid w:val="00887076"/>
    <w:rsid w:val="008872DB"/>
    <w:rsid w:val="00887997"/>
    <w:rsid w:val="008901A9"/>
    <w:rsid w:val="00890F99"/>
    <w:rsid w:val="00891097"/>
    <w:rsid w:val="0089129D"/>
    <w:rsid w:val="008919ED"/>
    <w:rsid w:val="0089216C"/>
    <w:rsid w:val="0089221E"/>
    <w:rsid w:val="00893CF1"/>
    <w:rsid w:val="00895413"/>
    <w:rsid w:val="00895426"/>
    <w:rsid w:val="008A019A"/>
    <w:rsid w:val="008A046A"/>
    <w:rsid w:val="008A06C2"/>
    <w:rsid w:val="008A0DC1"/>
    <w:rsid w:val="008A183E"/>
    <w:rsid w:val="008A272A"/>
    <w:rsid w:val="008A3E79"/>
    <w:rsid w:val="008A79C6"/>
    <w:rsid w:val="008A7E82"/>
    <w:rsid w:val="008B2F5B"/>
    <w:rsid w:val="008B310E"/>
    <w:rsid w:val="008B3804"/>
    <w:rsid w:val="008B3A78"/>
    <w:rsid w:val="008B4318"/>
    <w:rsid w:val="008B63A6"/>
    <w:rsid w:val="008B6635"/>
    <w:rsid w:val="008B7B36"/>
    <w:rsid w:val="008C133A"/>
    <w:rsid w:val="008C2128"/>
    <w:rsid w:val="008C2C96"/>
    <w:rsid w:val="008C68E5"/>
    <w:rsid w:val="008C7346"/>
    <w:rsid w:val="008C7D04"/>
    <w:rsid w:val="008D00E2"/>
    <w:rsid w:val="008D0984"/>
    <w:rsid w:val="008D459A"/>
    <w:rsid w:val="008D4941"/>
    <w:rsid w:val="008E0038"/>
    <w:rsid w:val="008E0747"/>
    <w:rsid w:val="008E14EA"/>
    <w:rsid w:val="008E1D73"/>
    <w:rsid w:val="008E28C9"/>
    <w:rsid w:val="008E3A4D"/>
    <w:rsid w:val="008E40D7"/>
    <w:rsid w:val="008E41E2"/>
    <w:rsid w:val="008E4DEB"/>
    <w:rsid w:val="008E5917"/>
    <w:rsid w:val="008E6FDE"/>
    <w:rsid w:val="008E726B"/>
    <w:rsid w:val="008F0B3B"/>
    <w:rsid w:val="008F1B8A"/>
    <w:rsid w:val="008F2FA9"/>
    <w:rsid w:val="008F3164"/>
    <w:rsid w:val="008F3607"/>
    <w:rsid w:val="008F4B3F"/>
    <w:rsid w:val="008F4F1B"/>
    <w:rsid w:val="008F6000"/>
    <w:rsid w:val="00901202"/>
    <w:rsid w:val="00901BA9"/>
    <w:rsid w:val="009028C6"/>
    <w:rsid w:val="009033DD"/>
    <w:rsid w:val="009037D8"/>
    <w:rsid w:val="00904A25"/>
    <w:rsid w:val="00905391"/>
    <w:rsid w:val="00905560"/>
    <w:rsid w:val="00906D92"/>
    <w:rsid w:val="00907549"/>
    <w:rsid w:val="00907580"/>
    <w:rsid w:val="00910B15"/>
    <w:rsid w:val="00911209"/>
    <w:rsid w:val="0091143E"/>
    <w:rsid w:val="00912B69"/>
    <w:rsid w:val="00915416"/>
    <w:rsid w:val="0091584A"/>
    <w:rsid w:val="009164AC"/>
    <w:rsid w:val="00916E87"/>
    <w:rsid w:val="009205E3"/>
    <w:rsid w:val="00921C55"/>
    <w:rsid w:val="00921D85"/>
    <w:rsid w:val="00923C0A"/>
    <w:rsid w:val="00923EFB"/>
    <w:rsid w:val="00924146"/>
    <w:rsid w:val="00927693"/>
    <w:rsid w:val="00927A9D"/>
    <w:rsid w:val="00927FD4"/>
    <w:rsid w:val="00931CFF"/>
    <w:rsid w:val="00932949"/>
    <w:rsid w:val="00933D7D"/>
    <w:rsid w:val="009341FC"/>
    <w:rsid w:val="0094057A"/>
    <w:rsid w:val="0094425A"/>
    <w:rsid w:val="009467F1"/>
    <w:rsid w:val="00946F65"/>
    <w:rsid w:val="00947245"/>
    <w:rsid w:val="0094797F"/>
    <w:rsid w:val="00947F59"/>
    <w:rsid w:val="00950021"/>
    <w:rsid w:val="00950F46"/>
    <w:rsid w:val="00951D63"/>
    <w:rsid w:val="00952CE8"/>
    <w:rsid w:val="00953214"/>
    <w:rsid w:val="0095507F"/>
    <w:rsid w:val="00955A8F"/>
    <w:rsid w:val="0095724F"/>
    <w:rsid w:val="0095727A"/>
    <w:rsid w:val="0096118B"/>
    <w:rsid w:val="00961F27"/>
    <w:rsid w:val="00961FF4"/>
    <w:rsid w:val="009626BB"/>
    <w:rsid w:val="0096286A"/>
    <w:rsid w:val="00965569"/>
    <w:rsid w:val="009709D7"/>
    <w:rsid w:val="00971724"/>
    <w:rsid w:val="009719C0"/>
    <w:rsid w:val="00972A3E"/>
    <w:rsid w:val="009746B6"/>
    <w:rsid w:val="00975A8C"/>
    <w:rsid w:val="009801E7"/>
    <w:rsid w:val="009805C6"/>
    <w:rsid w:val="009815D0"/>
    <w:rsid w:val="00981A18"/>
    <w:rsid w:val="009829E6"/>
    <w:rsid w:val="00982F32"/>
    <w:rsid w:val="0098503B"/>
    <w:rsid w:val="00985413"/>
    <w:rsid w:val="00985838"/>
    <w:rsid w:val="00990091"/>
    <w:rsid w:val="00990A19"/>
    <w:rsid w:val="009919E4"/>
    <w:rsid w:val="00991C96"/>
    <w:rsid w:val="00995BDD"/>
    <w:rsid w:val="0099777D"/>
    <w:rsid w:val="00997BA9"/>
    <w:rsid w:val="009A2250"/>
    <w:rsid w:val="009A3443"/>
    <w:rsid w:val="009A3E34"/>
    <w:rsid w:val="009A73B1"/>
    <w:rsid w:val="009A7870"/>
    <w:rsid w:val="009A7AF7"/>
    <w:rsid w:val="009A7AFF"/>
    <w:rsid w:val="009B12E2"/>
    <w:rsid w:val="009B15FC"/>
    <w:rsid w:val="009B3167"/>
    <w:rsid w:val="009B3F33"/>
    <w:rsid w:val="009B488D"/>
    <w:rsid w:val="009B48A9"/>
    <w:rsid w:val="009B60B7"/>
    <w:rsid w:val="009B63CC"/>
    <w:rsid w:val="009B6A46"/>
    <w:rsid w:val="009C2780"/>
    <w:rsid w:val="009C2C6F"/>
    <w:rsid w:val="009C3017"/>
    <w:rsid w:val="009C31B4"/>
    <w:rsid w:val="009C41EF"/>
    <w:rsid w:val="009C70B2"/>
    <w:rsid w:val="009D17B6"/>
    <w:rsid w:val="009D1903"/>
    <w:rsid w:val="009D1BF6"/>
    <w:rsid w:val="009D23FE"/>
    <w:rsid w:val="009D2462"/>
    <w:rsid w:val="009D2E7A"/>
    <w:rsid w:val="009D4561"/>
    <w:rsid w:val="009D5166"/>
    <w:rsid w:val="009D5E08"/>
    <w:rsid w:val="009D5E8C"/>
    <w:rsid w:val="009D5ECE"/>
    <w:rsid w:val="009D5FA9"/>
    <w:rsid w:val="009D7931"/>
    <w:rsid w:val="009D7B15"/>
    <w:rsid w:val="009E0539"/>
    <w:rsid w:val="009E0FCA"/>
    <w:rsid w:val="009E1473"/>
    <w:rsid w:val="009E2690"/>
    <w:rsid w:val="009E2988"/>
    <w:rsid w:val="009E4212"/>
    <w:rsid w:val="009E572F"/>
    <w:rsid w:val="009E7261"/>
    <w:rsid w:val="009F0C9E"/>
    <w:rsid w:val="009F3E43"/>
    <w:rsid w:val="009F4360"/>
    <w:rsid w:val="009F4387"/>
    <w:rsid w:val="009F645B"/>
    <w:rsid w:val="009F6BD6"/>
    <w:rsid w:val="00A03CB9"/>
    <w:rsid w:val="00A03EF4"/>
    <w:rsid w:val="00A040EF"/>
    <w:rsid w:val="00A0447F"/>
    <w:rsid w:val="00A04680"/>
    <w:rsid w:val="00A06FC7"/>
    <w:rsid w:val="00A1212A"/>
    <w:rsid w:val="00A12468"/>
    <w:rsid w:val="00A12928"/>
    <w:rsid w:val="00A155D9"/>
    <w:rsid w:val="00A15D23"/>
    <w:rsid w:val="00A1720F"/>
    <w:rsid w:val="00A20145"/>
    <w:rsid w:val="00A216A1"/>
    <w:rsid w:val="00A21772"/>
    <w:rsid w:val="00A21897"/>
    <w:rsid w:val="00A22118"/>
    <w:rsid w:val="00A2626A"/>
    <w:rsid w:val="00A26995"/>
    <w:rsid w:val="00A278A2"/>
    <w:rsid w:val="00A27D6C"/>
    <w:rsid w:val="00A30B57"/>
    <w:rsid w:val="00A30EF6"/>
    <w:rsid w:val="00A316AC"/>
    <w:rsid w:val="00A31B36"/>
    <w:rsid w:val="00A32CA2"/>
    <w:rsid w:val="00A32D73"/>
    <w:rsid w:val="00A333AB"/>
    <w:rsid w:val="00A3536C"/>
    <w:rsid w:val="00A37435"/>
    <w:rsid w:val="00A378FA"/>
    <w:rsid w:val="00A40FA4"/>
    <w:rsid w:val="00A41586"/>
    <w:rsid w:val="00A4224E"/>
    <w:rsid w:val="00A44647"/>
    <w:rsid w:val="00A44BE6"/>
    <w:rsid w:val="00A478F8"/>
    <w:rsid w:val="00A47CFE"/>
    <w:rsid w:val="00A501E8"/>
    <w:rsid w:val="00A50B43"/>
    <w:rsid w:val="00A5483B"/>
    <w:rsid w:val="00A54AB2"/>
    <w:rsid w:val="00A5794D"/>
    <w:rsid w:val="00A60CDC"/>
    <w:rsid w:val="00A62226"/>
    <w:rsid w:val="00A642B5"/>
    <w:rsid w:val="00A7226E"/>
    <w:rsid w:val="00A73C77"/>
    <w:rsid w:val="00A75354"/>
    <w:rsid w:val="00A75C19"/>
    <w:rsid w:val="00A80F16"/>
    <w:rsid w:val="00A82004"/>
    <w:rsid w:val="00A8212D"/>
    <w:rsid w:val="00A83668"/>
    <w:rsid w:val="00A8394D"/>
    <w:rsid w:val="00A8465A"/>
    <w:rsid w:val="00A853E9"/>
    <w:rsid w:val="00A8564B"/>
    <w:rsid w:val="00A87002"/>
    <w:rsid w:val="00A87105"/>
    <w:rsid w:val="00A8717A"/>
    <w:rsid w:val="00A918BF"/>
    <w:rsid w:val="00A91DAA"/>
    <w:rsid w:val="00A9269E"/>
    <w:rsid w:val="00A9290E"/>
    <w:rsid w:val="00A97CC7"/>
    <w:rsid w:val="00AA0A63"/>
    <w:rsid w:val="00AA221E"/>
    <w:rsid w:val="00AA316C"/>
    <w:rsid w:val="00AA3884"/>
    <w:rsid w:val="00AA4193"/>
    <w:rsid w:val="00AA4FD7"/>
    <w:rsid w:val="00AA55F8"/>
    <w:rsid w:val="00AA60E6"/>
    <w:rsid w:val="00AA7578"/>
    <w:rsid w:val="00AB04EA"/>
    <w:rsid w:val="00AB1894"/>
    <w:rsid w:val="00AB26DE"/>
    <w:rsid w:val="00AB4895"/>
    <w:rsid w:val="00AB5A86"/>
    <w:rsid w:val="00AB5CD3"/>
    <w:rsid w:val="00AB6645"/>
    <w:rsid w:val="00AB6B22"/>
    <w:rsid w:val="00AC0ED5"/>
    <w:rsid w:val="00AC1AAE"/>
    <w:rsid w:val="00AC44D4"/>
    <w:rsid w:val="00AC5446"/>
    <w:rsid w:val="00AC5A6D"/>
    <w:rsid w:val="00AC5EE8"/>
    <w:rsid w:val="00AC6169"/>
    <w:rsid w:val="00AC6F3D"/>
    <w:rsid w:val="00AC7306"/>
    <w:rsid w:val="00AD0635"/>
    <w:rsid w:val="00AD109C"/>
    <w:rsid w:val="00AD16F8"/>
    <w:rsid w:val="00AD2475"/>
    <w:rsid w:val="00AD312F"/>
    <w:rsid w:val="00AD5398"/>
    <w:rsid w:val="00AD5BD0"/>
    <w:rsid w:val="00AE19C3"/>
    <w:rsid w:val="00AE22D6"/>
    <w:rsid w:val="00AE3389"/>
    <w:rsid w:val="00AE494A"/>
    <w:rsid w:val="00AE4B91"/>
    <w:rsid w:val="00AE4CDB"/>
    <w:rsid w:val="00AE5807"/>
    <w:rsid w:val="00AE59C4"/>
    <w:rsid w:val="00AE5EF8"/>
    <w:rsid w:val="00AF07E6"/>
    <w:rsid w:val="00AF1C1B"/>
    <w:rsid w:val="00AF1F1D"/>
    <w:rsid w:val="00AF1FE8"/>
    <w:rsid w:val="00AF3A92"/>
    <w:rsid w:val="00AF5097"/>
    <w:rsid w:val="00AF59ED"/>
    <w:rsid w:val="00AF6800"/>
    <w:rsid w:val="00B014AA"/>
    <w:rsid w:val="00B01D9A"/>
    <w:rsid w:val="00B01DD2"/>
    <w:rsid w:val="00B01EEE"/>
    <w:rsid w:val="00B0340C"/>
    <w:rsid w:val="00B10305"/>
    <w:rsid w:val="00B10534"/>
    <w:rsid w:val="00B1056E"/>
    <w:rsid w:val="00B11349"/>
    <w:rsid w:val="00B1135A"/>
    <w:rsid w:val="00B12A65"/>
    <w:rsid w:val="00B12B28"/>
    <w:rsid w:val="00B14CC2"/>
    <w:rsid w:val="00B15A85"/>
    <w:rsid w:val="00B15F8B"/>
    <w:rsid w:val="00B16F44"/>
    <w:rsid w:val="00B17C9D"/>
    <w:rsid w:val="00B20EEE"/>
    <w:rsid w:val="00B21980"/>
    <w:rsid w:val="00B21D92"/>
    <w:rsid w:val="00B2217F"/>
    <w:rsid w:val="00B22434"/>
    <w:rsid w:val="00B239AB"/>
    <w:rsid w:val="00B23D4C"/>
    <w:rsid w:val="00B24344"/>
    <w:rsid w:val="00B2481F"/>
    <w:rsid w:val="00B24C81"/>
    <w:rsid w:val="00B256D1"/>
    <w:rsid w:val="00B25924"/>
    <w:rsid w:val="00B306D9"/>
    <w:rsid w:val="00B339D9"/>
    <w:rsid w:val="00B37062"/>
    <w:rsid w:val="00B42A84"/>
    <w:rsid w:val="00B441B0"/>
    <w:rsid w:val="00B4439A"/>
    <w:rsid w:val="00B44F10"/>
    <w:rsid w:val="00B454F3"/>
    <w:rsid w:val="00B46997"/>
    <w:rsid w:val="00B46F3A"/>
    <w:rsid w:val="00B50571"/>
    <w:rsid w:val="00B51938"/>
    <w:rsid w:val="00B5282A"/>
    <w:rsid w:val="00B530A6"/>
    <w:rsid w:val="00B53FD3"/>
    <w:rsid w:val="00B55358"/>
    <w:rsid w:val="00B560CA"/>
    <w:rsid w:val="00B56A9E"/>
    <w:rsid w:val="00B60A73"/>
    <w:rsid w:val="00B61A4C"/>
    <w:rsid w:val="00B621C2"/>
    <w:rsid w:val="00B6330A"/>
    <w:rsid w:val="00B648ED"/>
    <w:rsid w:val="00B66470"/>
    <w:rsid w:val="00B7248E"/>
    <w:rsid w:val="00B73776"/>
    <w:rsid w:val="00B7380E"/>
    <w:rsid w:val="00B73972"/>
    <w:rsid w:val="00B754BA"/>
    <w:rsid w:val="00B75A53"/>
    <w:rsid w:val="00B77C81"/>
    <w:rsid w:val="00B809D5"/>
    <w:rsid w:val="00B83BD4"/>
    <w:rsid w:val="00B85264"/>
    <w:rsid w:val="00B8546A"/>
    <w:rsid w:val="00B86343"/>
    <w:rsid w:val="00B86596"/>
    <w:rsid w:val="00B8686C"/>
    <w:rsid w:val="00B90FC5"/>
    <w:rsid w:val="00B91291"/>
    <w:rsid w:val="00B92921"/>
    <w:rsid w:val="00B929F4"/>
    <w:rsid w:val="00B93569"/>
    <w:rsid w:val="00B95499"/>
    <w:rsid w:val="00BA0836"/>
    <w:rsid w:val="00BA3D29"/>
    <w:rsid w:val="00BA45AB"/>
    <w:rsid w:val="00BA4E7E"/>
    <w:rsid w:val="00BA54E8"/>
    <w:rsid w:val="00BA58CA"/>
    <w:rsid w:val="00BA5C46"/>
    <w:rsid w:val="00BA60F8"/>
    <w:rsid w:val="00BA6811"/>
    <w:rsid w:val="00BA780A"/>
    <w:rsid w:val="00BB17A7"/>
    <w:rsid w:val="00BB1939"/>
    <w:rsid w:val="00BB205E"/>
    <w:rsid w:val="00BB274D"/>
    <w:rsid w:val="00BB3C84"/>
    <w:rsid w:val="00BB50C4"/>
    <w:rsid w:val="00BC009D"/>
    <w:rsid w:val="00BC04F2"/>
    <w:rsid w:val="00BC4FE7"/>
    <w:rsid w:val="00BC5B27"/>
    <w:rsid w:val="00BC69EA"/>
    <w:rsid w:val="00BC7141"/>
    <w:rsid w:val="00BC727F"/>
    <w:rsid w:val="00BD119A"/>
    <w:rsid w:val="00BD131B"/>
    <w:rsid w:val="00BD2672"/>
    <w:rsid w:val="00BD2F89"/>
    <w:rsid w:val="00BD3747"/>
    <w:rsid w:val="00BD4581"/>
    <w:rsid w:val="00BD521C"/>
    <w:rsid w:val="00BD5DF1"/>
    <w:rsid w:val="00BD6A52"/>
    <w:rsid w:val="00BE007E"/>
    <w:rsid w:val="00BE02C9"/>
    <w:rsid w:val="00BE0C59"/>
    <w:rsid w:val="00BE0F2D"/>
    <w:rsid w:val="00BE184A"/>
    <w:rsid w:val="00BE27BE"/>
    <w:rsid w:val="00BE32AF"/>
    <w:rsid w:val="00BE4DAE"/>
    <w:rsid w:val="00BE5665"/>
    <w:rsid w:val="00BE5CC5"/>
    <w:rsid w:val="00BE638A"/>
    <w:rsid w:val="00BE7588"/>
    <w:rsid w:val="00BF0BB2"/>
    <w:rsid w:val="00BF142D"/>
    <w:rsid w:val="00BF1B22"/>
    <w:rsid w:val="00BF1D4E"/>
    <w:rsid w:val="00BF1E5F"/>
    <w:rsid w:val="00BF2749"/>
    <w:rsid w:val="00BF2CB5"/>
    <w:rsid w:val="00BF5DB5"/>
    <w:rsid w:val="00BF70E9"/>
    <w:rsid w:val="00C003D6"/>
    <w:rsid w:val="00C008F2"/>
    <w:rsid w:val="00C00947"/>
    <w:rsid w:val="00C02049"/>
    <w:rsid w:val="00C02F61"/>
    <w:rsid w:val="00C0492F"/>
    <w:rsid w:val="00C04CCF"/>
    <w:rsid w:val="00C05159"/>
    <w:rsid w:val="00C05500"/>
    <w:rsid w:val="00C0561B"/>
    <w:rsid w:val="00C063B4"/>
    <w:rsid w:val="00C07636"/>
    <w:rsid w:val="00C07D0F"/>
    <w:rsid w:val="00C10661"/>
    <w:rsid w:val="00C13C66"/>
    <w:rsid w:val="00C13C80"/>
    <w:rsid w:val="00C15D9E"/>
    <w:rsid w:val="00C20A32"/>
    <w:rsid w:val="00C20BF4"/>
    <w:rsid w:val="00C2318C"/>
    <w:rsid w:val="00C24655"/>
    <w:rsid w:val="00C24B29"/>
    <w:rsid w:val="00C27053"/>
    <w:rsid w:val="00C270BB"/>
    <w:rsid w:val="00C27454"/>
    <w:rsid w:val="00C305B3"/>
    <w:rsid w:val="00C3089D"/>
    <w:rsid w:val="00C31425"/>
    <w:rsid w:val="00C31AD5"/>
    <w:rsid w:val="00C31E40"/>
    <w:rsid w:val="00C32CD1"/>
    <w:rsid w:val="00C341AC"/>
    <w:rsid w:val="00C35555"/>
    <w:rsid w:val="00C359F1"/>
    <w:rsid w:val="00C36300"/>
    <w:rsid w:val="00C36636"/>
    <w:rsid w:val="00C379B6"/>
    <w:rsid w:val="00C37D6A"/>
    <w:rsid w:val="00C40F26"/>
    <w:rsid w:val="00C41D73"/>
    <w:rsid w:val="00C421BD"/>
    <w:rsid w:val="00C428BB"/>
    <w:rsid w:val="00C42CE9"/>
    <w:rsid w:val="00C43C8B"/>
    <w:rsid w:val="00C43DFB"/>
    <w:rsid w:val="00C50BC6"/>
    <w:rsid w:val="00C52977"/>
    <w:rsid w:val="00C52C63"/>
    <w:rsid w:val="00C54051"/>
    <w:rsid w:val="00C54620"/>
    <w:rsid w:val="00C55D33"/>
    <w:rsid w:val="00C56B48"/>
    <w:rsid w:val="00C60A6F"/>
    <w:rsid w:val="00C611CC"/>
    <w:rsid w:val="00C6150B"/>
    <w:rsid w:val="00C641CF"/>
    <w:rsid w:val="00C644D9"/>
    <w:rsid w:val="00C64C60"/>
    <w:rsid w:val="00C6506C"/>
    <w:rsid w:val="00C658B8"/>
    <w:rsid w:val="00C65E58"/>
    <w:rsid w:val="00C66931"/>
    <w:rsid w:val="00C71416"/>
    <w:rsid w:val="00C714DC"/>
    <w:rsid w:val="00C7267F"/>
    <w:rsid w:val="00C74107"/>
    <w:rsid w:val="00C745DA"/>
    <w:rsid w:val="00C75910"/>
    <w:rsid w:val="00C76237"/>
    <w:rsid w:val="00C76E2F"/>
    <w:rsid w:val="00C77B97"/>
    <w:rsid w:val="00C77C83"/>
    <w:rsid w:val="00C801D6"/>
    <w:rsid w:val="00C80554"/>
    <w:rsid w:val="00C81193"/>
    <w:rsid w:val="00C81A89"/>
    <w:rsid w:val="00C81E79"/>
    <w:rsid w:val="00C833E6"/>
    <w:rsid w:val="00C839B4"/>
    <w:rsid w:val="00C83E1E"/>
    <w:rsid w:val="00C83F79"/>
    <w:rsid w:val="00C85192"/>
    <w:rsid w:val="00C85952"/>
    <w:rsid w:val="00C86A4E"/>
    <w:rsid w:val="00C86C6F"/>
    <w:rsid w:val="00C87265"/>
    <w:rsid w:val="00C8741A"/>
    <w:rsid w:val="00C87DF9"/>
    <w:rsid w:val="00C90DB8"/>
    <w:rsid w:val="00C9355B"/>
    <w:rsid w:val="00C94270"/>
    <w:rsid w:val="00C942C9"/>
    <w:rsid w:val="00C946E6"/>
    <w:rsid w:val="00C95726"/>
    <w:rsid w:val="00C95C4C"/>
    <w:rsid w:val="00C963B7"/>
    <w:rsid w:val="00C97E6E"/>
    <w:rsid w:val="00CA0C8E"/>
    <w:rsid w:val="00CA11F2"/>
    <w:rsid w:val="00CA2D04"/>
    <w:rsid w:val="00CA3B8A"/>
    <w:rsid w:val="00CA3CB2"/>
    <w:rsid w:val="00CB00DF"/>
    <w:rsid w:val="00CB2A3A"/>
    <w:rsid w:val="00CB4F90"/>
    <w:rsid w:val="00CB6D8B"/>
    <w:rsid w:val="00CC0109"/>
    <w:rsid w:val="00CC03B8"/>
    <w:rsid w:val="00CC12AE"/>
    <w:rsid w:val="00CC312A"/>
    <w:rsid w:val="00CC4CB3"/>
    <w:rsid w:val="00CC5ABA"/>
    <w:rsid w:val="00CC6373"/>
    <w:rsid w:val="00CD0041"/>
    <w:rsid w:val="00CD07C2"/>
    <w:rsid w:val="00CD09D7"/>
    <w:rsid w:val="00CD1C47"/>
    <w:rsid w:val="00CD2864"/>
    <w:rsid w:val="00CD39E0"/>
    <w:rsid w:val="00CD424C"/>
    <w:rsid w:val="00CD4DCA"/>
    <w:rsid w:val="00CD5768"/>
    <w:rsid w:val="00CD7D52"/>
    <w:rsid w:val="00CE0900"/>
    <w:rsid w:val="00CE18CE"/>
    <w:rsid w:val="00CE2E2E"/>
    <w:rsid w:val="00CE3039"/>
    <w:rsid w:val="00CE47E8"/>
    <w:rsid w:val="00CE56D2"/>
    <w:rsid w:val="00CE6959"/>
    <w:rsid w:val="00CE6F0F"/>
    <w:rsid w:val="00CE7312"/>
    <w:rsid w:val="00CE7344"/>
    <w:rsid w:val="00CE7E27"/>
    <w:rsid w:val="00CF0BDA"/>
    <w:rsid w:val="00CF26D3"/>
    <w:rsid w:val="00CF3C99"/>
    <w:rsid w:val="00CF6A44"/>
    <w:rsid w:val="00CF7708"/>
    <w:rsid w:val="00CF7A87"/>
    <w:rsid w:val="00CF7DC0"/>
    <w:rsid w:val="00D0268B"/>
    <w:rsid w:val="00D04525"/>
    <w:rsid w:val="00D04893"/>
    <w:rsid w:val="00D05A13"/>
    <w:rsid w:val="00D05E6C"/>
    <w:rsid w:val="00D066D4"/>
    <w:rsid w:val="00D07A52"/>
    <w:rsid w:val="00D10417"/>
    <w:rsid w:val="00D10F39"/>
    <w:rsid w:val="00D13372"/>
    <w:rsid w:val="00D152A1"/>
    <w:rsid w:val="00D1630E"/>
    <w:rsid w:val="00D208D4"/>
    <w:rsid w:val="00D21753"/>
    <w:rsid w:val="00D220EB"/>
    <w:rsid w:val="00D22C40"/>
    <w:rsid w:val="00D23485"/>
    <w:rsid w:val="00D244D6"/>
    <w:rsid w:val="00D24E96"/>
    <w:rsid w:val="00D25377"/>
    <w:rsid w:val="00D26691"/>
    <w:rsid w:val="00D26703"/>
    <w:rsid w:val="00D27313"/>
    <w:rsid w:val="00D27DDF"/>
    <w:rsid w:val="00D31BE9"/>
    <w:rsid w:val="00D31E0A"/>
    <w:rsid w:val="00D34F3C"/>
    <w:rsid w:val="00D36474"/>
    <w:rsid w:val="00D36E3A"/>
    <w:rsid w:val="00D37DB4"/>
    <w:rsid w:val="00D40694"/>
    <w:rsid w:val="00D4086E"/>
    <w:rsid w:val="00D42385"/>
    <w:rsid w:val="00D462D4"/>
    <w:rsid w:val="00D518EC"/>
    <w:rsid w:val="00D528B8"/>
    <w:rsid w:val="00D54008"/>
    <w:rsid w:val="00D542EC"/>
    <w:rsid w:val="00D56329"/>
    <w:rsid w:val="00D56879"/>
    <w:rsid w:val="00D604B4"/>
    <w:rsid w:val="00D6090B"/>
    <w:rsid w:val="00D616AA"/>
    <w:rsid w:val="00D63F47"/>
    <w:rsid w:val="00D653F4"/>
    <w:rsid w:val="00D65907"/>
    <w:rsid w:val="00D65CD4"/>
    <w:rsid w:val="00D66669"/>
    <w:rsid w:val="00D70D6A"/>
    <w:rsid w:val="00D718B6"/>
    <w:rsid w:val="00D71F7C"/>
    <w:rsid w:val="00D72EAE"/>
    <w:rsid w:val="00D73214"/>
    <w:rsid w:val="00D737DA"/>
    <w:rsid w:val="00D739F6"/>
    <w:rsid w:val="00D743CF"/>
    <w:rsid w:val="00D74869"/>
    <w:rsid w:val="00D748A5"/>
    <w:rsid w:val="00D75F35"/>
    <w:rsid w:val="00D760A8"/>
    <w:rsid w:val="00D76E7E"/>
    <w:rsid w:val="00D812DF"/>
    <w:rsid w:val="00D8626D"/>
    <w:rsid w:val="00D8698F"/>
    <w:rsid w:val="00D91360"/>
    <w:rsid w:val="00D92B28"/>
    <w:rsid w:val="00D9341A"/>
    <w:rsid w:val="00D95595"/>
    <w:rsid w:val="00DA0B19"/>
    <w:rsid w:val="00DA167F"/>
    <w:rsid w:val="00DA2A53"/>
    <w:rsid w:val="00DA36F6"/>
    <w:rsid w:val="00DA5472"/>
    <w:rsid w:val="00DA6BA8"/>
    <w:rsid w:val="00DA74C4"/>
    <w:rsid w:val="00DA78DA"/>
    <w:rsid w:val="00DB07D3"/>
    <w:rsid w:val="00DB18F8"/>
    <w:rsid w:val="00DB3518"/>
    <w:rsid w:val="00DB39AE"/>
    <w:rsid w:val="00DB5637"/>
    <w:rsid w:val="00DB6294"/>
    <w:rsid w:val="00DB71D1"/>
    <w:rsid w:val="00DB7D29"/>
    <w:rsid w:val="00DC1C1B"/>
    <w:rsid w:val="00DC2AF2"/>
    <w:rsid w:val="00DC2E46"/>
    <w:rsid w:val="00DC3BC9"/>
    <w:rsid w:val="00DC413E"/>
    <w:rsid w:val="00DC49E0"/>
    <w:rsid w:val="00DC52AC"/>
    <w:rsid w:val="00DC6357"/>
    <w:rsid w:val="00DC63B6"/>
    <w:rsid w:val="00DD08A2"/>
    <w:rsid w:val="00DD1255"/>
    <w:rsid w:val="00DD1D3A"/>
    <w:rsid w:val="00DD27F1"/>
    <w:rsid w:val="00DD2A12"/>
    <w:rsid w:val="00DD4835"/>
    <w:rsid w:val="00DD5B45"/>
    <w:rsid w:val="00DD608D"/>
    <w:rsid w:val="00DD6605"/>
    <w:rsid w:val="00DD6FEA"/>
    <w:rsid w:val="00DD7D0C"/>
    <w:rsid w:val="00DE030E"/>
    <w:rsid w:val="00DE252F"/>
    <w:rsid w:val="00DE329B"/>
    <w:rsid w:val="00DE347F"/>
    <w:rsid w:val="00DE4351"/>
    <w:rsid w:val="00DE4CBB"/>
    <w:rsid w:val="00DE682A"/>
    <w:rsid w:val="00DE6987"/>
    <w:rsid w:val="00DE6C9F"/>
    <w:rsid w:val="00DE6D6C"/>
    <w:rsid w:val="00DE72A9"/>
    <w:rsid w:val="00DE7F55"/>
    <w:rsid w:val="00DF0C58"/>
    <w:rsid w:val="00DF0ED5"/>
    <w:rsid w:val="00DF1552"/>
    <w:rsid w:val="00DF2853"/>
    <w:rsid w:val="00DF45C4"/>
    <w:rsid w:val="00DF5756"/>
    <w:rsid w:val="00DF5A59"/>
    <w:rsid w:val="00DF61B6"/>
    <w:rsid w:val="00E015B6"/>
    <w:rsid w:val="00E02CE5"/>
    <w:rsid w:val="00E04668"/>
    <w:rsid w:val="00E07B4F"/>
    <w:rsid w:val="00E10049"/>
    <w:rsid w:val="00E105A9"/>
    <w:rsid w:val="00E10CCF"/>
    <w:rsid w:val="00E12382"/>
    <w:rsid w:val="00E12C10"/>
    <w:rsid w:val="00E13A7A"/>
    <w:rsid w:val="00E14EEF"/>
    <w:rsid w:val="00E163BA"/>
    <w:rsid w:val="00E1711B"/>
    <w:rsid w:val="00E21494"/>
    <w:rsid w:val="00E21E60"/>
    <w:rsid w:val="00E2357A"/>
    <w:rsid w:val="00E24EC7"/>
    <w:rsid w:val="00E2542A"/>
    <w:rsid w:val="00E2761E"/>
    <w:rsid w:val="00E306B7"/>
    <w:rsid w:val="00E30F51"/>
    <w:rsid w:val="00E31F5D"/>
    <w:rsid w:val="00E34C86"/>
    <w:rsid w:val="00E376B2"/>
    <w:rsid w:val="00E37FEE"/>
    <w:rsid w:val="00E40A7D"/>
    <w:rsid w:val="00E4173D"/>
    <w:rsid w:val="00E42B27"/>
    <w:rsid w:val="00E437DF"/>
    <w:rsid w:val="00E47909"/>
    <w:rsid w:val="00E47EEE"/>
    <w:rsid w:val="00E5009F"/>
    <w:rsid w:val="00E51102"/>
    <w:rsid w:val="00E52332"/>
    <w:rsid w:val="00E536CD"/>
    <w:rsid w:val="00E541DC"/>
    <w:rsid w:val="00E5538B"/>
    <w:rsid w:val="00E55B4F"/>
    <w:rsid w:val="00E55E5C"/>
    <w:rsid w:val="00E6684E"/>
    <w:rsid w:val="00E66D03"/>
    <w:rsid w:val="00E710CC"/>
    <w:rsid w:val="00E71818"/>
    <w:rsid w:val="00E74846"/>
    <w:rsid w:val="00E74B2E"/>
    <w:rsid w:val="00E77555"/>
    <w:rsid w:val="00E7795A"/>
    <w:rsid w:val="00E77A48"/>
    <w:rsid w:val="00E80482"/>
    <w:rsid w:val="00E8111B"/>
    <w:rsid w:val="00E817C8"/>
    <w:rsid w:val="00E81E86"/>
    <w:rsid w:val="00E83F6A"/>
    <w:rsid w:val="00E8448E"/>
    <w:rsid w:val="00E85B54"/>
    <w:rsid w:val="00E862C6"/>
    <w:rsid w:val="00E86436"/>
    <w:rsid w:val="00E875A1"/>
    <w:rsid w:val="00E87734"/>
    <w:rsid w:val="00E900E0"/>
    <w:rsid w:val="00E90174"/>
    <w:rsid w:val="00E9181A"/>
    <w:rsid w:val="00E91D9F"/>
    <w:rsid w:val="00E92C45"/>
    <w:rsid w:val="00E945AA"/>
    <w:rsid w:val="00E94A9D"/>
    <w:rsid w:val="00E94FE1"/>
    <w:rsid w:val="00E9501B"/>
    <w:rsid w:val="00E95C4A"/>
    <w:rsid w:val="00E95F50"/>
    <w:rsid w:val="00E96B44"/>
    <w:rsid w:val="00E9707F"/>
    <w:rsid w:val="00E972CE"/>
    <w:rsid w:val="00E97C54"/>
    <w:rsid w:val="00EA1757"/>
    <w:rsid w:val="00EA2309"/>
    <w:rsid w:val="00EA2C4D"/>
    <w:rsid w:val="00EA2E00"/>
    <w:rsid w:val="00EA3103"/>
    <w:rsid w:val="00EA5409"/>
    <w:rsid w:val="00EA5924"/>
    <w:rsid w:val="00EA656C"/>
    <w:rsid w:val="00EA7F29"/>
    <w:rsid w:val="00EB0791"/>
    <w:rsid w:val="00EB2961"/>
    <w:rsid w:val="00EB3922"/>
    <w:rsid w:val="00EB4858"/>
    <w:rsid w:val="00EB4BC1"/>
    <w:rsid w:val="00EB5640"/>
    <w:rsid w:val="00EB5D04"/>
    <w:rsid w:val="00EB679A"/>
    <w:rsid w:val="00EC0786"/>
    <w:rsid w:val="00EC22A3"/>
    <w:rsid w:val="00EC438B"/>
    <w:rsid w:val="00EC5B45"/>
    <w:rsid w:val="00EC5BF0"/>
    <w:rsid w:val="00EC67C8"/>
    <w:rsid w:val="00EC6ABE"/>
    <w:rsid w:val="00EC7871"/>
    <w:rsid w:val="00EC7BFD"/>
    <w:rsid w:val="00ED04C5"/>
    <w:rsid w:val="00ED124A"/>
    <w:rsid w:val="00ED2D6D"/>
    <w:rsid w:val="00ED313A"/>
    <w:rsid w:val="00ED5808"/>
    <w:rsid w:val="00ED61DF"/>
    <w:rsid w:val="00ED66EC"/>
    <w:rsid w:val="00EE0677"/>
    <w:rsid w:val="00EE09C8"/>
    <w:rsid w:val="00EE3C72"/>
    <w:rsid w:val="00EE5E4B"/>
    <w:rsid w:val="00EF156D"/>
    <w:rsid w:val="00EF1941"/>
    <w:rsid w:val="00EF1FF1"/>
    <w:rsid w:val="00EF24DB"/>
    <w:rsid w:val="00EF3AB3"/>
    <w:rsid w:val="00EF3D08"/>
    <w:rsid w:val="00EF4C06"/>
    <w:rsid w:val="00EF4C36"/>
    <w:rsid w:val="00EF586B"/>
    <w:rsid w:val="00EF7C9F"/>
    <w:rsid w:val="00F00D53"/>
    <w:rsid w:val="00F0161B"/>
    <w:rsid w:val="00F0423C"/>
    <w:rsid w:val="00F06218"/>
    <w:rsid w:val="00F06772"/>
    <w:rsid w:val="00F06BD8"/>
    <w:rsid w:val="00F078F5"/>
    <w:rsid w:val="00F07D10"/>
    <w:rsid w:val="00F12759"/>
    <w:rsid w:val="00F12FB2"/>
    <w:rsid w:val="00F16083"/>
    <w:rsid w:val="00F16188"/>
    <w:rsid w:val="00F1640A"/>
    <w:rsid w:val="00F16781"/>
    <w:rsid w:val="00F16FAE"/>
    <w:rsid w:val="00F17473"/>
    <w:rsid w:val="00F235AD"/>
    <w:rsid w:val="00F250F0"/>
    <w:rsid w:val="00F25533"/>
    <w:rsid w:val="00F26627"/>
    <w:rsid w:val="00F2681F"/>
    <w:rsid w:val="00F26838"/>
    <w:rsid w:val="00F26854"/>
    <w:rsid w:val="00F31F42"/>
    <w:rsid w:val="00F32FD0"/>
    <w:rsid w:val="00F33954"/>
    <w:rsid w:val="00F33DCE"/>
    <w:rsid w:val="00F34A69"/>
    <w:rsid w:val="00F357BF"/>
    <w:rsid w:val="00F35975"/>
    <w:rsid w:val="00F361AD"/>
    <w:rsid w:val="00F3635C"/>
    <w:rsid w:val="00F36C8E"/>
    <w:rsid w:val="00F3781B"/>
    <w:rsid w:val="00F407E3"/>
    <w:rsid w:val="00F41DD3"/>
    <w:rsid w:val="00F4348C"/>
    <w:rsid w:val="00F434B6"/>
    <w:rsid w:val="00F447C8"/>
    <w:rsid w:val="00F44D20"/>
    <w:rsid w:val="00F4500D"/>
    <w:rsid w:val="00F47869"/>
    <w:rsid w:val="00F50246"/>
    <w:rsid w:val="00F51F63"/>
    <w:rsid w:val="00F53333"/>
    <w:rsid w:val="00F53E6A"/>
    <w:rsid w:val="00F5462B"/>
    <w:rsid w:val="00F60A50"/>
    <w:rsid w:val="00F60FF2"/>
    <w:rsid w:val="00F6145A"/>
    <w:rsid w:val="00F61792"/>
    <w:rsid w:val="00F624C4"/>
    <w:rsid w:val="00F63445"/>
    <w:rsid w:val="00F641B7"/>
    <w:rsid w:val="00F6693C"/>
    <w:rsid w:val="00F71767"/>
    <w:rsid w:val="00F73E4B"/>
    <w:rsid w:val="00F74D2C"/>
    <w:rsid w:val="00F74E37"/>
    <w:rsid w:val="00F7679D"/>
    <w:rsid w:val="00F7727F"/>
    <w:rsid w:val="00F80B6F"/>
    <w:rsid w:val="00F80F4C"/>
    <w:rsid w:val="00F8140B"/>
    <w:rsid w:val="00F81F3D"/>
    <w:rsid w:val="00F8234E"/>
    <w:rsid w:val="00F83450"/>
    <w:rsid w:val="00F83CB6"/>
    <w:rsid w:val="00F84A40"/>
    <w:rsid w:val="00F85995"/>
    <w:rsid w:val="00F85E39"/>
    <w:rsid w:val="00F86A20"/>
    <w:rsid w:val="00F86C5A"/>
    <w:rsid w:val="00F87485"/>
    <w:rsid w:val="00F90B3E"/>
    <w:rsid w:val="00F916A3"/>
    <w:rsid w:val="00F966B7"/>
    <w:rsid w:val="00FA0BA1"/>
    <w:rsid w:val="00FA152D"/>
    <w:rsid w:val="00FA4E4E"/>
    <w:rsid w:val="00FA50D9"/>
    <w:rsid w:val="00FA5772"/>
    <w:rsid w:val="00FA5D7D"/>
    <w:rsid w:val="00FA61F8"/>
    <w:rsid w:val="00FA650E"/>
    <w:rsid w:val="00FA77BC"/>
    <w:rsid w:val="00FB047A"/>
    <w:rsid w:val="00FB059A"/>
    <w:rsid w:val="00FB3385"/>
    <w:rsid w:val="00FB3D49"/>
    <w:rsid w:val="00FB63D8"/>
    <w:rsid w:val="00FB6DE4"/>
    <w:rsid w:val="00FB71A7"/>
    <w:rsid w:val="00FB7568"/>
    <w:rsid w:val="00FB75C1"/>
    <w:rsid w:val="00FC0C9C"/>
    <w:rsid w:val="00FC1447"/>
    <w:rsid w:val="00FC165B"/>
    <w:rsid w:val="00FC1B03"/>
    <w:rsid w:val="00FC1D6B"/>
    <w:rsid w:val="00FC1FB0"/>
    <w:rsid w:val="00FC26B0"/>
    <w:rsid w:val="00FC2D2F"/>
    <w:rsid w:val="00FC3157"/>
    <w:rsid w:val="00FC321C"/>
    <w:rsid w:val="00FC485F"/>
    <w:rsid w:val="00FC553C"/>
    <w:rsid w:val="00FC5F71"/>
    <w:rsid w:val="00FC602C"/>
    <w:rsid w:val="00FC7F18"/>
    <w:rsid w:val="00FD08D9"/>
    <w:rsid w:val="00FD21AE"/>
    <w:rsid w:val="00FD26AE"/>
    <w:rsid w:val="00FD37F5"/>
    <w:rsid w:val="00FD4213"/>
    <w:rsid w:val="00FD45D4"/>
    <w:rsid w:val="00FD4F53"/>
    <w:rsid w:val="00FD5F86"/>
    <w:rsid w:val="00FE0E97"/>
    <w:rsid w:val="00FE1956"/>
    <w:rsid w:val="00FE1AF1"/>
    <w:rsid w:val="00FE1EC6"/>
    <w:rsid w:val="00FE218A"/>
    <w:rsid w:val="00FE349E"/>
    <w:rsid w:val="00FE4B8B"/>
    <w:rsid w:val="00FE58DE"/>
    <w:rsid w:val="00FE644E"/>
    <w:rsid w:val="00FE6E64"/>
    <w:rsid w:val="00FE7491"/>
    <w:rsid w:val="00FE7EC2"/>
    <w:rsid w:val="00FF3C98"/>
    <w:rsid w:val="00FF4FC8"/>
    <w:rsid w:val="00FF51A8"/>
    <w:rsid w:val="00FF5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50ECD73"/>
  <w15:chartTrackingRefBased/>
  <w15:docId w15:val="{5EDD0580-AC9D-40CC-B56E-DB375E837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C98"/>
    <w:rPr>
      <w:rFonts w:ascii="Arial" w:hAnsi="Arial" w:cs="Arial"/>
      <w:sz w:val="24"/>
      <w:szCs w:val="24"/>
      <w:lang w:eastAsia="en-US"/>
    </w:rPr>
  </w:style>
  <w:style w:type="paragraph" w:styleId="Heading1">
    <w:name w:val="heading 1"/>
    <w:basedOn w:val="Normal"/>
    <w:next w:val="Normal"/>
    <w:link w:val="Heading1Char"/>
    <w:qFormat/>
    <w:rsid w:val="00C0492F"/>
    <w:pPr>
      <w:keepNext/>
      <w:keepLines/>
      <w:spacing w:after="240"/>
      <w:outlineLvl w:val="0"/>
    </w:pPr>
    <w:rPr>
      <w:rFonts w:eastAsiaTheme="majorEastAsia" w:cstheme="majorBidi"/>
      <w:b/>
      <w:caps/>
      <w:color w:val="000000" w:themeColor="text1"/>
      <w:szCs w:val="32"/>
    </w:rPr>
  </w:style>
  <w:style w:type="paragraph" w:styleId="Heading3">
    <w:name w:val="heading 3"/>
    <w:basedOn w:val="Normal"/>
    <w:next w:val="Normal"/>
    <w:qFormat/>
    <w:rsid w:val="00570C22"/>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2">
    <w:name w:val="normal2"/>
    <w:rsid w:val="00570C22"/>
    <w:rPr>
      <w:rFonts w:ascii="Times New Roman" w:hAnsi="Times New Roman" w:cs="Times New Roman" w:hint="default"/>
      <w:strike w:val="0"/>
      <w:dstrike w:val="0"/>
      <w:sz w:val="24"/>
      <w:szCs w:val="24"/>
      <w:u w:val="none"/>
      <w:effect w:val="none"/>
    </w:rPr>
  </w:style>
  <w:style w:type="paragraph" w:styleId="Header">
    <w:name w:val="header"/>
    <w:basedOn w:val="Normal"/>
    <w:link w:val="HeaderChar"/>
    <w:rsid w:val="00A1212A"/>
    <w:pPr>
      <w:tabs>
        <w:tab w:val="center" w:pos="4153"/>
        <w:tab w:val="right" w:pos="8306"/>
      </w:tabs>
    </w:pPr>
  </w:style>
  <w:style w:type="paragraph" w:styleId="Footer">
    <w:name w:val="footer"/>
    <w:basedOn w:val="Normal"/>
    <w:rsid w:val="00A1212A"/>
    <w:pPr>
      <w:tabs>
        <w:tab w:val="center" w:pos="4153"/>
        <w:tab w:val="right" w:pos="8306"/>
      </w:tabs>
    </w:pPr>
  </w:style>
  <w:style w:type="character" w:styleId="Strong">
    <w:name w:val="Strong"/>
    <w:qFormat/>
    <w:rsid w:val="009B488D"/>
    <w:rPr>
      <w:b/>
      <w:bCs/>
    </w:rPr>
  </w:style>
  <w:style w:type="paragraph" w:customStyle="1" w:styleId="Bulleted">
    <w:name w:val="Bulleted"/>
    <w:basedOn w:val="Normal"/>
    <w:rsid w:val="00EC67C8"/>
    <w:pPr>
      <w:numPr>
        <w:numId w:val="1"/>
      </w:numPr>
    </w:pPr>
  </w:style>
  <w:style w:type="paragraph" w:styleId="ListParagraph">
    <w:name w:val="List Paragraph"/>
    <w:basedOn w:val="Normal"/>
    <w:uiPriority w:val="34"/>
    <w:qFormat/>
    <w:rsid w:val="0057017A"/>
    <w:pPr>
      <w:ind w:left="720"/>
    </w:pPr>
  </w:style>
  <w:style w:type="paragraph" w:styleId="BalloonText">
    <w:name w:val="Balloon Text"/>
    <w:basedOn w:val="Normal"/>
    <w:link w:val="BalloonTextChar"/>
    <w:rsid w:val="004B357C"/>
    <w:rPr>
      <w:rFonts w:ascii="Tahoma" w:hAnsi="Tahoma" w:cs="Tahoma"/>
      <w:sz w:val="16"/>
      <w:szCs w:val="16"/>
    </w:rPr>
  </w:style>
  <w:style w:type="character" w:customStyle="1" w:styleId="BalloonTextChar">
    <w:name w:val="Balloon Text Char"/>
    <w:link w:val="BalloonText"/>
    <w:rsid w:val="004B357C"/>
    <w:rPr>
      <w:rFonts w:ascii="Tahoma" w:hAnsi="Tahoma" w:cs="Tahoma"/>
      <w:sz w:val="16"/>
      <w:szCs w:val="16"/>
      <w:lang w:eastAsia="en-US"/>
    </w:rPr>
  </w:style>
  <w:style w:type="paragraph" w:styleId="NoSpacing">
    <w:name w:val="No Spacing"/>
    <w:uiPriority w:val="1"/>
    <w:qFormat/>
    <w:rsid w:val="00C81A89"/>
    <w:rPr>
      <w:rFonts w:ascii="Arial" w:eastAsia="Calibri" w:hAnsi="Arial" w:cs="Arial"/>
      <w:sz w:val="22"/>
      <w:szCs w:val="22"/>
      <w:lang w:eastAsia="en-US"/>
    </w:rPr>
  </w:style>
  <w:style w:type="character" w:styleId="Hyperlink">
    <w:name w:val="Hyperlink"/>
    <w:rsid w:val="00E55B4F"/>
    <w:rPr>
      <w:color w:val="0000FF"/>
      <w:u w:val="single"/>
    </w:rPr>
  </w:style>
  <w:style w:type="table" w:styleId="TableGrid">
    <w:name w:val="Table Grid"/>
    <w:basedOn w:val="TableNormal"/>
    <w:uiPriority w:val="59"/>
    <w:rsid w:val="00026CE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6222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C516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B15F8B"/>
    <w:rPr>
      <w:rFonts w:ascii="Arial" w:hAnsi="Arial" w:cs="Arial"/>
      <w:sz w:val="24"/>
      <w:szCs w:val="24"/>
      <w:lang w:eastAsia="en-US"/>
    </w:rPr>
  </w:style>
  <w:style w:type="paragraph" w:customStyle="1" w:styleId="Default">
    <w:name w:val="Default"/>
    <w:rsid w:val="006B41B0"/>
    <w:pPr>
      <w:autoSpaceDE w:val="0"/>
      <w:autoSpaceDN w:val="0"/>
      <w:adjustRightInd w:val="0"/>
    </w:pPr>
    <w:rPr>
      <w:rFonts w:ascii="Rockwell" w:hAnsi="Rockwell" w:cs="Rockwell"/>
      <w:color w:val="000000"/>
      <w:sz w:val="24"/>
      <w:szCs w:val="24"/>
    </w:rPr>
  </w:style>
  <w:style w:type="character" w:customStyle="1" w:styleId="Heading1Char">
    <w:name w:val="Heading 1 Char"/>
    <w:basedOn w:val="DefaultParagraphFont"/>
    <w:link w:val="Heading1"/>
    <w:rsid w:val="00C0492F"/>
    <w:rPr>
      <w:rFonts w:ascii="Arial" w:eastAsiaTheme="majorEastAsia" w:hAnsi="Arial" w:cstheme="majorBidi"/>
      <w:b/>
      <w:caps/>
      <w:color w:val="000000" w:themeColor="text1"/>
      <w:sz w:val="24"/>
      <w:szCs w:val="32"/>
      <w:lang w:eastAsia="en-US"/>
    </w:rPr>
  </w:style>
  <w:style w:type="paragraph" w:customStyle="1" w:styleId="NumbList3">
    <w:name w:val="NumbList3"/>
    <w:basedOn w:val="Normal"/>
    <w:rsid w:val="00C0492F"/>
    <w:pPr>
      <w:numPr>
        <w:numId w:val="2"/>
      </w:numPr>
    </w:pPr>
  </w:style>
  <w:style w:type="character" w:styleId="CommentReference">
    <w:name w:val="annotation reference"/>
    <w:basedOn w:val="DefaultParagraphFont"/>
    <w:rsid w:val="00396CA6"/>
    <w:rPr>
      <w:sz w:val="16"/>
      <w:szCs w:val="16"/>
    </w:rPr>
  </w:style>
  <w:style w:type="paragraph" w:styleId="CommentText">
    <w:name w:val="annotation text"/>
    <w:basedOn w:val="Normal"/>
    <w:link w:val="CommentTextChar"/>
    <w:rsid w:val="00396CA6"/>
    <w:rPr>
      <w:sz w:val="20"/>
      <w:szCs w:val="20"/>
    </w:rPr>
  </w:style>
  <w:style w:type="character" w:customStyle="1" w:styleId="CommentTextChar">
    <w:name w:val="Comment Text Char"/>
    <w:basedOn w:val="DefaultParagraphFont"/>
    <w:link w:val="CommentText"/>
    <w:rsid w:val="00396CA6"/>
    <w:rPr>
      <w:rFonts w:ascii="Arial" w:hAnsi="Arial" w:cs="Arial"/>
      <w:lang w:eastAsia="en-US"/>
    </w:rPr>
  </w:style>
  <w:style w:type="paragraph" w:styleId="CommentSubject">
    <w:name w:val="annotation subject"/>
    <w:basedOn w:val="CommentText"/>
    <w:next w:val="CommentText"/>
    <w:link w:val="CommentSubjectChar"/>
    <w:rsid w:val="00396CA6"/>
    <w:rPr>
      <w:b/>
      <w:bCs/>
    </w:rPr>
  </w:style>
  <w:style w:type="character" w:customStyle="1" w:styleId="CommentSubjectChar">
    <w:name w:val="Comment Subject Char"/>
    <w:basedOn w:val="CommentTextChar"/>
    <w:link w:val="CommentSubject"/>
    <w:rsid w:val="00396CA6"/>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31023">
      <w:bodyDiv w:val="1"/>
      <w:marLeft w:val="0"/>
      <w:marRight w:val="0"/>
      <w:marTop w:val="0"/>
      <w:marBottom w:val="0"/>
      <w:divBdr>
        <w:top w:val="none" w:sz="0" w:space="0" w:color="auto"/>
        <w:left w:val="none" w:sz="0" w:space="0" w:color="auto"/>
        <w:bottom w:val="none" w:sz="0" w:space="0" w:color="auto"/>
        <w:right w:val="none" w:sz="0" w:space="0" w:color="auto"/>
      </w:divBdr>
    </w:div>
    <w:div w:id="943685082">
      <w:bodyDiv w:val="1"/>
      <w:marLeft w:val="0"/>
      <w:marRight w:val="0"/>
      <w:marTop w:val="0"/>
      <w:marBottom w:val="0"/>
      <w:divBdr>
        <w:top w:val="none" w:sz="0" w:space="0" w:color="auto"/>
        <w:left w:val="none" w:sz="0" w:space="0" w:color="auto"/>
        <w:bottom w:val="none" w:sz="0" w:space="0" w:color="auto"/>
        <w:right w:val="none" w:sz="0" w:space="0" w:color="auto"/>
      </w:divBdr>
    </w:div>
    <w:div w:id="1565095964">
      <w:bodyDiv w:val="1"/>
      <w:marLeft w:val="0"/>
      <w:marRight w:val="0"/>
      <w:marTop w:val="0"/>
      <w:marBottom w:val="0"/>
      <w:divBdr>
        <w:top w:val="none" w:sz="0" w:space="0" w:color="auto"/>
        <w:left w:val="none" w:sz="0" w:space="0" w:color="auto"/>
        <w:bottom w:val="none" w:sz="0" w:space="0" w:color="auto"/>
        <w:right w:val="none" w:sz="0" w:space="0" w:color="auto"/>
      </w:divBdr>
    </w:div>
    <w:div w:id="162196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72BDE-216D-4EF5-AFEC-D846B60A3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1485</Words>
  <Characters>8490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EssexFire</Company>
  <LinksUpToDate>false</LinksUpToDate>
  <CharactersWithSpaces>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Section</dc:creator>
  <cp:keywords/>
  <cp:lastModifiedBy>Camilla Brandal 42078438</cp:lastModifiedBy>
  <cp:revision>5</cp:revision>
  <cp:lastPrinted>2018-08-15T15:18:00Z</cp:lastPrinted>
  <dcterms:created xsi:type="dcterms:W3CDTF">2018-08-15T15:18:00Z</dcterms:created>
  <dcterms:modified xsi:type="dcterms:W3CDTF">2018-09-04T12:22:00Z</dcterms:modified>
</cp:coreProperties>
</file>