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8238144"/>
        <w:docPartObj>
          <w:docPartGallery w:val="Cover Pages"/>
          <w:docPartUnique/>
        </w:docPartObj>
      </w:sdtPr>
      <w:sdtEndPr/>
      <w:sdtContent>
        <w:p w:rsidR="00A77C14" w:rsidRDefault="00A77C14"/>
        <w:p w:rsidR="00A04F45" w:rsidRDefault="000508FE" w:rsidP="000508FE">
          <w:pPr>
            <w:rPr>
              <w:b/>
              <w:sz w:val="36"/>
            </w:rPr>
          </w:pPr>
          <w:r>
            <w:rPr>
              <w:b/>
              <w:noProof/>
              <w:sz w:val="36"/>
              <w:lang w:eastAsia="en-GB"/>
            </w:rPr>
            <w:drawing>
              <wp:anchor distT="0" distB="0" distL="114300" distR="114300" simplePos="0" relativeHeight="251664384" behindDoc="0" locked="0" layoutInCell="1" allowOverlap="1" wp14:anchorId="5C9FC483" wp14:editId="7842BE30">
                <wp:simplePos x="0" y="0"/>
                <wp:positionH relativeFrom="column">
                  <wp:posOffset>1498600</wp:posOffset>
                </wp:positionH>
                <wp:positionV relativeFrom="paragraph">
                  <wp:posOffset>67310</wp:posOffset>
                </wp:positionV>
                <wp:extent cx="2556510" cy="14052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CC logo.jpg"/>
                        <pic:cNvPicPr/>
                      </pic:nvPicPr>
                      <pic:blipFill rotWithShape="1">
                        <a:blip r:embed="rId10">
                          <a:extLst>
                            <a:ext uri="{28A0092B-C50C-407E-A947-70E740481C1C}">
                              <a14:useLocalDpi xmlns:a14="http://schemas.microsoft.com/office/drawing/2010/main" val="0"/>
                            </a:ext>
                          </a:extLst>
                        </a:blip>
                        <a:srcRect t="24172" b="20861"/>
                        <a:stretch/>
                      </pic:blipFill>
                      <pic:spPr bwMode="auto">
                        <a:xfrm>
                          <a:off x="0" y="0"/>
                          <a:ext cx="2556510" cy="1405255"/>
                        </a:xfrm>
                        <a:prstGeom prst="rect">
                          <a:avLst/>
                        </a:prstGeom>
                        <a:ln>
                          <a:noFill/>
                        </a:ln>
                        <a:extLst>
                          <a:ext uri="{53640926-AAD7-44D8-BBD7-CCE9431645EC}">
                            <a14:shadowObscured xmlns:a14="http://schemas.microsoft.com/office/drawing/2010/main"/>
                          </a:ext>
                        </a:extLst>
                      </pic:spPr>
                    </pic:pic>
                  </a:graphicData>
                </a:graphic>
              </wp:anchor>
            </w:drawing>
          </w:r>
          <w:r>
            <w:rPr>
              <w:b/>
              <w:sz w:val="36"/>
            </w:rPr>
            <w:br w:type="textWrapping" w:clear="all"/>
          </w:r>
        </w:p>
        <w:p w:rsidR="00A04F45" w:rsidRDefault="00A04F45" w:rsidP="00EC704C">
          <w:pPr>
            <w:jc w:val="center"/>
            <w:rPr>
              <w:b/>
              <w:sz w:val="44"/>
            </w:rPr>
          </w:pPr>
        </w:p>
        <w:p w:rsidR="00A77C14" w:rsidRPr="00B95134" w:rsidRDefault="00EC704C" w:rsidP="00EC704C">
          <w:pPr>
            <w:jc w:val="center"/>
            <w:rPr>
              <w:b/>
              <w:color w:val="002060"/>
              <w:sz w:val="56"/>
            </w:rPr>
          </w:pPr>
          <w:r w:rsidRPr="00B95134">
            <w:rPr>
              <w:b/>
              <w:color w:val="002060"/>
              <w:sz w:val="56"/>
            </w:rPr>
            <w:t>Essex Independent Custody Visiting Scheme</w:t>
          </w:r>
        </w:p>
        <w:p w:rsidR="00EC704C" w:rsidRPr="00B95134" w:rsidRDefault="00EC704C" w:rsidP="00EC704C">
          <w:pPr>
            <w:jc w:val="center"/>
            <w:rPr>
              <w:b/>
              <w:color w:val="002060"/>
              <w:sz w:val="56"/>
            </w:rPr>
          </w:pPr>
          <w:r w:rsidRPr="00B95134">
            <w:rPr>
              <w:b/>
              <w:color w:val="002060"/>
              <w:sz w:val="56"/>
            </w:rPr>
            <w:t>2016 Annual Report</w:t>
          </w:r>
        </w:p>
        <w:p w:rsidR="002F3E93" w:rsidRDefault="00BF0A5E" w:rsidP="00BF0A5E">
          <w:pPr>
            <w:jc w:val="center"/>
          </w:pPr>
          <w:r>
            <w:rPr>
              <w:noProof/>
              <w:lang w:eastAsia="en-GB"/>
            </w:rPr>
            <w:drawing>
              <wp:inline distT="0" distB="0" distL="0" distR="0" wp14:anchorId="5E64F02D" wp14:editId="615EDD2A">
                <wp:extent cx="3040380" cy="25679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40380" cy="2567940"/>
                        </a:xfrm>
                        <a:prstGeom prst="rect">
                          <a:avLst/>
                        </a:prstGeom>
                      </pic:spPr>
                    </pic:pic>
                  </a:graphicData>
                </a:graphic>
              </wp:inline>
            </w:drawing>
          </w:r>
          <w:r w:rsidR="00A04F45">
            <w:rPr>
              <w:b/>
              <w:sz w:val="36"/>
            </w:rPr>
            <w:t xml:space="preserve"> </w:t>
          </w:r>
        </w:p>
        <w:p w:rsidR="002F3E93" w:rsidRDefault="002F3E93"/>
        <w:p w:rsidR="002F3E93" w:rsidRDefault="002F3E93"/>
        <w:p w:rsidR="00B95134" w:rsidRDefault="00B95134"/>
        <w:p w:rsidR="00A77C14" w:rsidRDefault="0090439C"/>
      </w:sdtContent>
    </w:sdt>
    <w:p w:rsidR="00A77C14" w:rsidRPr="005F4AD3" w:rsidRDefault="00A04F45" w:rsidP="00823211">
      <w:pPr>
        <w:keepNext/>
        <w:spacing w:after="0" w:line="240" w:lineRule="auto"/>
        <w:outlineLvl w:val="1"/>
        <w:rPr>
          <w:rFonts w:eastAsia="Times New Roman" w:cs="Arial"/>
          <w:b/>
          <w:bCs/>
          <w:color w:val="000099"/>
          <w:sz w:val="28"/>
          <w:szCs w:val="20"/>
        </w:rPr>
      </w:pPr>
      <w:r w:rsidRPr="005F4AD3">
        <w:rPr>
          <w:rFonts w:eastAsia="Times New Roman" w:cs="Arial"/>
          <w:b/>
          <w:bCs/>
          <w:color w:val="000099"/>
          <w:sz w:val="32"/>
          <w:szCs w:val="20"/>
        </w:rPr>
        <w:lastRenderedPageBreak/>
        <w:t>Fo</w:t>
      </w:r>
      <w:r w:rsidR="00DE3F78" w:rsidRPr="005F4AD3">
        <w:rPr>
          <w:rFonts w:eastAsia="Times New Roman" w:cs="Arial"/>
          <w:b/>
          <w:bCs/>
          <w:color w:val="000099"/>
          <w:sz w:val="32"/>
          <w:szCs w:val="20"/>
        </w:rPr>
        <w:t xml:space="preserve">reword by Roger Hirst, Police and Crime Commissioner for Essex </w:t>
      </w:r>
    </w:p>
    <w:p w:rsidR="00DE3F78" w:rsidRPr="002225E6" w:rsidRDefault="00DE3F78" w:rsidP="00823211">
      <w:pPr>
        <w:keepNext/>
        <w:spacing w:after="0" w:line="240" w:lineRule="auto"/>
        <w:outlineLvl w:val="1"/>
        <w:rPr>
          <w:rFonts w:eastAsia="Times New Roman" w:cs="Arial"/>
          <w:b/>
          <w:bCs/>
          <w:sz w:val="24"/>
          <w:szCs w:val="20"/>
        </w:rPr>
      </w:pPr>
    </w:p>
    <w:p w:rsidR="00DE3F78" w:rsidRPr="002225E6" w:rsidRDefault="00DE3F78" w:rsidP="00823211">
      <w:pPr>
        <w:keepNext/>
        <w:spacing w:after="0" w:line="240" w:lineRule="auto"/>
        <w:outlineLvl w:val="1"/>
        <w:rPr>
          <w:rFonts w:eastAsia="Times New Roman" w:cs="Arial"/>
          <w:b/>
          <w:bCs/>
          <w:sz w:val="24"/>
          <w:szCs w:val="20"/>
        </w:rPr>
      </w:pPr>
    </w:p>
    <w:p w:rsidR="00DE3F78" w:rsidRDefault="002225E6" w:rsidP="002F4C81">
      <w:pPr>
        <w:keepNext/>
        <w:spacing w:after="0" w:line="240" w:lineRule="auto"/>
        <w:outlineLvl w:val="1"/>
        <w:rPr>
          <w:rFonts w:ascii="Calibri" w:eastAsia="Times New Roman" w:hAnsi="Calibri" w:cs="Arial"/>
          <w:bCs/>
          <w:sz w:val="24"/>
          <w:szCs w:val="20"/>
        </w:rPr>
      </w:pPr>
      <w:r>
        <w:rPr>
          <w:rFonts w:ascii="Arial" w:eastAsia="Times New Roman" w:hAnsi="Arial" w:cs="Arial"/>
          <w:b/>
          <w:bCs/>
          <w:noProof/>
          <w:sz w:val="24"/>
          <w:szCs w:val="20"/>
          <w:lang w:eastAsia="en-GB"/>
        </w:rPr>
        <w:drawing>
          <wp:anchor distT="0" distB="0" distL="114300" distR="114300" simplePos="0" relativeHeight="251658240" behindDoc="1" locked="0" layoutInCell="1" allowOverlap="1" wp14:anchorId="329F7712" wp14:editId="2AA7C97A">
            <wp:simplePos x="0" y="0"/>
            <wp:positionH relativeFrom="column">
              <wp:posOffset>4548505</wp:posOffset>
            </wp:positionH>
            <wp:positionV relativeFrom="paragraph">
              <wp:posOffset>51435</wp:posOffset>
            </wp:positionV>
            <wp:extent cx="1814830" cy="2540000"/>
            <wp:effectExtent l="0" t="0" r="0" b="0"/>
            <wp:wrapTight wrapText="bothSides">
              <wp:wrapPolygon edited="0">
                <wp:start x="0" y="0"/>
                <wp:lineTo x="0" y="21384"/>
                <wp:lineTo x="21313" y="21384"/>
                <wp:lineTo x="21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er Head &amp; Shoulders.jpg"/>
                    <pic:cNvPicPr/>
                  </pic:nvPicPr>
                  <pic:blipFill rotWithShape="1">
                    <a:blip r:embed="rId12" cstate="print">
                      <a:extLst>
                        <a:ext uri="{28A0092B-C50C-407E-A947-70E740481C1C}">
                          <a14:useLocalDpi xmlns:a14="http://schemas.microsoft.com/office/drawing/2010/main" val="0"/>
                        </a:ext>
                      </a:extLst>
                    </a:blip>
                    <a:srcRect t="6700"/>
                    <a:stretch/>
                  </pic:blipFill>
                  <pic:spPr bwMode="auto">
                    <a:xfrm>
                      <a:off x="0" y="0"/>
                      <a:ext cx="1814830" cy="2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2B73" w:rsidRPr="002225E6">
        <w:rPr>
          <w:rFonts w:eastAsia="Times New Roman" w:cs="Arial"/>
          <w:bCs/>
          <w:sz w:val="24"/>
          <w:szCs w:val="20"/>
        </w:rPr>
        <w:t xml:space="preserve">Welcome to the </w:t>
      </w:r>
      <w:r w:rsidR="00EB3B9F" w:rsidRPr="002225E6">
        <w:rPr>
          <w:rFonts w:eastAsia="Times New Roman" w:cs="Arial"/>
          <w:bCs/>
          <w:sz w:val="24"/>
          <w:szCs w:val="20"/>
        </w:rPr>
        <w:t xml:space="preserve">2016 </w:t>
      </w:r>
      <w:r w:rsidR="007B2B73" w:rsidRPr="002225E6">
        <w:rPr>
          <w:rFonts w:eastAsia="Times New Roman" w:cs="Arial"/>
          <w:bCs/>
          <w:sz w:val="24"/>
          <w:szCs w:val="20"/>
        </w:rPr>
        <w:t xml:space="preserve">Essex Independent Visiting </w:t>
      </w:r>
      <w:r w:rsidR="00EA3A6A">
        <w:rPr>
          <w:rFonts w:eastAsia="Times New Roman" w:cs="Arial"/>
          <w:bCs/>
          <w:sz w:val="24"/>
          <w:szCs w:val="20"/>
        </w:rPr>
        <w:t xml:space="preserve">(ICV) </w:t>
      </w:r>
      <w:r w:rsidR="007B2B73" w:rsidRPr="002225E6">
        <w:rPr>
          <w:rFonts w:eastAsia="Times New Roman" w:cs="Arial"/>
          <w:bCs/>
          <w:sz w:val="24"/>
          <w:szCs w:val="20"/>
        </w:rPr>
        <w:t>Scheme Annual report</w:t>
      </w:r>
      <w:r w:rsidR="003A6F51" w:rsidRPr="002225E6">
        <w:rPr>
          <w:rFonts w:eastAsia="Times New Roman" w:cs="Arial"/>
          <w:bCs/>
          <w:sz w:val="24"/>
          <w:szCs w:val="20"/>
        </w:rPr>
        <w:t xml:space="preserve"> which covers visits taking placed from April 1</w:t>
      </w:r>
      <w:r w:rsidR="003A6F51" w:rsidRPr="002225E6">
        <w:rPr>
          <w:rFonts w:eastAsia="Times New Roman" w:cs="Arial"/>
          <w:bCs/>
          <w:sz w:val="24"/>
          <w:szCs w:val="20"/>
          <w:vertAlign w:val="superscript"/>
        </w:rPr>
        <w:t>st</w:t>
      </w:r>
      <w:r w:rsidR="003A6F51" w:rsidRPr="002225E6">
        <w:rPr>
          <w:rFonts w:eastAsia="Times New Roman" w:cs="Arial"/>
          <w:bCs/>
          <w:sz w:val="24"/>
          <w:szCs w:val="20"/>
        </w:rPr>
        <w:t xml:space="preserve"> 2016 to March 31</w:t>
      </w:r>
      <w:r w:rsidR="003A6F51" w:rsidRPr="002225E6">
        <w:rPr>
          <w:rFonts w:eastAsia="Times New Roman" w:cs="Arial"/>
          <w:bCs/>
          <w:sz w:val="24"/>
          <w:szCs w:val="20"/>
          <w:vertAlign w:val="superscript"/>
        </w:rPr>
        <w:t>st</w:t>
      </w:r>
      <w:r w:rsidR="003A6F51" w:rsidRPr="002225E6">
        <w:rPr>
          <w:rFonts w:eastAsia="Times New Roman" w:cs="Arial"/>
          <w:bCs/>
          <w:sz w:val="24"/>
          <w:szCs w:val="20"/>
        </w:rPr>
        <w:t xml:space="preserve"> 2017</w:t>
      </w:r>
      <w:r w:rsidR="007B2B73" w:rsidRPr="002225E6">
        <w:rPr>
          <w:rFonts w:eastAsia="Times New Roman" w:cs="Arial"/>
          <w:bCs/>
          <w:sz w:val="24"/>
          <w:szCs w:val="20"/>
        </w:rPr>
        <w:t>.</w:t>
      </w:r>
      <w:r w:rsidR="00EB3B9F" w:rsidRPr="002225E6">
        <w:rPr>
          <w:rFonts w:eastAsia="Times New Roman" w:cs="Arial"/>
          <w:bCs/>
          <w:sz w:val="24"/>
          <w:szCs w:val="20"/>
        </w:rPr>
        <w:t xml:space="preserve"> It is with thanks to the time and dedication given by the </w:t>
      </w:r>
      <w:r w:rsidR="003A6F51" w:rsidRPr="002225E6">
        <w:rPr>
          <w:rFonts w:eastAsia="Times New Roman" w:cs="Arial"/>
          <w:bCs/>
          <w:sz w:val="24"/>
          <w:szCs w:val="20"/>
        </w:rPr>
        <w:t xml:space="preserve">scheme </w:t>
      </w:r>
      <w:r w:rsidR="00EB3B9F" w:rsidRPr="002225E6">
        <w:rPr>
          <w:rFonts w:eastAsia="Times New Roman" w:cs="Arial"/>
          <w:bCs/>
          <w:sz w:val="24"/>
          <w:szCs w:val="20"/>
        </w:rPr>
        <w:t>volunteers that we can continue to provide public</w:t>
      </w:r>
      <w:r w:rsidR="00EB3B9F">
        <w:rPr>
          <w:rFonts w:ascii="Calibri" w:eastAsia="Times New Roman" w:hAnsi="Calibri" w:cs="Arial"/>
          <w:bCs/>
          <w:sz w:val="24"/>
          <w:szCs w:val="20"/>
        </w:rPr>
        <w:t xml:space="preserve"> reassurance in respect of the welfare and treatment of those in the care of Essex Police</w:t>
      </w:r>
      <w:r w:rsidR="00EA3A6A">
        <w:rPr>
          <w:rFonts w:ascii="Calibri" w:eastAsia="Times New Roman" w:hAnsi="Calibri" w:cs="Arial"/>
          <w:bCs/>
          <w:sz w:val="24"/>
          <w:szCs w:val="20"/>
        </w:rPr>
        <w:t xml:space="preserve"> whilst in police custody.</w:t>
      </w:r>
      <w:r w:rsidR="00EB3B9F">
        <w:rPr>
          <w:rFonts w:ascii="Calibri" w:eastAsia="Times New Roman" w:hAnsi="Calibri" w:cs="Arial"/>
          <w:bCs/>
          <w:sz w:val="24"/>
          <w:szCs w:val="20"/>
        </w:rPr>
        <w:t xml:space="preserve"> </w:t>
      </w:r>
    </w:p>
    <w:p w:rsidR="00EB3B9F" w:rsidRDefault="00EB3B9F" w:rsidP="002F4C81">
      <w:pPr>
        <w:keepNext/>
        <w:spacing w:after="0" w:line="240" w:lineRule="auto"/>
        <w:outlineLvl w:val="1"/>
        <w:rPr>
          <w:rFonts w:ascii="Calibri" w:eastAsia="Times New Roman" w:hAnsi="Calibri" w:cs="Arial"/>
          <w:bCs/>
          <w:sz w:val="24"/>
          <w:szCs w:val="20"/>
        </w:rPr>
      </w:pPr>
    </w:p>
    <w:p w:rsidR="000508FE" w:rsidRDefault="000508FE" w:rsidP="002F4C81">
      <w:pPr>
        <w:keepNext/>
        <w:spacing w:after="0" w:line="240" w:lineRule="auto"/>
        <w:outlineLvl w:val="1"/>
        <w:rPr>
          <w:rFonts w:ascii="Calibri" w:eastAsia="Times New Roman" w:hAnsi="Calibri" w:cs="Arial"/>
          <w:bCs/>
          <w:sz w:val="24"/>
          <w:szCs w:val="20"/>
        </w:rPr>
      </w:pPr>
    </w:p>
    <w:p w:rsidR="00EB3B9F" w:rsidRDefault="000508FE" w:rsidP="002F4C81">
      <w:pPr>
        <w:keepNext/>
        <w:spacing w:after="0" w:line="240" w:lineRule="auto"/>
        <w:outlineLvl w:val="1"/>
        <w:rPr>
          <w:rFonts w:ascii="Calibri" w:eastAsia="Times New Roman" w:hAnsi="Calibri" w:cs="Arial"/>
          <w:bCs/>
          <w:sz w:val="24"/>
          <w:szCs w:val="20"/>
        </w:rPr>
      </w:pPr>
      <w:r w:rsidRPr="000508FE">
        <w:rPr>
          <w:rFonts w:ascii="Calibri" w:eastAsia="Times New Roman" w:hAnsi="Calibri" w:cs="Arial"/>
          <w:bCs/>
          <w:noProof/>
          <w:sz w:val="24"/>
          <w:szCs w:val="20"/>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4343399</wp:posOffset>
                </wp:positionH>
                <wp:positionV relativeFrom="paragraph">
                  <wp:posOffset>1102783</wp:posOffset>
                </wp:positionV>
                <wp:extent cx="219286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867" cy="1403985"/>
                        </a:xfrm>
                        <a:prstGeom prst="rect">
                          <a:avLst/>
                        </a:prstGeom>
                        <a:solidFill>
                          <a:srgbClr val="FFFFFF"/>
                        </a:solidFill>
                        <a:ln w="9525">
                          <a:noFill/>
                          <a:miter lim="800000"/>
                          <a:headEnd/>
                          <a:tailEnd/>
                        </a:ln>
                      </wps:spPr>
                      <wps:txbx>
                        <w:txbxContent>
                          <w:p w:rsidR="000508FE" w:rsidRPr="000508FE" w:rsidRDefault="000508FE" w:rsidP="000508FE">
                            <w:pPr>
                              <w:spacing w:after="0" w:line="240" w:lineRule="auto"/>
                              <w:jc w:val="center"/>
                              <w:rPr>
                                <w:b/>
                              </w:rPr>
                            </w:pPr>
                            <w:r w:rsidRPr="000508FE">
                              <w:rPr>
                                <w:b/>
                              </w:rPr>
                              <w:t>Roger Hirst, Police, Fire and Crime Commissioner for Essex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86.85pt;width:172.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" stroked="f">
                <v:textbox style="mso-fit-shape-to-text:t">
                  <w:txbxContent>
                    <w:p w:rsidR="000508FE" w:rsidRPr="000508FE" w:rsidRDefault="000508FE" w:rsidP="000508FE">
                      <w:pPr>
                        <w:spacing w:after="0" w:line="240" w:lineRule="auto"/>
                        <w:jc w:val="center"/>
                        <w:rPr>
                          <w:b/>
                        </w:rPr>
                      </w:pPr>
                      <w:r w:rsidRPr="000508FE">
                        <w:rPr>
                          <w:b/>
                        </w:rPr>
                        <w:t>Roger Hirst, Police, Fire and Crime Commissioner for Essex</w:t>
                      </w:r>
                    </w:p>
                  </w:txbxContent>
                </v:textbox>
              </v:shape>
            </w:pict>
          </mc:Fallback>
        </mc:AlternateContent>
      </w:r>
      <w:r w:rsidR="00EB3B9F">
        <w:rPr>
          <w:rFonts w:ascii="Calibri" w:eastAsia="Times New Roman" w:hAnsi="Calibri" w:cs="Arial"/>
          <w:bCs/>
          <w:sz w:val="24"/>
          <w:szCs w:val="20"/>
        </w:rPr>
        <w:t xml:space="preserve">In the past year we have seen the opening of the refurbished custody suite at Southend which offers 32 cells including a TACT </w:t>
      </w:r>
      <w:r w:rsidR="00605AC4">
        <w:rPr>
          <w:rFonts w:ascii="Calibri" w:eastAsia="Times New Roman" w:hAnsi="Calibri" w:cs="Arial"/>
          <w:bCs/>
          <w:sz w:val="24"/>
          <w:szCs w:val="20"/>
        </w:rPr>
        <w:t xml:space="preserve">(Terrorism Act 2000) </w:t>
      </w:r>
      <w:r w:rsidR="00EB3B9F">
        <w:rPr>
          <w:rFonts w:ascii="Calibri" w:eastAsia="Times New Roman" w:hAnsi="Calibri" w:cs="Arial"/>
          <w:bCs/>
          <w:sz w:val="24"/>
          <w:szCs w:val="20"/>
        </w:rPr>
        <w:t xml:space="preserve">facility.  Currently </w:t>
      </w:r>
      <w:r w:rsidR="00BA230F">
        <w:rPr>
          <w:rFonts w:ascii="Calibri" w:eastAsia="Times New Roman" w:hAnsi="Calibri" w:cs="Arial"/>
          <w:bCs/>
          <w:sz w:val="24"/>
          <w:szCs w:val="20"/>
        </w:rPr>
        <w:t>our volunteers</w:t>
      </w:r>
      <w:r w:rsidR="00EB3B9F">
        <w:rPr>
          <w:rFonts w:ascii="Calibri" w:eastAsia="Times New Roman" w:hAnsi="Calibri" w:cs="Arial"/>
          <w:bCs/>
          <w:sz w:val="24"/>
          <w:szCs w:val="20"/>
        </w:rPr>
        <w:t xml:space="preserve"> visit </w:t>
      </w:r>
      <w:r w:rsidR="003D3640">
        <w:rPr>
          <w:rFonts w:ascii="Calibri" w:eastAsia="Times New Roman" w:hAnsi="Calibri" w:cs="Arial"/>
          <w:bCs/>
          <w:sz w:val="24"/>
          <w:szCs w:val="20"/>
        </w:rPr>
        <w:t>nine custody suites across the county at least three time</w:t>
      </w:r>
      <w:r w:rsidR="003A6F51">
        <w:rPr>
          <w:rFonts w:ascii="Calibri" w:eastAsia="Times New Roman" w:hAnsi="Calibri" w:cs="Arial"/>
          <w:bCs/>
          <w:sz w:val="24"/>
          <w:szCs w:val="20"/>
        </w:rPr>
        <w:t>s</w:t>
      </w:r>
      <w:r w:rsidR="003D3640">
        <w:rPr>
          <w:rFonts w:ascii="Calibri" w:eastAsia="Times New Roman" w:hAnsi="Calibri" w:cs="Arial"/>
          <w:bCs/>
          <w:sz w:val="24"/>
          <w:szCs w:val="20"/>
        </w:rPr>
        <w:t xml:space="preserve"> per month, </w:t>
      </w:r>
      <w:r w:rsidR="003A6F51">
        <w:rPr>
          <w:rFonts w:ascii="Calibri" w:eastAsia="Times New Roman" w:hAnsi="Calibri" w:cs="Arial"/>
          <w:bCs/>
          <w:sz w:val="24"/>
          <w:szCs w:val="20"/>
        </w:rPr>
        <w:t xml:space="preserve">both </w:t>
      </w:r>
      <w:r w:rsidR="003D3640">
        <w:rPr>
          <w:rFonts w:ascii="Calibri" w:eastAsia="Times New Roman" w:hAnsi="Calibri" w:cs="Arial"/>
          <w:bCs/>
          <w:sz w:val="24"/>
          <w:szCs w:val="20"/>
        </w:rPr>
        <w:t xml:space="preserve">day and night. This year also saw </w:t>
      </w:r>
      <w:r w:rsidR="00605AC4">
        <w:rPr>
          <w:rFonts w:ascii="Calibri" w:eastAsia="Times New Roman" w:hAnsi="Calibri" w:cs="Arial"/>
          <w:bCs/>
          <w:sz w:val="24"/>
          <w:szCs w:val="20"/>
        </w:rPr>
        <w:t xml:space="preserve">the ICV scheme take on visiting </w:t>
      </w:r>
      <w:r w:rsidR="003D3640">
        <w:rPr>
          <w:rFonts w:ascii="Calibri" w:eastAsia="Times New Roman" w:hAnsi="Calibri" w:cs="Arial"/>
          <w:bCs/>
          <w:sz w:val="24"/>
          <w:szCs w:val="20"/>
        </w:rPr>
        <w:t>Border Force a</w:t>
      </w:r>
      <w:r w:rsidR="003A6F51">
        <w:rPr>
          <w:rFonts w:ascii="Calibri" w:eastAsia="Times New Roman" w:hAnsi="Calibri" w:cs="Arial"/>
          <w:bCs/>
          <w:sz w:val="24"/>
          <w:szCs w:val="20"/>
        </w:rPr>
        <w:t xml:space="preserve">t the port of Harwich and </w:t>
      </w:r>
      <w:r w:rsidR="00605AC4">
        <w:rPr>
          <w:rFonts w:ascii="Calibri" w:eastAsia="Times New Roman" w:hAnsi="Calibri" w:cs="Arial"/>
          <w:bCs/>
          <w:sz w:val="24"/>
          <w:szCs w:val="20"/>
        </w:rPr>
        <w:t xml:space="preserve">in addition, the scheme </w:t>
      </w:r>
      <w:r w:rsidR="003A6F51">
        <w:rPr>
          <w:rFonts w:ascii="Calibri" w:eastAsia="Times New Roman" w:hAnsi="Calibri" w:cs="Arial"/>
          <w:bCs/>
          <w:sz w:val="24"/>
          <w:szCs w:val="20"/>
        </w:rPr>
        <w:t xml:space="preserve">will be taking on visiting </w:t>
      </w:r>
      <w:r w:rsidR="00605AC4">
        <w:rPr>
          <w:rFonts w:ascii="Calibri" w:eastAsia="Times New Roman" w:hAnsi="Calibri" w:cs="Arial"/>
          <w:bCs/>
          <w:sz w:val="24"/>
          <w:szCs w:val="20"/>
        </w:rPr>
        <w:t xml:space="preserve">the </w:t>
      </w:r>
      <w:r w:rsidR="003A6F51">
        <w:rPr>
          <w:rFonts w:ascii="Calibri" w:eastAsia="Times New Roman" w:hAnsi="Calibri" w:cs="Arial"/>
          <w:bCs/>
          <w:sz w:val="24"/>
          <w:szCs w:val="20"/>
        </w:rPr>
        <w:t>airside custody suite at Stansted airport</w:t>
      </w:r>
      <w:r w:rsidR="007639CB">
        <w:rPr>
          <w:rFonts w:ascii="Calibri" w:eastAsia="Times New Roman" w:hAnsi="Calibri" w:cs="Arial"/>
          <w:bCs/>
          <w:sz w:val="24"/>
          <w:szCs w:val="20"/>
        </w:rPr>
        <w:t xml:space="preserve"> in the coming months</w:t>
      </w:r>
      <w:r w:rsidR="003A6F51">
        <w:rPr>
          <w:rFonts w:ascii="Calibri" w:eastAsia="Times New Roman" w:hAnsi="Calibri" w:cs="Arial"/>
          <w:bCs/>
          <w:sz w:val="24"/>
          <w:szCs w:val="20"/>
        </w:rPr>
        <w:t>.</w:t>
      </w:r>
    </w:p>
    <w:p w:rsidR="000508FE" w:rsidRDefault="000508FE" w:rsidP="002F4C81">
      <w:pPr>
        <w:keepNext/>
        <w:spacing w:after="0" w:line="240" w:lineRule="auto"/>
        <w:outlineLvl w:val="1"/>
        <w:rPr>
          <w:rFonts w:ascii="Calibri" w:eastAsia="Times New Roman" w:hAnsi="Calibri" w:cs="Arial"/>
          <w:bCs/>
          <w:sz w:val="24"/>
          <w:szCs w:val="20"/>
        </w:rPr>
      </w:pPr>
    </w:p>
    <w:p w:rsidR="003A6F51" w:rsidRDefault="003A6F51" w:rsidP="002F4C81">
      <w:pPr>
        <w:keepNext/>
        <w:spacing w:after="0" w:line="240" w:lineRule="auto"/>
        <w:outlineLvl w:val="1"/>
        <w:rPr>
          <w:rFonts w:ascii="Calibri" w:eastAsia="Times New Roman" w:hAnsi="Calibri" w:cs="Arial"/>
          <w:bCs/>
          <w:sz w:val="24"/>
          <w:szCs w:val="20"/>
        </w:rPr>
      </w:pPr>
    </w:p>
    <w:p w:rsidR="003A6F51" w:rsidRDefault="00605AC4" w:rsidP="002F4C81">
      <w:pPr>
        <w:keepNext/>
        <w:spacing w:after="0" w:line="240" w:lineRule="auto"/>
        <w:outlineLvl w:val="1"/>
        <w:rPr>
          <w:rFonts w:ascii="Calibri" w:eastAsia="Times New Roman" w:hAnsi="Calibri" w:cs="Arial"/>
          <w:bCs/>
          <w:sz w:val="24"/>
          <w:szCs w:val="20"/>
        </w:rPr>
      </w:pPr>
      <w:r>
        <w:rPr>
          <w:rFonts w:ascii="Calibri" w:eastAsia="Times New Roman" w:hAnsi="Calibri" w:cs="Arial"/>
          <w:bCs/>
          <w:sz w:val="24"/>
          <w:szCs w:val="20"/>
        </w:rPr>
        <w:t>Alongside the outstanding work of the ICV volunteers, my</w:t>
      </w:r>
      <w:r w:rsidR="00CC1B92">
        <w:rPr>
          <w:rFonts w:ascii="Calibri" w:eastAsia="Times New Roman" w:hAnsi="Calibri" w:cs="Arial"/>
          <w:bCs/>
          <w:sz w:val="24"/>
          <w:szCs w:val="20"/>
        </w:rPr>
        <w:t xml:space="preserve"> office and Essex Police have</w:t>
      </w:r>
      <w:r w:rsidR="003A6F51">
        <w:rPr>
          <w:rFonts w:ascii="Calibri" w:eastAsia="Times New Roman" w:hAnsi="Calibri" w:cs="Arial"/>
          <w:bCs/>
          <w:sz w:val="24"/>
          <w:szCs w:val="20"/>
        </w:rPr>
        <w:t xml:space="preserve"> been working closely with local authorities and healthcare agencies to provide more health based places of safety (HBPoS)</w:t>
      </w:r>
      <w:r>
        <w:rPr>
          <w:rFonts w:ascii="Calibri" w:eastAsia="Times New Roman" w:hAnsi="Calibri" w:cs="Arial"/>
          <w:bCs/>
          <w:sz w:val="24"/>
          <w:szCs w:val="20"/>
        </w:rPr>
        <w:t xml:space="preserve"> for individuals with mental health concerns</w:t>
      </w:r>
      <w:r w:rsidR="003A6F51">
        <w:rPr>
          <w:rFonts w:ascii="Calibri" w:eastAsia="Times New Roman" w:hAnsi="Calibri" w:cs="Arial"/>
          <w:bCs/>
          <w:sz w:val="24"/>
          <w:szCs w:val="20"/>
        </w:rPr>
        <w:t xml:space="preserve">.  </w:t>
      </w:r>
      <w:r>
        <w:rPr>
          <w:rFonts w:ascii="Calibri" w:eastAsia="Times New Roman" w:hAnsi="Calibri" w:cs="Arial"/>
          <w:bCs/>
          <w:sz w:val="24"/>
          <w:szCs w:val="20"/>
        </w:rPr>
        <w:t xml:space="preserve">We are making good progress with this and our </w:t>
      </w:r>
      <w:r w:rsidR="00CC1B92">
        <w:rPr>
          <w:rFonts w:ascii="Calibri" w:eastAsia="Times New Roman" w:hAnsi="Calibri" w:cs="Arial"/>
          <w:bCs/>
          <w:sz w:val="24"/>
          <w:szCs w:val="20"/>
        </w:rPr>
        <w:t xml:space="preserve">aim for 2017/18 is that no person going through a crisis </w:t>
      </w:r>
      <w:r w:rsidR="006329DF">
        <w:rPr>
          <w:rFonts w:ascii="Calibri" w:eastAsia="Times New Roman" w:hAnsi="Calibri" w:cs="Arial"/>
          <w:bCs/>
          <w:sz w:val="24"/>
          <w:szCs w:val="20"/>
        </w:rPr>
        <w:t>is detained in a custody cell</w:t>
      </w:r>
      <w:r w:rsidR="005827D5" w:rsidRPr="005827D5">
        <w:t xml:space="preserve"> </w:t>
      </w:r>
      <w:r w:rsidR="005827D5">
        <w:t>but is taken to a</w:t>
      </w:r>
      <w:r w:rsidR="007639CB">
        <w:t>n</w:t>
      </w:r>
      <w:r w:rsidR="005827D5">
        <w:t xml:space="preserve"> </w:t>
      </w:r>
      <w:r w:rsidR="005827D5" w:rsidRPr="005827D5">
        <w:rPr>
          <w:rFonts w:ascii="Calibri" w:eastAsia="Times New Roman" w:hAnsi="Calibri" w:cs="Arial"/>
          <w:bCs/>
          <w:sz w:val="24"/>
          <w:szCs w:val="20"/>
        </w:rPr>
        <w:t>HBPoS wherever possible</w:t>
      </w:r>
      <w:r w:rsidR="006329DF">
        <w:rPr>
          <w:rFonts w:ascii="Calibri" w:eastAsia="Times New Roman" w:hAnsi="Calibri" w:cs="Arial"/>
          <w:bCs/>
          <w:sz w:val="24"/>
          <w:szCs w:val="20"/>
        </w:rPr>
        <w:t>.</w:t>
      </w:r>
    </w:p>
    <w:p w:rsidR="00BA230F" w:rsidRDefault="00BA230F" w:rsidP="002F4C81">
      <w:pPr>
        <w:keepNext/>
        <w:spacing w:after="0" w:line="240" w:lineRule="auto"/>
        <w:outlineLvl w:val="1"/>
        <w:rPr>
          <w:rFonts w:ascii="Calibri" w:eastAsia="Times New Roman" w:hAnsi="Calibri" w:cs="Arial"/>
          <w:bCs/>
          <w:sz w:val="24"/>
          <w:szCs w:val="20"/>
        </w:rPr>
      </w:pPr>
    </w:p>
    <w:p w:rsidR="000508FE" w:rsidRDefault="000508FE" w:rsidP="002F4C81">
      <w:pPr>
        <w:keepNext/>
        <w:spacing w:after="0" w:line="240" w:lineRule="auto"/>
        <w:outlineLvl w:val="1"/>
        <w:rPr>
          <w:rFonts w:ascii="Calibri" w:eastAsia="Times New Roman" w:hAnsi="Calibri" w:cs="Arial"/>
          <w:bCs/>
          <w:sz w:val="24"/>
          <w:szCs w:val="20"/>
        </w:rPr>
      </w:pPr>
    </w:p>
    <w:p w:rsidR="007639CB" w:rsidRDefault="00605AC4" w:rsidP="002F4C81">
      <w:pPr>
        <w:keepNext/>
        <w:spacing w:after="0" w:line="240" w:lineRule="auto"/>
        <w:outlineLvl w:val="1"/>
        <w:rPr>
          <w:rFonts w:ascii="Calibri" w:eastAsia="Times New Roman" w:hAnsi="Calibri" w:cs="Arial"/>
          <w:bCs/>
          <w:sz w:val="24"/>
          <w:szCs w:val="20"/>
        </w:rPr>
      </w:pPr>
      <w:r>
        <w:rPr>
          <w:rFonts w:ascii="Calibri" w:eastAsia="Times New Roman" w:hAnsi="Calibri" w:cs="Arial"/>
          <w:bCs/>
          <w:sz w:val="24"/>
          <w:szCs w:val="20"/>
        </w:rPr>
        <w:t>With thanks again to the commitment and efforts of all the ICV volunteers without whom this important work would not be possible.</w:t>
      </w:r>
    </w:p>
    <w:p w:rsidR="002225E6" w:rsidRDefault="002225E6" w:rsidP="002F4C81">
      <w:pPr>
        <w:keepNext/>
        <w:spacing w:after="0" w:line="240" w:lineRule="auto"/>
        <w:outlineLvl w:val="1"/>
        <w:rPr>
          <w:rFonts w:ascii="Calibri" w:eastAsia="Times New Roman" w:hAnsi="Calibri" w:cs="Arial"/>
          <w:bCs/>
          <w:sz w:val="24"/>
          <w:szCs w:val="20"/>
        </w:rPr>
      </w:pPr>
    </w:p>
    <w:p w:rsidR="002225E6" w:rsidRDefault="002225E6" w:rsidP="002F4C81">
      <w:pPr>
        <w:keepNext/>
        <w:spacing w:after="0" w:line="240" w:lineRule="auto"/>
        <w:outlineLvl w:val="1"/>
        <w:rPr>
          <w:rFonts w:ascii="Calibri" w:eastAsia="Times New Roman" w:hAnsi="Calibri" w:cs="Arial"/>
          <w:bCs/>
          <w:sz w:val="24"/>
          <w:szCs w:val="20"/>
        </w:rPr>
      </w:pPr>
    </w:p>
    <w:p w:rsidR="005F4AD3" w:rsidRDefault="005F4AD3" w:rsidP="002F4C81">
      <w:pPr>
        <w:keepNext/>
        <w:spacing w:after="0" w:line="240" w:lineRule="auto"/>
        <w:outlineLvl w:val="1"/>
        <w:rPr>
          <w:rFonts w:ascii="Calibri" w:eastAsia="Times New Roman" w:hAnsi="Calibri" w:cs="Arial"/>
          <w:bCs/>
          <w:sz w:val="24"/>
          <w:szCs w:val="20"/>
        </w:rPr>
      </w:pPr>
      <w:r>
        <w:rPr>
          <w:rFonts w:ascii="Calibri" w:eastAsia="Times New Roman" w:hAnsi="Calibri" w:cs="Arial"/>
          <w:bCs/>
          <w:sz w:val="24"/>
          <w:szCs w:val="20"/>
        </w:rPr>
        <w:t>Roger Hirst</w:t>
      </w:r>
    </w:p>
    <w:p w:rsidR="005F4AD3" w:rsidRDefault="005F4AD3" w:rsidP="00823211">
      <w:pPr>
        <w:keepNext/>
        <w:spacing w:after="0" w:line="240" w:lineRule="auto"/>
        <w:outlineLvl w:val="1"/>
        <w:rPr>
          <w:rFonts w:ascii="Calibri" w:eastAsia="Times New Roman" w:hAnsi="Calibri" w:cs="Arial"/>
          <w:bCs/>
          <w:sz w:val="24"/>
          <w:szCs w:val="20"/>
        </w:rPr>
      </w:pPr>
    </w:p>
    <w:p w:rsidR="005F4AD3" w:rsidRPr="007B2B73" w:rsidRDefault="005F4AD3" w:rsidP="00823211">
      <w:pPr>
        <w:keepNext/>
        <w:spacing w:after="0" w:line="240" w:lineRule="auto"/>
        <w:outlineLvl w:val="1"/>
        <w:rPr>
          <w:rFonts w:ascii="Calibri" w:eastAsia="Times New Roman" w:hAnsi="Calibri" w:cs="Arial"/>
          <w:bCs/>
          <w:sz w:val="24"/>
          <w:szCs w:val="20"/>
        </w:rPr>
      </w:pPr>
      <w:r>
        <w:rPr>
          <w:rFonts w:ascii="Calibri" w:eastAsia="Times New Roman" w:hAnsi="Calibri" w:cs="Arial"/>
          <w:bCs/>
          <w:sz w:val="24"/>
          <w:szCs w:val="20"/>
        </w:rPr>
        <w:t xml:space="preserve">Police and Crime </w:t>
      </w:r>
    </w:p>
    <w:p w:rsidR="00DE3F78" w:rsidRDefault="00DE3F78" w:rsidP="00823211">
      <w:pPr>
        <w:keepNext/>
        <w:spacing w:after="0" w:line="240" w:lineRule="auto"/>
        <w:outlineLvl w:val="1"/>
        <w:rPr>
          <w:rFonts w:ascii="Arial" w:eastAsia="Times New Roman" w:hAnsi="Arial" w:cs="Arial"/>
          <w:b/>
          <w:bCs/>
          <w:sz w:val="24"/>
          <w:szCs w:val="20"/>
        </w:rPr>
      </w:pPr>
    </w:p>
    <w:p w:rsidR="00DE3F78" w:rsidRDefault="00DE3F78" w:rsidP="00823211">
      <w:pPr>
        <w:keepNext/>
        <w:spacing w:after="0" w:line="240" w:lineRule="auto"/>
        <w:outlineLvl w:val="1"/>
        <w:rPr>
          <w:rFonts w:ascii="Arial" w:eastAsia="Times New Roman" w:hAnsi="Arial" w:cs="Arial"/>
          <w:b/>
          <w:bCs/>
          <w:sz w:val="24"/>
          <w:szCs w:val="20"/>
        </w:rPr>
      </w:pPr>
    </w:p>
    <w:p w:rsidR="00DE3F78" w:rsidRDefault="00DE3F78" w:rsidP="00823211">
      <w:pPr>
        <w:keepNext/>
        <w:spacing w:after="0" w:line="240" w:lineRule="auto"/>
        <w:outlineLvl w:val="1"/>
        <w:rPr>
          <w:rFonts w:ascii="Arial" w:eastAsia="Times New Roman" w:hAnsi="Arial" w:cs="Arial"/>
          <w:b/>
          <w:bCs/>
          <w:sz w:val="24"/>
          <w:szCs w:val="20"/>
        </w:rPr>
      </w:pPr>
    </w:p>
    <w:p w:rsidR="00DE3F78" w:rsidRDefault="00DE3F78" w:rsidP="00823211">
      <w:pPr>
        <w:keepNext/>
        <w:spacing w:after="0" w:line="240" w:lineRule="auto"/>
        <w:outlineLvl w:val="1"/>
        <w:rPr>
          <w:rFonts w:ascii="Arial" w:eastAsia="Times New Roman" w:hAnsi="Arial" w:cs="Arial"/>
          <w:b/>
          <w:bCs/>
          <w:sz w:val="24"/>
          <w:szCs w:val="20"/>
        </w:rPr>
      </w:pPr>
    </w:p>
    <w:p w:rsidR="00DE3F78" w:rsidRDefault="00DE3F78" w:rsidP="00823211">
      <w:pPr>
        <w:keepNext/>
        <w:spacing w:after="0" w:line="240" w:lineRule="auto"/>
        <w:outlineLvl w:val="1"/>
        <w:rPr>
          <w:rFonts w:ascii="Arial" w:eastAsia="Times New Roman" w:hAnsi="Arial" w:cs="Arial"/>
          <w:b/>
          <w:bCs/>
          <w:sz w:val="24"/>
          <w:szCs w:val="20"/>
        </w:rPr>
      </w:pPr>
    </w:p>
    <w:p w:rsidR="00DE3F78" w:rsidRDefault="00DE3F78" w:rsidP="00823211">
      <w:pPr>
        <w:keepNext/>
        <w:spacing w:after="0" w:line="240" w:lineRule="auto"/>
        <w:outlineLvl w:val="1"/>
        <w:rPr>
          <w:rFonts w:ascii="Arial" w:eastAsia="Times New Roman" w:hAnsi="Arial" w:cs="Arial"/>
          <w:b/>
          <w:bCs/>
          <w:sz w:val="24"/>
          <w:szCs w:val="20"/>
        </w:rPr>
      </w:pPr>
    </w:p>
    <w:p w:rsidR="00DE3F78" w:rsidRDefault="00DE3F78" w:rsidP="00823211">
      <w:pPr>
        <w:keepNext/>
        <w:spacing w:after="0" w:line="240" w:lineRule="auto"/>
        <w:outlineLvl w:val="1"/>
        <w:rPr>
          <w:rFonts w:ascii="Arial" w:eastAsia="Times New Roman" w:hAnsi="Arial" w:cs="Arial"/>
          <w:b/>
          <w:bCs/>
          <w:sz w:val="24"/>
          <w:szCs w:val="20"/>
        </w:rPr>
      </w:pPr>
    </w:p>
    <w:p w:rsidR="00DE3F78" w:rsidRDefault="00DE3F78" w:rsidP="00823211">
      <w:pPr>
        <w:keepNext/>
        <w:spacing w:after="0" w:line="240" w:lineRule="auto"/>
        <w:outlineLvl w:val="1"/>
        <w:rPr>
          <w:rFonts w:ascii="Arial" w:eastAsia="Times New Roman" w:hAnsi="Arial" w:cs="Arial"/>
          <w:b/>
          <w:bCs/>
          <w:sz w:val="24"/>
          <w:szCs w:val="20"/>
        </w:rPr>
      </w:pPr>
    </w:p>
    <w:p w:rsidR="00DE3F78" w:rsidRDefault="00DE3F78" w:rsidP="00823211">
      <w:pPr>
        <w:keepNext/>
        <w:spacing w:after="0" w:line="240" w:lineRule="auto"/>
        <w:outlineLvl w:val="1"/>
        <w:rPr>
          <w:rFonts w:ascii="Arial" w:eastAsia="Times New Roman" w:hAnsi="Arial" w:cs="Arial"/>
          <w:b/>
          <w:bCs/>
          <w:sz w:val="24"/>
          <w:szCs w:val="20"/>
        </w:rPr>
      </w:pPr>
    </w:p>
    <w:p w:rsidR="002F4C81" w:rsidRDefault="002F4C81" w:rsidP="00823211">
      <w:pPr>
        <w:keepNext/>
        <w:spacing w:after="0" w:line="240" w:lineRule="auto"/>
        <w:outlineLvl w:val="1"/>
        <w:rPr>
          <w:rFonts w:ascii="Arial" w:eastAsia="Times New Roman" w:hAnsi="Arial" w:cs="Arial"/>
          <w:b/>
          <w:bCs/>
          <w:sz w:val="24"/>
          <w:szCs w:val="20"/>
        </w:rPr>
      </w:pPr>
    </w:p>
    <w:p w:rsidR="002F4C81" w:rsidRDefault="002F4C81" w:rsidP="00823211">
      <w:pPr>
        <w:keepNext/>
        <w:spacing w:after="0" w:line="240" w:lineRule="auto"/>
        <w:outlineLvl w:val="1"/>
        <w:rPr>
          <w:rFonts w:ascii="Arial" w:eastAsia="Times New Roman" w:hAnsi="Arial" w:cs="Arial"/>
          <w:b/>
          <w:bCs/>
          <w:sz w:val="24"/>
          <w:szCs w:val="20"/>
        </w:rPr>
      </w:pPr>
    </w:p>
    <w:p w:rsidR="002F4C81" w:rsidRDefault="002F4C81" w:rsidP="00823211">
      <w:pPr>
        <w:keepNext/>
        <w:spacing w:after="0" w:line="240" w:lineRule="auto"/>
        <w:outlineLvl w:val="1"/>
        <w:rPr>
          <w:rFonts w:ascii="Arial" w:eastAsia="Times New Roman" w:hAnsi="Arial" w:cs="Arial"/>
          <w:b/>
          <w:bCs/>
          <w:sz w:val="24"/>
          <w:szCs w:val="20"/>
        </w:rPr>
      </w:pPr>
    </w:p>
    <w:p w:rsidR="002F4C81" w:rsidRDefault="002F4C81" w:rsidP="00823211">
      <w:pPr>
        <w:keepNext/>
        <w:spacing w:after="0" w:line="240" w:lineRule="auto"/>
        <w:outlineLvl w:val="1"/>
        <w:rPr>
          <w:rFonts w:ascii="Arial" w:eastAsia="Times New Roman" w:hAnsi="Arial" w:cs="Arial"/>
          <w:b/>
          <w:bCs/>
          <w:sz w:val="24"/>
          <w:szCs w:val="20"/>
        </w:rPr>
      </w:pPr>
    </w:p>
    <w:p w:rsidR="00DE3F78" w:rsidRDefault="00DE3F78" w:rsidP="00823211">
      <w:pPr>
        <w:keepNext/>
        <w:spacing w:after="0" w:line="240" w:lineRule="auto"/>
        <w:outlineLvl w:val="1"/>
        <w:rPr>
          <w:rFonts w:ascii="Arial" w:eastAsia="Times New Roman" w:hAnsi="Arial" w:cs="Arial"/>
          <w:b/>
          <w:bCs/>
          <w:sz w:val="24"/>
          <w:szCs w:val="20"/>
        </w:rPr>
      </w:pPr>
    </w:p>
    <w:p w:rsidR="00DE3F78" w:rsidRPr="005F4AD3" w:rsidRDefault="00DE3F78" w:rsidP="00823211">
      <w:pPr>
        <w:keepNext/>
        <w:spacing w:after="0" w:line="240" w:lineRule="auto"/>
        <w:outlineLvl w:val="1"/>
        <w:rPr>
          <w:rFonts w:ascii="Calibri" w:eastAsia="Times New Roman" w:hAnsi="Calibri" w:cs="Arial"/>
          <w:b/>
          <w:bCs/>
          <w:color w:val="000099"/>
          <w:sz w:val="32"/>
          <w:szCs w:val="20"/>
        </w:rPr>
      </w:pPr>
      <w:r w:rsidRPr="005F4AD3">
        <w:rPr>
          <w:rFonts w:ascii="Calibri" w:eastAsia="Times New Roman" w:hAnsi="Calibri" w:cs="Arial"/>
          <w:b/>
          <w:bCs/>
          <w:color w:val="000099"/>
          <w:sz w:val="32"/>
          <w:szCs w:val="20"/>
        </w:rPr>
        <w:t xml:space="preserve">Background to the </w:t>
      </w:r>
      <w:r w:rsidR="00F919C5">
        <w:rPr>
          <w:rFonts w:ascii="Calibri" w:eastAsia="Times New Roman" w:hAnsi="Calibri" w:cs="Arial"/>
          <w:b/>
          <w:bCs/>
          <w:color w:val="000099"/>
          <w:sz w:val="32"/>
          <w:szCs w:val="20"/>
        </w:rPr>
        <w:t xml:space="preserve">Independent Custody Visiting (ICV) </w:t>
      </w:r>
      <w:r w:rsidRPr="005F4AD3">
        <w:rPr>
          <w:rFonts w:ascii="Calibri" w:eastAsia="Times New Roman" w:hAnsi="Calibri" w:cs="Arial"/>
          <w:b/>
          <w:bCs/>
          <w:color w:val="000099"/>
          <w:sz w:val="32"/>
          <w:szCs w:val="20"/>
        </w:rPr>
        <w:t>Scheme</w:t>
      </w:r>
    </w:p>
    <w:p w:rsidR="00A77C14" w:rsidRPr="006C6711" w:rsidRDefault="00A77C14" w:rsidP="00A77C14">
      <w:pPr>
        <w:spacing w:after="0" w:line="240" w:lineRule="auto"/>
        <w:rPr>
          <w:rFonts w:ascii="Calibri" w:eastAsia="Times New Roman" w:hAnsi="Calibri" w:cs="Arial"/>
          <w:b/>
          <w:bCs/>
          <w:sz w:val="24"/>
          <w:szCs w:val="20"/>
          <w:u w:val="single"/>
        </w:rPr>
      </w:pPr>
    </w:p>
    <w:p w:rsidR="00DE154E" w:rsidRPr="00DE154E" w:rsidRDefault="00605AC4" w:rsidP="002C2459">
      <w:pPr>
        <w:spacing w:after="0" w:line="240" w:lineRule="auto"/>
        <w:jc w:val="both"/>
        <w:rPr>
          <w:rFonts w:ascii="Calibri" w:eastAsia="Times New Roman" w:hAnsi="Calibri" w:cs="Arial"/>
          <w:sz w:val="24"/>
          <w:szCs w:val="20"/>
        </w:rPr>
      </w:pPr>
      <w:r>
        <w:rPr>
          <w:rFonts w:ascii="Calibri" w:eastAsia="Times New Roman" w:hAnsi="Calibri" w:cs="Arial"/>
          <w:sz w:val="24"/>
          <w:szCs w:val="20"/>
        </w:rPr>
        <w:t xml:space="preserve">Independent Custody Visiting schemes are overseen and led by Police Crime Commissioners and supported by the work of the Independent Custody Visiting Association. Together they help </w:t>
      </w:r>
      <w:r w:rsidR="005827D5">
        <w:rPr>
          <w:rFonts w:ascii="Calibri" w:eastAsia="Times New Roman" w:hAnsi="Calibri" w:cs="Arial"/>
          <w:sz w:val="24"/>
          <w:szCs w:val="20"/>
        </w:rPr>
        <w:t xml:space="preserve">deliver public </w:t>
      </w:r>
      <w:r w:rsidR="00DE154E" w:rsidRPr="00DE154E">
        <w:rPr>
          <w:rFonts w:ascii="Calibri" w:eastAsia="Times New Roman" w:hAnsi="Calibri" w:cs="Arial"/>
          <w:sz w:val="24"/>
          <w:szCs w:val="20"/>
        </w:rPr>
        <w:t>reassurance that detainees are treated properly in police custody.</w:t>
      </w:r>
      <w:r>
        <w:rPr>
          <w:rFonts w:ascii="Calibri" w:eastAsia="Times New Roman" w:hAnsi="Calibri" w:cs="Arial"/>
          <w:sz w:val="24"/>
          <w:szCs w:val="20"/>
        </w:rPr>
        <w:t xml:space="preserve">  Under these provisions every </w:t>
      </w:r>
      <w:r w:rsidR="00DE154E" w:rsidRPr="00DE154E">
        <w:rPr>
          <w:rFonts w:ascii="Calibri" w:eastAsia="Times New Roman" w:hAnsi="Calibri" w:cs="Arial"/>
          <w:sz w:val="24"/>
          <w:szCs w:val="20"/>
        </w:rPr>
        <w:t xml:space="preserve">PCC </w:t>
      </w:r>
      <w:r>
        <w:rPr>
          <w:rFonts w:ascii="Calibri" w:eastAsia="Times New Roman" w:hAnsi="Calibri" w:cs="Arial"/>
          <w:sz w:val="24"/>
          <w:szCs w:val="20"/>
        </w:rPr>
        <w:t xml:space="preserve">office </w:t>
      </w:r>
      <w:r w:rsidR="00DE154E" w:rsidRPr="00DE154E">
        <w:rPr>
          <w:rFonts w:ascii="Calibri" w:eastAsia="Times New Roman" w:hAnsi="Calibri" w:cs="Arial"/>
          <w:sz w:val="24"/>
          <w:szCs w:val="20"/>
        </w:rPr>
        <w:t>must make arrangements for detainees to be visited by ICVs and keep these arrangements under review as the OPCC thinks fit.  The</w:t>
      </w:r>
      <w:r>
        <w:rPr>
          <w:rFonts w:ascii="Calibri" w:eastAsia="Times New Roman" w:hAnsi="Calibri" w:cs="Arial"/>
          <w:sz w:val="24"/>
          <w:szCs w:val="20"/>
        </w:rPr>
        <w:t xml:space="preserve"> Police and Criminal Evidence Act (PACE)</w:t>
      </w:r>
      <w:r w:rsidR="00DE154E" w:rsidRPr="00DE154E">
        <w:rPr>
          <w:rFonts w:ascii="Calibri" w:eastAsia="Times New Roman" w:hAnsi="Calibri" w:cs="Arial"/>
          <w:sz w:val="24"/>
          <w:szCs w:val="20"/>
        </w:rPr>
        <w:t xml:space="preserve"> makes it clear that any persons appointed under the new arrangements must be independent of both the OPCC and the Chief Constable.  </w:t>
      </w:r>
    </w:p>
    <w:p w:rsidR="00DE154E" w:rsidRPr="00DE154E" w:rsidRDefault="00DE154E" w:rsidP="002C2459">
      <w:pPr>
        <w:spacing w:after="0" w:line="240" w:lineRule="auto"/>
        <w:jc w:val="both"/>
        <w:rPr>
          <w:rFonts w:ascii="Calibri" w:eastAsia="Times New Roman" w:hAnsi="Calibri" w:cs="Arial"/>
          <w:sz w:val="24"/>
          <w:szCs w:val="20"/>
        </w:rPr>
      </w:pPr>
    </w:p>
    <w:p w:rsidR="00A77C14" w:rsidRPr="006C6711" w:rsidRDefault="00DE154E" w:rsidP="002C2459">
      <w:pPr>
        <w:spacing w:after="0" w:line="240" w:lineRule="auto"/>
        <w:jc w:val="both"/>
        <w:rPr>
          <w:rFonts w:ascii="Calibri" w:eastAsia="Times New Roman" w:hAnsi="Calibri" w:cs="Arial"/>
          <w:sz w:val="24"/>
          <w:szCs w:val="20"/>
        </w:rPr>
      </w:pPr>
      <w:r w:rsidRPr="00DE154E">
        <w:rPr>
          <w:rFonts w:ascii="Calibri" w:eastAsia="Times New Roman" w:hAnsi="Calibri" w:cs="Arial"/>
          <w:sz w:val="24"/>
          <w:szCs w:val="20"/>
        </w:rPr>
        <w:t xml:space="preserve">In Essex, Independent Custody Visitors (ICVs) make unannounced visits to custody suites around the county to check on the welfare of detained persons, ensure they have received their rights and make sure they are being held in conditions that are up to standard. </w:t>
      </w:r>
      <w:r w:rsidR="00DE3F78" w:rsidRPr="006C6711">
        <w:rPr>
          <w:rFonts w:ascii="Calibri" w:eastAsia="Times New Roman" w:hAnsi="Calibri" w:cs="Arial"/>
          <w:sz w:val="24"/>
          <w:szCs w:val="20"/>
        </w:rPr>
        <w:t xml:space="preserve">The Essex </w:t>
      </w:r>
      <w:r w:rsidR="00A77C14" w:rsidRPr="006C6711">
        <w:rPr>
          <w:rFonts w:ascii="Calibri" w:eastAsia="Times New Roman" w:hAnsi="Calibri" w:cs="Arial"/>
          <w:sz w:val="24"/>
          <w:szCs w:val="20"/>
        </w:rPr>
        <w:t xml:space="preserve">Independent Custody Visiting scheme </w:t>
      </w:r>
      <w:r w:rsidR="00DE3F78" w:rsidRPr="006C6711">
        <w:rPr>
          <w:rFonts w:ascii="Calibri" w:eastAsia="Times New Roman" w:hAnsi="Calibri" w:cs="Arial"/>
          <w:sz w:val="24"/>
          <w:szCs w:val="20"/>
        </w:rPr>
        <w:t>gives</w:t>
      </w:r>
      <w:r w:rsidR="00A77C14" w:rsidRPr="006C6711">
        <w:rPr>
          <w:rFonts w:ascii="Calibri" w:eastAsia="Times New Roman" w:hAnsi="Calibri" w:cs="Arial"/>
          <w:sz w:val="24"/>
          <w:szCs w:val="20"/>
        </w:rPr>
        <w:t xml:space="preserve"> appointed members of the public opportunities to visit local police stations unannounced to observe and report on the treatment of detainees and the conditions in which they are held.  The scheme offers protection to both detainees and the police and reassurance to the community at large.</w:t>
      </w:r>
    </w:p>
    <w:p w:rsidR="00A77C14" w:rsidRPr="006C6711" w:rsidRDefault="00605AC4" w:rsidP="0094538D">
      <w:pPr>
        <w:keepNext/>
        <w:spacing w:after="0" w:line="240" w:lineRule="auto"/>
        <w:outlineLvl w:val="1"/>
        <w:rPr>
          <w:rFonts w:ascii="Calibri" w:eastAsia="Times New Roman" w:hAnsi="Calibri" w:cs="Arial"/>
          <w:b/>
          <w:bCs/>
          <w:sz w:val="24"/>
          <w:szCs w:val="20"/>
          <w:u w:val="single"/>
        </w:rPr>
      </w:pPr>
      <w:r>
        <w:rPr>
          <w:rFonts w:ascii="Calibri" w:eastAsia="Times New Roman" w:hAnsi="Calibri" w:cs="Arial"/>
          <w:noProof/>
          <w:sz w:val="24"/>
          <w:szCs w:val="20"/>
          <w:lang w:eastAsia="en-GB"/>
        </w:rPr>
        <w:drawing>
          <wp:anchor distT="0" distB="0" distL="114300" distR="114300" simplePos="0" relativeHeight="251661312" behindDoc="1" locked="0" layoutInCell="1" allowOverlap="1" wp14:anchorId="671E294F" wp14:editId="0B23A234">
            <wp:simplePos x="0" y="0"/>
            <wp:positionH relativeFrom="column">
              <wp:posOffset>2086610</wp:posOffset>
            </wp:positionH>
            <wp:positionV relativeFrom="paragraph">
              <wp:posOffset>180340</wp:posOffset>
            </wp:positionV>
            <wp:extent cx="3839210" cy="2559685"/>
            <wp:effectExtent l="133350" t="114300" r="142240" b="164465"/>
            <wp:wrapTight wrapText="bothSides">
              <wp:wrapPolygon edited="0">
                <wp:start x="-429" y="-965"/>
                <wp:lineTo x="-750" y="-643"/>
                <wp:lineTo x="-750" y="21702"/>
                <wp:lineTo x="-536" y="22506"/>
                <wp:lineTo x="-214" y="22827"/>
                <wp:lineTo x="21757" y="22827"/>
                <wp:lineTo x="22186" y="22506"/>
                <wp:lineTo x="22293" y="1929"/>
                <wp:lineTo x="22079" y="-965"/>
                <wp:lineTo x="-429" y="-96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yhol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39210" cy="25596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DE154E" w:rsidRDefault="00A77C14" w:rsidP="002C2459">
      <w:pPr>
        <w:spacing w:after="0" w:line="240" w:lineRule="auto"/>
        <w:jc w:val="both"/>
        <w:rPr>
          <w:rFonts w:ascii="Calibri" w:eastAsia="Times New Roman" w:hAnsi="Calibri" w:cs="Arial"/>
          <w:sz w:val="24"/>
          <w:szCs w:val="20"/>
        </w:rPr>
      </w:pPr>
      <w:r w:rsidRPr="006C6711">
        <w:rPr>
          <w:rFonts w:ascii="Calibri" w:eastAsia="Times New Roman" w:hAnsi="Calibri" w:cs="Arial"/>
          <w:sz w:val="24"/>
          <w:szCs w:val="20"/>
        </w:rPr>
        <w:t xml:space="preserve">ICVs speak to detainees, asking them about their experiences and check that they’ve been given their legal rights and entitlements. </w:t>
      </w:r>
      <w:r w:rsidR="00484038" w:rsidRPr="00484038">
        <w:rPr>
          <w:rFonts w:ascii="Calibri" w:eastAsia="Times New Roman" w:hAnsi="Calibri" w:cs="Arial"/>
          <w:sz w:val="24"/>
          <w:szCs w:val="20"/>
        </w:rPr>
        <w:t xml:space="preserve">ICVs check all areas of custody including cells, kitchen areas, interview rooms, store </w:t>
      </w:r>
      <w:r w:rsidR="00484038">
        <w:rPr>
          <w:rFonts w:ascii="Calibri" w:eastAsia="Times New Roman" w:hAnsi="Calibri" w:cs="Arial"/>
          <w:sz w:val="24"/>
          <w:szCs w:val="20"/>
        </w:rPr>
        <w:t xml:space="preserve">cupboards, </w:t>
      </w:r>
      <w:r w:rsidR="00DE154E">
        <w:rPr>
          <w:rFonts w:ascii="Calibri" w:eastAsia="Times New Roman" w:hAnsi="Calibri" w:cs="Arial"/>
          <w:sz w:val="24"/>
          <w:szCs w:val="20"/>
        </w:rPr>
        <w:t>medica</w:t>
      </w:r>
      <w:r w:rsidR="00EF24AC">
        <w:rPr>
          <w:rFonts w:ascii="Calibri" w:eastAsia="Times New Roman" w:hAnsi="Calibri" w:cs="Arial"/>
          <w:sz w:val="24"/>
          <w:szCs w:val="20"/>
        </w:rPr>
        <w:t xml:space="preserve">l rooms, corridors, shower and </w:t>
      </w:r>
      <w:r w:rsidR="00DE154E">
        <w:rPr>
          <w:rFonts w:ascii="Calibri" w:eastAsia="Times New Roman" w:hAnsi="Calibri" w:cs="Arial"/>
          <w:sz w:val="24"/>
          <w:szCs w:val="20"/>
        </w:rPr>
        <w:t xml:space="preserve">toilet </w:t>
      </w:r>
      <w:r w:rsidR="00F919C5">
        <w:rPr>
          <w:rFonts w:ascii="Calibri" w:eastAsia="Times New Roman" w:hAnsi="Calibri" w:cs="Arial"/>
          <w:sz w:val="24"/>
          <w:szCs w:val="20"/>
        </w:rPr>
        <w:t>facilities</w:t>
      </w:r>
      <w:r w:rsidR="00484038" w:rsidRPr="00484038">
        <w:rPr>
          <w:rFonts w:ascii="Calibri" w:eastAsia="Times New Roman" w:hAnsi="Calibri" w:cs="Arial"/>
          <w:sz w:val="24"/>
          <w:szCs w:val="20"/>
        </w:rPr>
        <w:t xml:space="preserve"> etc.  Issues  of  poor  standards  of  cleanliness  are  often  reported  in  one  area  of  custody  whilst  the  report might also comment on good standards</w:t>
      </w:r>
      <w:r w:rsidR="00484038">
        <w:rPr>
          <w:rFonts w:ascii="Calibri" w:eastAsia="Times New Roman" w:hAnsi="Calibri" w:cs="Arial"/>
          <w:sz w:val="24"/>
          <w:szCs w:val="20"/>
        </w:rPr>
        <w:t xml:space="preserve"> </w:t>
      </w:r>
      <w:r w:rsidR="00484038" w:rsidRPr="00484038">
        <w:rPr>
          <w:rFonts w:ascii="Calibri" w:eastAsia="Times New Roman" w:hAnsi="Calibri" w:cs="Arial"/>
          <w:sz w:val="24"/>
          <w:szCs w:val="20"/>
        </w:rPr>
        <w:t>of cleanliness in another area.</w:t>
      </w:r>
      <w:r w:rsidR="00DE154E">
        <w:rPr>
          <w:rFonts w:ascii="Calibri" w:eastAsia="Times New Roman" w:hAnsi="Calibri" w:cs="Arial"/>
          <w:sz w:val="24"/>
          <w:szCs w:val="20"/>
        </w:rPr>
        <w:t xml:space="preserve"> </w:t>
      </w:r>
      <w:r w:rsidR="00484038">
        <w:rPr>
          <w:rFonts w:ascii="Calibri" w:eastAsia="Times New Roman" w:hAnsi="Calibri" w:cs="Arial"/>
          <w:sz w:val="24"/>
          <w:szCs w:val="20"/>
        </w:rPr>
        <w:t xml:space="preserve"> </w:t>
      </w:r>
    </w:p>
    <w:p w:rsidR="00DE154E" w:rsidRDefault="00DE154E" w:rsidP="002C2459">
      <w:pPr>
        <w:spacing w:after="0" w:line="240" w:lineRule="auto"/>
        <w:jc w:val="both"/>
        <w:rPr>
          <w:rFonts w:ascii="Calibri" w:eastAsia="Times New Roman" w:hAnsi="Calibri" w:cs="Arial"/>
          <w:sz w:val="24"/>
          <w:szCs w:val="20"/>
        </w:rPr>
      </w:pPr>
    </w:p>
    <w:p w:rsidR="00A77C14" w:rsidRPr="006C6711" w:rsidRDefault="00484038" w:rsidP="002C2459">
      <w:pPr>
        <w:spacing w:after="0" w:line="240" w:lineRule="auto"/>
        <w:jc w:val="both"/>
        <w:rPr>
          <w:rFonts w:ascii="Calibri" w:eastAsia="Times New Roman" w:hAnsi="Calibri" w:cs="Arial"/>
          <w:sz w:val="24"/>
          <w:szCs w:val="20"/>
        </w:rPr>
      </w:pPr>
      <w:r w:rsidRPr="00484038">
        <w:rPr>
          <w:rFonts w:ascii="Calibri" w:eastAsia="Times New Roman" w:hAnsi="Calibri" w:cs="Arial"/>
          <w:sz w:val="24"/>
          <w:szCs w:val="20"/>
        </w:rPr>
        <w:t>ICVs</w:t>
      </w:r>
      <w:r>
        <w:rPr>
          <w:rFonts w:ascii="Calibri" w:eastAsia="Times New Roman" w:hAnsi="Calibri" w:cs="Arial"/>
          <w:sz w:val="24"/>
          <w:szCs w:val="20"/>
        </w:rPr>
        <w:t xml:space="preserve"> </w:t>
      </w:r>
      <w:r w:rsidR="00DE154E">
        <w:rPr>
          <w:rFonts w:ascii="Calibri" w:eastAsia="Times New Roman" w:hAnsi="Calibri" w:cs="Arial"/>
          <w:sz w:val="24"/>
          <w:szCs w:val="20"/>
        </w:rPr>
        <w:t xml:space="preserve">should have immediate access to </w:t>
      </w:r>
      <w:r w:rsidR="00605AC4">
        <w:rPr>
          <w:rFonts w:ascii="Calibri" w:eastAsia="Times New Roman" w:hAnsi="Calibri" w:cs="Arial"/>
          <w:sz w:val="24"/>
          <w:szCs w:val="20"/>
        </w:rPr>
        <w:t xml:space="preserve">police </w:t>
      </w:r>
      <w:r w:rsidR="00DE154E">
        <w:rPr>
          <w:rFonts w:ascii="Calibri" w:eastAsia="Times New Roman" w:hAnsi="Calibri" w:cs="Arial"/>
          <w:sz w:val="24"/>
          <w:szCs w:val="20"/>
        </w:rPr>
        <w:t xml:space="preserve">custody </w:t>
      </w:r>
      <w:r w:rsidRPr="00484038">
        <w:rPr>
          <w:rFonts w:ascii="Calibri" w:eastAsia="Times New Roman" w:hAnsi="Calibri" w:cs="Arial"/>
          <w:sz w:val="24"/>
          <w:szCs w:val="20"/>
        </w:rPr>
        <w:t xml:space="preserve">but </w:t>
      </w:r>
      <w:r w:rsidR="00DE154E">
        <w:rPr>
          <w:rFonts w:ascii="Calibri" w:eastAsia="Times New Roman" w:hAnsi="Calibri" w:cs="Arial"/>
          <w:sz w:val="24"/>
          <w:szCs w:val="20"/>
        </w:rPr>
        <w:t>accept a</w:t>
      </w:r>
      <w:r w:rsidRPr="00484038">
        <w:rPr>
          <w:rFonts w:ascii="Calibri" w:eastAsia="Times New Roman" w:hAnsi="Calibri" w:cs="Arial"/>
          <w:sz w:val="24"/>
          <w:szCs w:val="20"/>
        </w:rPr>
        <w:t xml:space="preserve"> short</w:t>
      </w:r>
      <w:r w:rsidR="00DE154E">
        <w:rPr>
          <w:rFonts w:ascii="Calibri" w:eastAsia="Times New Roman" w:hAnsi="Calibri" w:cs="Arial"/>
          <w:sz w:val="24"/>
          <w:szCs w:val="20"/>
        </w:rPr>
        <w:t xml:space="preserve"> wait is</w:t>
      </w:r>
      <w:r w:rsidRPr="00484038">
        <w:rPr>
          <w:rFonts w:ascii="Calibri" w:eastAsia="Times New Roman" w:hAnsi="Calibri" w:cs="Arial"/>
          <w:sz w:val="24"/>
          <w:szCs w:val="20"/>
        </w:rPr>
        <w:t xml:space="preserve"> acceptable for certain reasons such as a health and safety issues or </w:t>
      </w:r>
      <w:r w:rsidR="00DE154E">
        <w:rPr>
          <w:rFonts w:ascii="Calibri" w:eastAsia="Times New Roman" w:hAnsi="Calibri" w:cs="Arial"/>
          <w:sz w:val="24"/>
          <w:szCs w:val="20"/>
        </w:rPr>
        <w:t xml:space="preserve">if </w:t>
      </w:r>
      <w:r w:rsidRPr="00484038">
        <w:rPr>
          <w:rFonts w:ascii="Calibri" w:eastAsia="Times New Roman" w:hAnsi="Calibri" w:cs="Arial"/>
          <w:sz w:val="24"/>
          <w:szCs w:val="20"/>
        </w:rPr>
        <w:t>ICVs</w:t>
      </w:r>
      <w:r w:rsidR="00DE154E">
        <w:rPr>
          <w:rFonts w:ascii="Calibri" w:eastAsia="Times New Roman" w:hAnsi="Calibri" w:cs="Arial"/>
          <w:sz w:val="24"/>
          <w:szCs w:val="20"/>
        </w:rPr>
        <w:t xml:space="preserve"> arrive during</w:t>
      </w:r>
      <w:r w:rsidRPr="00484038">
        <w:rPr>
          <w:rFonts w:ascii="Calibri" w:eastAsia="Times New Roman" w:hAnsi="Calibri" w:cs="Arial"/>
          <w:sz w:val="24"/>
          <w:szCs w:val="20"/>
        </w:rPr>
        <w:t xml:space="preserve"> </w:t>
      </w:r>
      <w:r w:rsidR="00605AC4">
        <w:rPr>
          <w:rFonts w:ascii="Calibri" w:eastAsia="Times New Roman" w:hAnsi="Calibri" w:cs="Arial"/>
          <w:sz w:val="24"/>
          <w:szCs w:val="20"/>
        </w:rPr>
        <w:t xml:space="preserve">operational police </w:t>
      </w:r>
      <w:r w:rsidRPr="00484038">
        <w:rPr>
          <w:rFonts w:ascii="Calibri" w:eastAsia="Times New Roman" w:hAnsi="Calibri" w:cs="Arial"/>
          <w:sz w:val="24"/>
          <w:szCs w:val="20"/>
        </w:rPr>
        <w:t>handover. ICVs</w:t>
      </w:r>
      <w:r w:rsidR="00DE154E">
        <w:rPr>
          <w:rFonts w:ascii="Calibri" w:eastAsia="Times New Roman" w:hAnsi="Calibri" w:cs="Arial"/>
          <w:sz w:val="24"/>
          <w:szCs w:val="20"/>
        </w:rPr>
        <w:t xml:space="preserve"> </w:t>
      </w:r>
      <w:r w:rsidRPr="00484038">
        <w:rPr>
          <w:rFonts w:ascii="Calibri" w:eastAsia="Times New Roman" w:hAnsi="Calibri" w:cs="Arial"/>
          <w:sz w:val="24"/>
          <w:szCs w:val="20"/>
        </w:rPr>
        <w:t>should always expect an explanation and can escalate a concern to the Custody/Duty Inspector if they feel it necessary</w:t>
      </w:r>
      <w:r w:rsidR="00DE154E">
        <w:rPr>
          <w:rFonts w:ascii="Calibri" w:eastAsia="Times New Roman" w:hAnsi="Calibri" w:cs="Arial"/>
          <w:sz w:val="24"/>
          <w:szCs w:val="20"/>
        </w:rPr>
        <w:t>.</w:t>
      </w:r>
      <w:r w:rsidR="00A77C14" w:rsidRPr="006C6711">
        <w:rPr>
          <w:rFonts w:ascii="Calibri" w:eastAsia="Times New Roman" w:hAnsi="Calibri" w:cs="Arial"/>
          <w:sz w:val="24"/>
          <w:szCs w:val="20"/>
        </w:rPr>
        <w:t xml:space="preserve"> They complete visit reports, alerting the</w:t>
      </w:r>
      <w:r w:rsidR="00DE3F78" w:rsidRPr="006C6711">
        <w:rPr>
          <w:rFonts w:ascii="Calibri" w:eastAsia="Times New Roman" w:hAnsi="Calibri" w:cs="Arial"/>
          <w:sz w:val="24"/>
          <w:szCs w:val="20"/>
        </w:rPr>
        <w:t xml:space="preserve"> scheme manager at Essex OPCC of </w:t>
      </w:r>
      <w:r w:rsidR="00A77C14" w:rsidRPr="006C6711">
        <w:rPr>
          <w:rFonts w:ascii="Calibri" w:eastAsia="Times New Roman" w:hAnsi="Calibri" w:cs="Arial"/>
          <w:sz w:val="24"/>
          <w:szCs w:val="20"/>
        </w:rPr>
        <w:t xml:space="preserve">their findings and raising problems or concerns. </w:t>
      </w:r>
      <w:r w:rsidR="00605AC4">
        <w:rPr>
          <w:rFonts w:ascii="Calibri" w:eastAsia="Times New Roman" w:hAnsi="Calibri" w:cs="Arial"/>
          <w:sz w:val="24"/>
          <w:szCs w:val="20"/>
        </w:rPr>
        <w:t>The Essex</w:t>
      </w:r>
      <w:r w:rsidR="00DE154E">
        <w:rPr>
          <w:rFonts w:ascii="Calibri" w:eastAsia="Times New Roman" w:hAnsi="Calibri" w:cs="Arial"/>
          <w:sz w:val="24"/>
          <w:szCs w:val="20"/>
        </w:rPr>
        <w:t xml:space="preserve"> scheme</w:t>
      </w:r>
      <w:r w:rsidR="00A77C14" w:rsidRPr="006C6711">
        <w:rPr>
          <w:rFonts w:ascii="Calibri" w:eastAsia="Times New Roman" w:hAnsi="Calibri" w:cs="Arial"/>
          <w:sz w:val="24"/>
          <w:szCs w:val="20"/>
        </w:rPr>
        <w:t xml:space="preserve"> also share</w:t>
      </w:r>
      <w:r w:rsidR="00DE154E">
        <w:rPr>
          <w:rFonts w:ascii="Calibri" w:eastAsia="Times New Roman" w:hAnsi="Calibri" w:cs="Arial"/>
          <w:sz w:val="24"/>
          <w:szCs w:val="20"/>
        </w:rPr>
        <w:t>s</w:t>
      </w:r>
      <w:r w:rsidR="00A77C14" w:rsidRPr="006C6711">
        <w:rPr>
          <w:rFonts w:ascii="Calibri" w:eastAsia="Times New Roman" w:hAnsi="Calibri" w:cs="Arial"/>
          <w:sz w:val="24"/>
          <w:szCs w:val="20"/>
        </w:rPr>
        <w:t xml:space="preserve"> findings, themes and learning with the Independent Custody Visiting Association (ICVA) t</w:t>
      </w:r>
      <w:r w:rsidR="00DE3F78" w:rsidRPr="006C6711">
        <w:rPr>
          <w:rFonts w:ascii="Calibri" w:eastAsia="Times New Roman" w:hAnsi="Calibri" w:cs="Arial"/>
          <w:sz w:val="24"/>
          <w:szCs w:val="20"/>
        </w:rPr>
        <w:t>o represent at a national level, as well other schemes in the Easter</w:t>
      </w:r>
      <w:r w:rsidR="00DE154E">
        <w:rPr>
          <w:rFonts w:ascii="Calibri" w:eastAsia="Times New Roman" w:hAnsi="Calibri" w:cs="Arial"/>
          <w:sz w:val="24"/>
          <w:szCs w:val="20"/>
        </w:rPr>
        <w:t>n</w:t>
      </w:r>
      <w:r w:rsidR="00DE3F78" w:rsidRPr="006C6711">
        <w:rPr>
          <w:rFonts w:ascii="Calibri" w:eastAsia="Times New Roman" w:hAnsi="Calibri" w:cs="Arial"/>
          <w:sz w:val="24"/>
          <w:szCs w:val="20"/>
        </w:rPr>
        <w:t xml:space="preserve"> region.</w:t>
      </w:r>
    </w:p>
    <w:p w:rsidR="00DE3F78" w:rsidRPr="006C6711" w:rsidRDefault="00DE3F78" w:rsidP="0094538D">
      <w:pPr>
        <w:spacing w:after="0" w:line="240" w:lineRule="auto"/>
        <w:rPr>
          <w:rFonts w:ascii="Calibri" w:eastAsia="Times New Roman" w:hAnsi="Calibri" w:cs="Arial"/>
          <w:sz w:val="24"/>
          <w:szCs w:val="20"/>
        </w:rPr>
      </w:pPr>
    </w:p>
    <w:p w:rsidR="00D82CD6" w:rsidRDefault="00D82CD6" w:rsidP="0094538D">
      <w:pPr>
        <w:spacing w:after="0" w:line="240" w:lineRule="auto"/>
        <w:rPr>
          <w:rFonts w:ascii="Calibri" w:hAnsi="Calibri" w:cs="Arial"/>
          <w:sz w:val="24"/>
        </w:rPr>
      </w:pPr>
    </w:p>
    <w:p w:rsidR="00BB4582" w:rsidRDefault="00BB4582" w:rsidP="002C2459">
      <w:pPr>
        <w:spacing w:after="0" w:line="240" w:lineRule="auto"/>
        <w:jc w:val="both"/>
        <w:rPr>
          <w:rFonts w:ascii="Calibri" w:hAnsi="Calibri" w:cs="Arial"/>
          <w:sz w:val="24"/>
        </w:rPr>
      </w:pPr>
    </w:p>
    <w:p w:rsidR="00BB4582" w:rsidRDefault="00BB4582" w:rsidP="002C2459">
      <w:pPr>
        <w:spacing w:after="0" w:line="240" w:lineRule="auto"/>
        <w:jc w:val="both"/>
        <w:rPr>
          <w:rFonts w:ascii="Calibri" w:hAnsi="Calibri" w:cs="Arial"/>
          <w:sz w:val="24"/>
        </w:rPr>
      </w:pPr>
    </w:p>
    <w:p w:rsidR="00360E01" w:rsidRDefault="00605AC4" w:rsidP="002C2459">
      <w:pPr>
        <w:spacing w:after="0" w:line="240" w:lineRule="auto"/>
        <w:jc w:val="both"/>
        <w:rPr>
          <w:rFonts w:ascii="Calibri" w:hAnsi="Calibri" w:cs="Arial"/>
          <w:sz w:val="24"/>
        </w:rPr>
      </w:pPr>
      <w:r>
        <w:rPr>
          <w:rFonts w:ascii="Calibri" w:hAnsi="Calibri" w:cs="Arial"/>
          <w:sz w:val="24"/>
        </w:rPr>
        <w:t xml:space="preserve">ICV </w:t>
      </w:r>
      <w:r w:rsidR="00360E01" w:rsidRPr="006C6711">
        <w:rPr>
          <w:rFonts w:ascii="Calibri" w:hAnsi="Calibri" w:cs="Arial"/>
          <w:sz w:val="24"/>
        </w:rPr>
        <w:t xml:space="preserve">Volunteers in Essex visit the following </w:t>
      </w:r>
      <w:r>
        <w:rPr>
          <w:rFonts w:ascii="Calibri" w:hAnsi="Calibri" w:cs="Arial"/>
          <w:sz w:val="24"/>
        </w:rPr>
        <w:t xml:space="preserve">police </w:t>
      </w:r>
      <w:r w:rsidR="00360E01" w:rsidRPr="006C6711">
        <w:rPr>
          <w:rFonts w:ascii="Calibri" w:hAnsi="Calibri" w:cs="Arial"/>
          <w:sz w:val="24"/>
        </w:rPr>
        <w:t>stations:</w:t>
      </w:r>
    </w:p>
    <w:p w:rsidR="007D3115" w:rsidRPr="006C6711" w:rsidRDefault="007D3115" w:rsidP="002C2459">
      <w:pPr>
        <w:spacing w:after="0" w:line="240" w:lineRule="auto"/>
        <w:jc w:val="both"/>
        <w:rPr>
          <w:rFonts w:ascii="Calibri" w:hAnsi="Calibri" w:cs="Arial"/>
          <w:sz w:val="24"/>
        </w:rPr>
      </w:pPr>
    </w:p>
    <w:p w:rsidR="00360E01" w:rsidRPr="006C6711" w:rsidRDefault="00360E01" w:rsidP="002C2459">
      <w:pPr>
        <w:pStyle w:val="ListParagraph"/>
        <w:numPr>
          <w:ilvl w:val="0"/>
          <w:numId w:val="3"/>
        </w:numPr>
        <w:spacing w:after="0" w:line="240" w:lineRule="auto"/>
        <w:jc w:val="both"/>
        <w:rPr>
          <w:rFonts w:ascii="Calibri" w:hAnsi="Calibri" w:cs="Arial"/>
          <w:b/>
          <w:sz w:val="24"/>
        </w:rPr>
      </w:pPr>
      <w:r w:rsidRPr="006C6711">
        <w:rPr>
          <w:rFonts w:ascii="Calibri" w:hAnsi="Calibri" w:cs="Arial"/>
          <w:b/>
          <w:sz w:val="24"/>
        </w:rPr>
        <w:t>BASILDON</w:t>
      </w:r>
    </w:p>
    <w:p w:rsidR="00360E01" w:rsidRPr="006C6711" w:rsidRDefault="00360E01" w:rsidP="002C2459">
      <w:pPr>
        <w:pStyle w:val="ListParagraph"/>
        <w:numPr>
          <w:ilvl w:val="0"/>
          <w:numId w:val="3"/>
        </w:numPr>
        <w:spacing w:after="0" w:line="240" w:lineRule="auto"/>
        <w:jc w:val="both"/>
        <w:rPr>
          <w:rFonts w:ascii="Calibri" w:hAnsi="Calibri" w:cs="Arial"/>
          <w:b/>
          <w:sz w:val="24"/>
        </w:rPr>
      </w:pPr>
      <w:r w:rsidRPr="006C6711">
        <w:rPr>
          <w:rFonts w:ascii="Calibri" w:hAnsi="Calibri" w:cs="Arial"/>
          <w:b/>
          <w:sz w:val="24"/>
        </w:rPr>
        <w:t>CHELMSFORD</w:t>
      </w:r>
    </w:p>
    <w:p w:rsidR="00360E01" w:rsidRPr="006C6711" w:rsidRDefault="00360E01" w:rsidP="002C2459">
      <w:pPr>
        <w:pStyle w:val="ListParagraph"/>
        <w:numPr>
          <w:ilvl w:val="0"/>
          <w:numId w:val="3"/>
        </w:numPr>
        <w:spacing w:after="0" w:line="240" w:lineRule="auto"/>
        <w:jc w:val="both"/>
        <w:rPr>
          <w:rFonts w:ascii="Calibri" w:hAnsi="Calibri" w:cs="Arial"/>
          <w:b/>
          <w:sz w:val="24"/>
        </w:rPr>
      </w:pPr>
      <w:r w:rsidRPr="006C6711">
        <w:rPr>
          <w:rFonts w:ascii="Calibri" w:hAnsi="Calibri" w:cs="Arial"/>
          <w:b/>
          <w:sz w:val="24"/>
        </w:rPr>
        <w:t>CLACTON</w:t>
      </w:r>
    </w:p>
    <w:p w:rsidR="00360E01" w:rsidRPr="006C6711" w:rsidRDefault="00360E01" w:rsidP="002C2459">
      <w:pPr>
        <w:pStyle w:val="ListParagraph"/>
        <w:numPr>
          <w:ilvl w:val="0"/>
          <w:numId w:val="3"/>
        </w:numPr>
        <w:spacing w:after="0" w:line="240" w:lineRule="auto"/>
        <w:jc w:val="both"/>
        <w:rPr>
          <w:rFonts w:ascii="Calibri" w:hAnsi="Calibri" w:cs="Arial"/>
          <w:b/>
          <w:sz w:val="24"/>
        </w:rPr>
      </w:pPr>
      <w:r w:rsidRPr="006C6711">
        <w:rPr>
          <w:rFonts w:ascii="Calibri" w:hAnsi="Calibri" w:cs="Arial"/>
          <w:b/>
          <w:sz w:val="24"/>
        </w:rPr>
        <w:t>COLCHESTER</w:t>
      </w:r>
    </w:p>
    <w:p w:rsidR="00360E01" w:rsidRPr="006C6711" w:rsidRDefault="00360E01" w:rsidP="002C2459">
      <w:pPr>
        <w:pStyle w:val="ListParagraph"/>
        <w:numPr>
          <w:ilvl w:val="0"/>
          <w:numId w:val="3"/>
        </w:numPr>
        <w:spacing w:after="0" w:line="240" w:lineRule="auto"/>
        <w:jc w:val="both"/>
        <w:rPr>
          <w:rFonts w:ascii="Calibri" w:hAnsi="Calibri" w:cs="Arial"/>
          <w:b/>
          <w:sz w:val="24"/>
        </w:rPr>
      </w:pPr>
      <w:r w:rsidRPr="006C6711">
        <w:rPr>
          <w:rFonts w:ascii="Calibri" w:hAnsi="Calibri" w:cs="Arial"/>
          <w:b/>
          <w:sz w:val="24"/>
        </w:rPr>
        <w:t>GRAYS</w:t>
      </w:r>
    </w:p>
    <w:p w:rsidR="00360E01" w:rsidRPr="006C6711" w:rsidRDefault="00360E01" w:rsidP="002C2459">
      <w:pPr>
        <w:pStyle w:val="ListParagraph"/>
        <w:numPr>
          <w:ilvl w:val="0"/>
          <w:numId w:val="3"/>
        </w:numPr>
        <w:spacing w:after="0" w:line="240" w:lineRule="auto"/>
        <w:jc w:val="both"/>
        <w:rPr>
          <w:rFonts w:ascii="Calibri" w:hAnsi="Calibri" w:cs="Arial"/>
          <w:b/>
          <w:sz w:val="24"/>
        </w:rPr>
      </w:pPr>
      <w:r w:rsidRPr="006C6711">
        <w:rPr>
          <w:rFonts w:ascii="Calibri" w:hAnsi="Calibri" w:cs="Arial"/>
          <w:b/>
          <w:sz w:val="24"/>
        </w:rPr>
        <w:t>HARLOW</w:t>
      </w:r>
    </w:p>
    <w:p w:rsidR="00360E01" w:rsidRPr="006C6711" w:rsidRDefault="00360E01" w:rsidP="002C2459">
      <w:pPr>
        <w:pStyle w:val="ListParagraph"/>
        <w:numPr>
          <w:ilvl w:val="0"/>
          <w:numId w:val="3"/>
        </w:numPr>
        <w:spacing w:after="0" w:line="240" w:lineRule="auto"/>
        <w:jc w:val="both"/>
        <w:rPr>
          <w:rFonts w:ascii="Calibri" w:hAnsi="Calibri" w:cs="Arial"/>
          <w:b/>
          <w:sz w:val="24"/>
        </w:rPr>
      </w:pPr>
      <w:r w:rsidRPr="006C6711">
        <w:rPr>
          <w:rFonts w:ascii="Calibri" w:hAnsi="Calibri" w:cs="Arial"/>
          <w:b/>
          <w:sz w:val="24"/>
        </w:rPr>
        <w:t>*RAYLEIGH</w:t>
      </w:r>
    </w:p>
    <w:p w:rsidR="00360E01" w:rsidRPr="006C6711" w:rsidRDefault="00360E01" w:rsidP="002C2459">
      <w:pPr>
        <w:pStyle w:val="ListParagraph"/>
        <w:numPr>
          <w:ilvl w:val="0"/>
          <w:numId w:val="3"/>
        </w:numPr>
        <w:spacing w:after="0" w:line="240" w:lineRule="auto"/>
        <w:jc w:val="both"/>
        <w:rPr>
          <w:rFonts w:ascii="Calibri" w:hAnsi="Calibri" w:cs="Arial"/>
          <w:b/>
          <w:sz w:val="24"/>
        </w:rPr>
      </w:pPr>
      <w:r w:rsidRPr="006C6711">
        <w:rPr>
          <w:rFonts w:ascii="Calibri" w:hAnsi="Calibri" w:cs="Arial"/>
          <w:b/>
          <w:sz w:val="24"/>
        </w:rPr>
        <w:t>STANSTED</w:t>
      </w:r>
    </w:p>
    <w:p w:rsidR="00360E01" w:rsidRDefault="00360E01" w:rsidP="002C2459">
      <w:pPr>
        <w:pStyle w:val="ListParagraph"/>
        <w:numPr>
          <w:ilvl w:val="0"/>
          <w:numId w:val="3"/>
        </w:numPr>
        <w:spacing w:after="0" w:line="240" w:lineRule="auto"/>
        <w:jc w:val="both"/>
        <w:rPr>
          <w:rFonts w:ascii="Calibri" w:hAnsi="Calibri" w:cs="Arial"/>
          <w:b/>
          <w:sz w:val="24"/>
        </w:rPr>
      </w:pPr>
      <w:r w:rsidRPr="006C6711">
        <w:rPr>
          <w:rFonts w:ascii="Calibri" w:hAnsi="Calibri" w:cs="Arial"/>
          <w:b/>
          <w:sz w:val="24"/>
        </w:rPr>
        <w:t>*SOUTHEND</w:t>
      </w:r>
    </w:p>
    <w:p w:rsidR="009D28D9" w:rsidRDefault="007B2B73" w:rsidP="002C2459">
      <w:pPr>
        <w:pStyle w:val="ListParagraph"/>
        <w:numPr>
          <w:ilvl w:val="0"/>
          <w:numId w:val="3"/>
        </w:numPr>
        <w:spacing w:after="0" w:line="240" w:lineRule="auto"/>
        <w:jc w:val="both"/>
        <w:rPr>
          <w:rFonts w:ascii="Calibri" w:hAnsi="Calibri" w:cs="Arial"/>
          <w:b/>
          <w:sz w:val="24"/>
        </w:rPr>
      </w:pPr>
      <w:r>
        <w:rPr>
          <w:rFonts w:ascii="Calibri" w:hAnsi="Calibri" w:cs="Arial"/>
          <w:b/>
          <w:sz w:val="24"/>
        </w:rPr>
        <w:t>HARWICH (BORDER FORCE)</w:t>
      </w:r>
    </w:p>
    <w:p w:rsidR="007B2B73" w:rsidRPr="006C6711" w:rsidRDefault="007B2B73" w:rsidP="002C2459">
      <w:pPr>
        <w:pStyle w:val="ListParagraph"/>
        <w:spacing w:after="0" w:line="240" w:lineRule="auto"/>
        <w:jc w:val="both"/>
        <w:rPr>
          <w:rFonts w:ascii="Calibri" w:hAnsi="Calibri" w:cs="Arial"/>
          <w:b/>
          <w:sz w:val="24"/>
        </w:rPr>
      </w:pPr>
    </w:p>
    <w:p w:rsidR="00360E01" w:rsidRPr="006C6711" w:rsidRDefault="00360E01" w:rsidP="002C2459">
      <w:pPr>
        <w:jc w:val="both"/>
        <w:rPr>
          <w:rFonts w:ascii="Calibri" w:hAnsi="Calibri" w:cs="Arial"/>
          <w:sz w:val="24"/>
        </w:rPr>
      </w:pPr>
      <w:r w:rsidRPr="006C6711">
        <w:rPr>
          <w:rFonts w:ascii="Calibri" w:hAnsi="Calibri" w:cs="Arial"/>
          <w:sz w:val="24"/>
        </w:rPr>
        <w:t xml:space="preserve">* As of February 2017 Rayleigh </w:t>
      </w:r>
      <w:r w:rsidR="00605AC4">
        <w:rPr>
          <w:rFonts w:ascii="Calibri" w:hAnsi="Calibri" w:cs="Arial"/>
          <w:sz w:val="24"/>
        </w:rPr>
        <w:t xml:space="preserve">police </w:t>
      </w:r>
      <w:r w:rsidRPr="006C6711">
        <w:rPr>
          <w:rFonts w:ascii="Calibri" w:hAnsi="Calibri" w:cs="Arial"/>
          <w:sz w:val="24"/>
        </w:rPr>
        <w:t>custody suite closed following the refurbishment of Southend custody where a new 30 cell suite has been built</w:t>
      </w:r>
      <w:r w:rsidR="008C718A">
        <w:rPr>
          <w:rFonts w:ascii="Calibri" w:hAnsi="Calibri" w:cs="Arial"/>
          <w:sz w:val="24"/>
        </w:rPr>
        <w:t>,</w:t>
      </w:r>
      <w:r w:rsidRPr="006C6711">
        <w:rPr>
          <w:rFonts w:ascii="Calibri" w:hAnsi="Calibri" w:cs="Arial"/>
          <w:sz w:val="24"/>
        </w:rPr>
        <w:t xml:space="preserve"> including a TACT </w:t>
      </w:r>
      <w:r w:rsidR="000508FE">
        <w:rPr>
          <w:rFonts w:ascii="Calibri" w:hAnsi="Calibri" w:cs="Arial"/>
          <w:sz w:val="24"/>
        </w:rPr>
        <w:t>cell</w:t>
      </w:r>
      <w:r w:rsidRPr="006C6711">
        <w:rPr>
          <w:rFonts w:ascii="Calibri" w:hAnsi="Calibri" w:cs="Arial"/>
          <w:sz w:val="24"/>
        </w:rPr>
        <w:t xml:space="preserve"> and direct video conferencing to Court.</w:t>
      </w:r>
    </w:p>
    <w:p w:rsidR="00605AC4" w:rsidRDefault="00605AC4" w:rsidP="002C2459">
      <w:pPr>
        <w:jc w:val="both"/>
        <w:rPr>
          <w:rFonts w:ascii="Calibri" w:hAnsi="Calibri" w:cs="Arial"/>
          <w:b/>
          <w:color w:val="002060"/>
          <w:sz w:val="32"/>
        </w:rPr>
      </w:pPr>
    </w:p>
    <w:p w:rsidR="007B2B73" w:rsidRPr="00B95134" w:rsidRDefault="007B2B73" w:rsidP="002C2459">
      <w:pPr>
        <w:jc w:val="both"/>
        <w:rPr>
          <w:rFonts w:ascii="Calibri" w:hAnsi="Calibri" w:cs="Arial"/>
          <w:b/>
          <w:color w:val="002060"/>
          <w:sz w:val="32"/>
        </w:rPr>
      </w:pPr>
      <w:r w:rsidRPr="00B95134">
        <w:rPr>
          <w:rFonts w:ascii="Calibri" w:hAnsi="Calibri" w:cs="Arial"/>
          <w:b/>
          <w:color w:val="002060"/>
          <w:sz w:val="32"/>
        </w:rPr>
        <w:t>Essex Independent Custody Visitors</w:t>
      </w:r>
    </w:p>
    <w:p w:rsidR="007B2B73" w:rsidRPr="007B2B73" w:rsidRDefault="00EF24AC" w:rsidP="002C2459">
      <w:pPr>
        <w:jc w:val="both"/>
        <w:rPr>
          <w:rFonts w:ascii="Calibri" w:hAnsi="Calibri" w:cs="Arial"/>
          <w:sz w:val="24"/>
        </w:rPr>
      </w:pPr>
      <w:r>
        <w:rPr>
          <w:rFonts w:ascii="Calibri" w:hAnsi="Calibri" w:cs="Arial"/>
          <w:noProof/>
          <w:sz w:val="24"/>
          <w:lang w:eastAsia="en-GB"/>
        </w:rPr>
        <w:drawing>
          <wp:anchor distT="0" distB="0" distL="114300" distR="114300" simplePos="0" relativeHeight="251659264" behindDoc="1" locked="0" layoutInCell="1" allowOverlap="1" wp14:anchorId="3E437D11" wp14:editId="3E21D54F">
            <wp:simplePos x="0" y="0"/>
            <wp:positionH relativeFrom="column">
              <wp:posOffset>-29845</wp:posOffset>
            </wp:positionH>
            <wp:positionV relativeFrom="paragraph">
              <wp:posOffset>856615</wp:posOffset>
            </wp:positionV>
            <wp:extent cx="2438400" cy="1625600"/>
            <wp:effectExtent l="133350" t="95250" r="152400" b="165100"/>
            <wp:wrapTight wrapText="bothSides">
              <wp:wrapPolygon edited="0">
                <wp:start x="-1013" y="-1266"/>
                <wp:lineTo x="-1181" y="21516"/>
                <wp:lineTo x="-844" y="23541"/>
                <wp:lineTo x="22444" y="23541"/>
                <wp:lineTo x="22781" y="19491"/>
                <wp:lineTo x="22613" y="-1266"/>
                <wp:lineTo x="-1013" y="-126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v chatt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8400" cy="1625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B139D">
        <w:rPr>
          <w:rFonts w:ascii="Calibri" w:hAnsi="Calibri" w:cs="Arial"/>
          <w:sz w:val="24"/>
        </w:rPr>
        <w:t xml:space="preserve">Essex Independent Custody Scheme visitors are residents </w:t>
      </w:r>
      <w:r w:rsidR="00F919C5">
        <w:rPr>
          <w:rFonts w:ascii="Calibri" w:hAnsi="Calibri" w:cs="Arial"/>
          <w:sz w:val="24"/>
        </w:rPr>
        <w:t>with</w:t>
      </w:r>
      <w:r w:rsidR="004B139D">
        <w:rPr>
          <w:rFonts w:ascii="Calibri" w:hAnsi="Calibri" w:cs="Arial"/>
          <w:sz w:val="24"/>
        </w:rPr>
        <w:t xml:space="preserve">in the county. </w:t>
      </w:r>
      <w:r w:rsidR="007B2B73" w:rsidRPr="007B2B73">
        <w:rPr>
          <w:rFonts w:ascii="Calibri" w:hAnsi="Calibri" w:cs="Arial"/>
          <w:sz w:val="24"/>
        </w:rPr>
        <w:t xml:space="preserve">Currently the scheme has </w:t>
      </w:r>
      <w:r w:rsidR="004B139D">
        <w:rPr>
          <w:rFonts w:ascii="Calibri" w:hAnsi="Calibri" w:cs="Arial"/>
          <w:sz w:val="24"/>
        </w:rPr>
        <w:t>eighteen</w:t>
      </w:r>
      <w:r w:rsidR="007B2B73" w:rsidRPr="007B2B73">
        <w:rPr>
          <w:rFonts w:ascii="Calibri" w:hAnsi="Calibri" w:cs="Arial"/>
          <w:sz w:val="24"/>
        </w:rPr>
        <w:t xml:space="preserve"> volunteers covering </w:t>
      </w:r>
      <w:r w:rsidR="004B139D">
        <w:rPr>
          <w:rFonts w:ascii="Calibri" w:hAnsi="Calibri" w:cs="Arial"/>
          <w:sz w:val="24"/>
        </w:rPr>
        <w:t>nine</w:t>
      </w:r>
      <w:r w:rsidR="007B2B73" w:rsidRPr="007B2B73">
        <w:rPr>
          <w:rFonts w:ascii="Calibri" w:hAnsi="Calibri" w:cs="Arial"/>
          <w:sz w:val="24"/>
        </w:rPr>
        <w:t xml:space="preserve"> custody suites across the county</w:t>
      </w:r>
      <w:r>
        <w:rPr>
          <w:rFonts w:ascii="Calibri" w:hAnsi="Calibri" w:cs="Arial"/>
          <w:sz w:val="24"/>
        </w:rPr>
        <w:t xml:space="preserve"> with 128 cells</w:t>
      </w:r>
      <w:r w:rsidR="007B2B73" w:rsidRPr="007B2B73">
        <w:rPr>
          <w:rFonts w:ascii="Calibri" w:hAnsi="Calibri" w:cs="Arial"/>
          <w:sz w:val="24"/>
        </w:rPr>
        <w:t xml:space="preserve">. </w:t>
      </w:r>
      <w:r w:rsidR="007639CB">
        <w:rPr>
          <w:rFonts w:ascii="Calibri" w:hAnsi="Calibri" w:cs="Arial"/>
          <w:sz w:val="24"/>
        </w:rPr>
        <w:t xml:space="preserve"> </w:t>
      </w:r>
      <w:r w:rsidR="007B2B73" w:rsidRPr="007B2B73">
        <w:rPr>
          <w:rFonts w:ascii="Calibri" w:hAnsi="Calibri" w:cs="Arial"/>
          <w:sz w:val="24"/>
        </w:rPr>
        <w:t xml:space="preserve">Following the closure of Rayleigh </w:t>
      </w:r>
      <w:r w:rsidR="00605AC4">
        <w:rPr>
          <w:rFonts w:ascii="Calibri" w:hAnsi="Calibri" w:cs="Arial"/>
          <w:sz w:val="24"/>
        </w:rPr>
        <w:t xml:space="preserve">police custody </w:t>
      </w:r>
      <w:r w:rsidR="007B2B73" w:rsidRPr="007B2B73">
        <w:rPr>
          <w:rFonts w:ascii="Calibri" w:hAnsi="Calibri" w:cs="Arial"/>
          <w:sz w:val="24"/>
        </w:rPr>
        <w:t>and the temporary closure of Bas</w:t>
      </w:r>
      <w:r w:rsidR="007639CB">
        <w:rPr>
          <w:rFonts w:ascii="Calibri" w:hAnsi="Calibri" w:cs="Arial"/>
          <w:sz w:val="24"/>
        </w:rPr>
        <w:t>ildon</w:t>
      </w:r>
      <w:r w:rsidR="004B139D">
        <w:rPr>
          <w:rFonts w:ascii="Calibri" w:hAnsi="Calibri" w:cs="Arial"/>
          <w:sz w:val="24"/>
        </w:rPr>
        <w:t>,</w:t>
      </w:r>
      <w:r w:rsidR="007B2B73" w:rsidRPr="007B2B73">
        <w:rPr>
          <w:rFonts w:ascii="Calibri" w:hAnsi="Calibri" w:cs="Arial"/>
          <w:sz w:val="24"/>
        </w:rPr>
        <w:t xml:space="preserve"> recruitment </w:t>
      </w:r>
      <w:r w:rsidR="00605AC4">
        <w:rPr>
          <w:rFonts w:ascii="Calibri" w:hAnsi="Calibri" w:cs="Arial"/>
          <w:sz w:val="24"/>
        </w:rPr>
        <w:t xml:space="preserve">for new volunteers </w:t>
      </w:r>
      <w:r w:rsidR="007B2B73" w:rsidRPr="007B2B73">
        <w:rPr>
          <w:rFonts w:ascii="Calibri" w:hAnsi="Calibri" w:cs="Arial"/>
          <w:sz w:val="24"/>
        </w:rPr>
        <w:t xml:space="preserve">is on hold </w:t>
      </w:r>
      <w:r w:rsidR="00605AC4">
        <w:rPr>
          <w:rFonts w:ascii="Calibri" w:hAnsi="Calibri" w:cs="Arial"/>
          <w:sz w:val="24"/>
        </w:rPr>
        <w:t>but this is regularly reviewed and will be re-opened when new volunteers are required.</w:t>
      </w:r>
    </w:p>
    <w:p w:rsidR="007B2B73" w:rsidRDefault="007B2B73" w:rsidP="002C2459">
      <w:pPr>
        <w:jc w:val="both"/>
        <w:rPr>
          <w:rFonts w:ascii="Calibri" w:hAnsi="Calibri" w:cs="Arial"/>
          <w:sz w:val="24"/>
        </w:rPr>
      </w:pPr>
      <w:r w:rsidRPr="007B2B73">
        <w:rPr>
          <w:rFonts w:ascii="Calibri" w:hAnsi="Calibri" w:cs="Arial"/>
          <w:sz w:val="24"/>
        </w:rPr>
        <w:t xml:space="preserve">The </w:t>
      </w:r>
      <w:r w:rsidR="006A20AC">
        <w:rPr>
          <w:rFonts w:ascii="Calibri" w:hAnsi="Calibri" w:cs="Arial"/>
          <w:sz w:val="24"/>
        </w:rPr>
        <w:t xml:space="preserve">nine </w:t>
      </w:r>
      <w:r w:rsidRPr="007B2B73">
        <w:rPr>
          <w:rFonts w:ascii="Calibri" w:hAnsi="Calibri" w:cs="Arial"/>
          <w:sz w:val="24"/>
        </w:rPr>
        <w:t>fully operation</w:t>
      </w:r>
      <w:r w:rsidR="007639CB">
        <w:rPr>
          <w:rFonts w:ascii="Calibri" w:hAnsi="Calibri" w:cs="Arial"/>
          <w:sz w:val="24"/>
        </w:rPr>
        <w:t xml:space="preserve">al </w:t>
      </w:r>
      <w:r w:rsidR="00605AC4">
        <w:rPr>
          <w:rFonts w:ascii="Calibri" w:hAnsi="Calibri" w:cs="Arial"/>
          <w:sz w:val="24"/>
        </w:rPr>
        <w:t xml:space="preserve">custody </w:t>
      </w:r>
      <w:r w:rsidR="007639CB">
        <w:rPr>
          <w:rFonts w:ascii="Calibri" w:hAnsi="Calibri" w:cs="Arial"/>
          <w:sz w:val="24"/>
        </w:rPr>
        <w:t>suites are visited at least three</w:t>
      </w:r>
      <w:r w:rsidRPr="007B2B73">
        <w:rPr>
          <w:rFonts w:ascii="Calibri" w:hAnsi="Calibri" w:cs="Arial"/>
          <w:sz w:val="24"/>
        </w:rPr>
        <w:t xml:space="preserve"> times per month by </w:t>
      </w:r>
      <w:r>
        <w:rPr>
          <w:rFonts w:ascii="Calibri" w:hAnsi="Calibri" w:cs="Arial"/>
          <w:sz w:val="24"/>
        </w:rPr>
        <w:t>pairs of volunteers</w:t>
      </w:r>
      <w:r w:rsidR="006A20AC">
        <w:rPr>
          <w:rFonts w:ascii="Calibri" w:hAnsi="Calibri" w:cs="Arial"/>
          <w:sz w:val="24"/>
        </w:rPr>
        <w:t xml:space="preserve"> with the exception of Harwich and Stansted</w:t>
      </w:r>
      <w:r w:rsidR="007639CB">
        <w:rPr>
          <w:rFonts w:ascii="Calibri" w:hAnsi="Calibri" w:cs="Arial"/>
          <w:sz w:val="24"/>
        </w:rPr>
        <w:t>,</w:t>
      </w:r>
      <w:r w:rsidR="006A20AC">
        <w:rPr>
          <w:rFonts w:ascii="Calibri" w:hAnsi="Calibri" w:cs="Arial"/>
          <w:sz w:val="24"/>
        </w:rPr>
        <w:t xml:space="preserve"> which due to their low custody numbers are </w:t>
      </w:r>
      <w:r w:rsidR="002225E6">
        <w:rPr>
          <w:rFonts w:ascii="Calibri" w:hAnsi="Calibri" w:cs="Arial"/>
          <w:sz w:val="24"/>
        </w:rPr>
        <w:t>visited once per month</w:t>
      </w:r>
      <w:r>
        <w:rPr>
          <w:rFonts w:ascii="Calibri" w:hAnsi="Calibri" w:cs="Arial"/>
          <w:sz w:val="24"/>
        </w:rPr>
        <w:t>.  Volunteers receive yearly appraisals</w:t>
      </w:r>
      <w:r w:rsidR="00427AA2">
        <w:rPr>
          <w:rFonts w:ascii="Calibri" w:hAnsi="Calibri" w:cs="Arial"/>
          <w:sz w:val="24"/>
        </w:rPr>
        <w:t xml:space="preserve"> and vetting is renewed as required. </w:t>
      </w:r>
      <w:r>
        <w:rPr>
          <w:rFonts w:ascii="Calibri" w:hAnsi="Calibri" w:cs="Arial"/>
          <w:sz w:val="24"/>
        </w:rPr>
        <w:t xml:space="preserve"> </w:t>
      </w:r>
      <w:r w:rsidR="00BC103E">
        <w:rPr>
          <w:rFonts w:ascii="Calibri" w:hAnsi="Calibri" w:cs="Arial"/>
          <w:sz w:val="24"/>
        </w:rPr>
        <w:t>T</w:t>
      </w:r>
      <w:r w:rsidR="007639CB">
        <w:rPr>
          <w:rFonts w:ascii="Calibri" w:hAnsi="Calibri" w:cs="Arial"/>
          <w:sz w:val="24"/>
        </w:rPr>
        <w:t xml:space="preserve">he numbers of volunteers with fifteen plus </w:t>
      </w:r>
      <w:r w:rsidR="00BC103E">
        <w:rPr>
          <w:rFonts w:ascii="Calibri" w:hAnsi="Calibri" w:cs="Arial"/>
          <w:sz w:val="24"/>
        </w:rPr>
        <w:t>years of service has started to decrease</w:t>
      </w:r>
      <w:r w:rsidR="002225E6">
        <w:rPr>
          <w:rFonts w:ascii="Calibri" w:hAnsi="Calibri" w:cs="Arial"/>
          <w:sz w:val="24"/>
        </w:rPr>
        <w:t xml:space="preserve"> as they have </w:t>
      </w:r>
      <w:r w:rsidR="00F919C5">
        <w:rPr>
          <w:rFonts w:ascii="Calibri" w:hAnsi="Calibri" w:cs="Arial"/>
          <w:sz w:val="24"/>
        </w:rPr>
        <w:t>begun to retire</w:t>
      </w:r>
      <w:r w:rsidR="00BC103E">
        <w:rPr>
          <w:rFonts w:ascii="Calibri" w:hAnsi="Calibri" w:cs="Arial"/>
          <w:sz w:val="24"/>
        </w:rPr>
        <w:t xml:space="preserve">.  The newest member joined in 2017. </w:t>
      </w:r>
    </w:p>
    <w:p w:rsidR="004B139D" w:rsidRPr="007B2B73" w:rsidRDefault="004B139D">
      <w:pPr>
        <w:rPr>
          <w:rFonts w:ascii="Calibri" w:hAnsi="Calibri" w:cs="Arial"/>
          <w:sz w:val="24"/>
        </w:rPr>
      </w:pPr>
    </w:p>
    <w:p w:rsidR="007B2B73" w:rsidRDefault="007B2B73">
      <w:pPr>
        <w:rPr>
          <w:rFonts w:ascii="Calibri" w:hAnsi="Calibri" w:cs="Arial"/>
          <w:b/>
          <w:sz w:val="28"/>
        </w:rPr>
      </w:pPr>
    </w:p>
    <w:p w:rsidR="00BB4582" w:rsidRDefault="00BB4582">
      <w:pPr>
        <w:rPr>
          <w:rFonts w:ascii="Calibri" w:hAnsi="Calibri" w:cs="Arial"/>
          <w:b/>
          <w:sz w:val="28"/>
        </w:rPr>
      </w:pPr>
    </w:p>
    <w:p w:rsidR="002F4C81" w:rsidRDefault="002F4C81">
      <w:pPr>
        <w:rPr>
          <w:rFonts w:ascii="Calibri" w:hAnsi="Calibri" w:cs="Arial"/>
          <w:b/>
          <w:sz w:val="28"/>
        </w:rPr>
      </w:pPr>
    </w:p>
    <w:p w:rsidR="00823211" w:rsidRPr="00B95134" w:rsidRDefault="00DE3F78">
      <w:pPr>
        <w:rPr>
          <w:rFonts w:ascii="Calibri" w:hAnsi="Calibri" w:cs="Arial"/>
          <w:b/>
          <w:color w:val="002060"/>
          <w:sz w:val="32"/>
        </w:rPr>
      </w:pPr>
      <w:r w:rsidRPr="00B95134">
        <w:rPr>
          <w:rFonts w:ascii="Calibri" w:hAnsi="Calibri" w:cs="Arial"/>
          <w:b/>
          <w:color w:val="002060"/>
          <w:sz w:val="32"/>
        </w:rPr>
        <w:t>Report Statistics</w:t>
      </w:r>
    </w:p>
    <w:p w:rsidR="00783DDE" w:rsidRDefault="00DE3F78" w:rsidP="002C2459">
      <w:pPr>
        <w:jc w:val="both"/>
      </w:pPr>
      <w:r>
        <w:t xml:space="preserve">Each visit results </w:t>
      </w:r>
      <w:r w:rsidR="00FD40FB">
        <w:t xml:space="preserve">in </w:t>
      </w:r>
      <w:r>
        <w:t>a comprehensive report being completed by the visitors, noting how many detainees are in custody, how many are being interviewed/asleep/being seen by a medic and how</w:t>
      </w:r>
      <w:r w:rsidR="00F919C5">
        <w:t xml:space="preserve"> many are s136 and Juveniles</w:t>
      </w:r>
      <w:r>
        <w:t>. It will also note issues arising with detainees an</w:t>
      </w:r>
      <w:r w:rsidR="008A672D">
        <w:t xml:space="preserve">d with the custody suite, alerting the coordinator and scheme manager as </w:t>
      </w:r>
      <w:r w:rsidR="00B36EF0">
        <w:t>appropriate</w:t>
      </w:r>
      <w:r w:rsidR="008A672D">
        <w:t>.</w:t>
      </w:r>
    </w:p>
    <w:p w:rsidR="006C6711" w:rsidRPr="00F919C5" w:rsidRDefault="006C6711" w:rsidP="002C2459">
      <w:pPr>
        <w:jc w:val="both"/>
        <w:rPr>
          <w:b/>
          <w:color w:val="002060"/>
          <w:sz w:val="28"/>
        </w:rPr>
      </w:pPr>
      <w:r w:rsidRPr="00F919C5">
        <w:rPr>
          <w:b/>
          <w:color w:val="002060"/>
          <w:sz w:val="28"/>
        </w:rPr>
        <w:t>Comparison of the number of detainees visited 2015/16 against 2016/17</w:t>
      </w:r>
    </w:p>
    <w:p w:rsidR="006E2AA5" w:rsidRDefault="006C6711" w:rsidP="002C2459">
      <w:pPr>
        <w:jc w:val="both"/>
      </w:pPr>
      <w:r>
        <w:t xml:space="preserve">Since the beginning of 2016 ICVs increased visits to custody suites from two to three per month. </w:t>
      </w:r>
      <w:r w:rsidR="006F6605">
        <w:t>W</w:t>
      </w:r>
      <w:r w:rsidR="00935B08">
        <w:t xml:space="preserve">hen carrying out </w:t>
      </w:r>
      <w:r>
        <w:t>custody visit</w:t>
      </w:r>
      <w:r w:rsidR="00935B08">
        <w:t>s</w:t>
      </w:r>
      <w:r>
        <w:t xml:space="preserve"> a number of detainees </w:t>
      </w:r>
      <w:r w:rsidR="006F6605">
        <w:t>may</w:t>
      </w:r>
      <w:r>
        <w:t xml:space="preserve"> not be able to be seen as they may be in an interview, seeing a medic or sleep</w:t>
      </w:r>
      <w:r w:rsidR="0061756A">
        <w:t>ing.  T</w:t>
      </w:r>
      <w:r>
        <w:t xml:space="preserve">he overall number of detainees seen by Essex ICVs has </w:t>
      </w:r>
      <w:r w:rsidR="007D3115">
        <w:t>risen</w:t>
      </w:r>
      <w:r>
        <w:t xml:space="preserve"> in the last year from 605</w:t>
      </w:r>
      <w:r w:rsidR="00B36EF0">
        <w:t xml:space="preserve"> in 2015/16 to 68</w:t>
      </w:r>
      <w:r w:rsidR="007D3115">
        <w:t>8 in 2016/17</w:t>
      </w:r>
      <w:r w:rsidR="00B36EF0">
        <w:t>.</w:t>
      </w:r>
    </w:p>
    <w:tbl>
      <w:tblPr>
        <w:tblStyle w:val="LightShading-Accent4"/>
        <w:tblW w:w="11093"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271"/>
        <w:gridCol w:w="1333"/>
        <w:gridCol w:w="1169"/>
        <w:gridCol w:w="1166"/>
        <w:gridCol w:w="834"/>
        <w:gridCol w:w="833"/>
        <w:gridCol w:w="1440"/>
        <w:gridCol w:w="41"/>
        <w:gridCol w:w="1440"/>
        <w:gridCol w:w="41"/>
      </w:tblGrid>
      <w:tr w:rsidR="008B2AA3" w:rsidRPr="00A32FE8" w:rsidTr="00BA3ECE">
        <w:trPr>
          <w:gridAfter w:val="1"/>
          <w:cnfStyle w:val="100000000000" w:firstRow="1" w:lastRow="0" w:firstColumn="0" w:lastColumn="0" w:oddVBand="0" w:evenVBand="0" w:oddHBand="0" w:evenHBand="0" w:firstRowFirstColumn="0" w:firstRowLastColumn="0" w:lastRowFirstColumn="0" w:lastRowLastColumn="0"/>
          <w:wAfter w:w="41" w:type="dxa"/>
          <w:trHeight w:val="528"/>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bottom w:val="single" w:sz="4" w:space="0" w:color="auto"/>
            </w:tcBorders>
          </w:tcPr>
          <w:p w:rsidR="008B2AA3" w:rsidRPr="00783DDE" w:rsidRDefault="008B2AA3" w:rsidP="00783DDE">
            <w:pPr>
              <w:jc w:val="center"/>
              <w:rPr>
                <w:b w:val="0"/>
                <w:bCs w:val="0"/>
                <w:sz w:val="28"/>
              </w:rPr>
            </w:pPr>
          </w:p>
        </w:tc>
        <w:tc>
          <w:tcPr>
            <w:tcW w:w="8046" w:type="dxa"/>
            <w:gridSpan w:val="7"/>
            <w:tcBorders>
              <w:top w:val="single" w:sz="4" w:space="0" w:color="auto"/>
              <w:bottom w:val="single" w:sz="4" w:space="0" w:color="auto"/>
            </w:tcBorders>
            <w:noWrap/>
          </w:tcPr>
          <w:p w:rsidR="008B2AA3" w:rsidRPr="00A32FE8" w:rsidRDefault="008B2AA3" w:rsidP="00783DDE">
            <w:pPr>
              <w:jc w:val="center"/>
              <w:cnfStyle w:val="100000000000" w:firstRow="1" w:lastRow="0" w:firstColumn="0" w:lastColumn="0" w:oddVBand="0" w:evenVBand="0" w:oddHBand="0" w:evenHBand="0" w:firstRowFirstColumn="0" w:firstRowLastColumn="0" w:lastRowFirstColumn="0" w:lastRowLastColumn="0"/>
              <w:rPr>
                <w:b w:val="0"/>
                <w:bCs w:val="0"/>
              </w:rPr>
            </w:pPr>
            <w:r w:rsidRPr="00783DDE">
              <w:rPr>
                <w:b w:val="0"/>
                <w:bCs w:val="0"/>
                <w:sz w:val="28"/>
              </w:rPr>
              <w:t>Custody Visit Statistics for April 2016 to March 2017</w:t>
            </w:r>
          </w:p>
        </w:tc>
        <w:tc>
          <w:tcPr>
            <w:tcW w:w="1481" w:type="dxa"/>
            <w:gridSpan w:val="2"/>
            <w:tcBorders>
              <w:top w:val="single" w:sz="4" w:space="0" w:color="auto"/>
              <w:bottom w:val="single" w:sz="4" w:space="0" w:color="auto"/>
            </w:tcBorders>
          </w:tcPr>
          <w:p w:rsidR="008B2AA3" w:rsidRPr="00783DDE" w:rsidRDefault="008B2AA3" w:rsidP="00783DDE">
            <w:pPr>
              <w:jc w:val="center"/>
              <w:cnfStyle w:val="100000000000" w:firstRow="1" w:lastRow="0" w:firstColumn="0" w:lastColumn="0" w:oddVBand="0" w:evenVBand="0" w:oddHBand="0" w:evenHBand="0" w:firstRowFirstColumn="0" w:firstRowLastColumn="0" w:lastRowFirstColumn="0" w:lastRowLastColumn="0"/>
              <w:rPr>
                <w:b w:val="0"/>
                <w:bCs w:val="0"/>
                <w:sz w:val="28"/>
              </w:rPr>
            </w:pPr>
          </w:p>
        </w:tc>
      </w:tr>
      <w:tr w:rsidR="00BA3ECE" w:rsidRPr="00A32FE8" w:rsidTr="00BA3ECE">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tcBorders>
            <w:noWrap/>
            <w:hideMark/>
          </w:tcPr>
          <w:p w:rsidR="008B2AA3" w:rsidRPr="00A32FE8" w:rsidRDefault="008B2AA3" w:rsidP="00A32FE8">
            <w:r w:rsidRPr="00A32FE8">
              <w:t xml:space="preserve">STATION </w:t>
            </w:r>
          </w:p>
        </w:tc>
        <w:tc>
          <w:tcPr>
            <w:tcW w:w="1271" w:type="dxa"/>
            <w:tcBorders>
              <w:top w:val="single" w:sz="4" w:space="0" w:color="auto"/>
              <w:bottom w:val="single" w:sz="4" w:space="0" w:color="auto"/>
            </w:tcBorders>
          </w:tcPr>
          <w:p w:rsidR="008B2AA3" w:rsidRPr="002D7D78" w:rsidRDefault="008B2AA3" w:rsidP="00A32FE8">
            <w:pPr>
              <w:cnfStyle w:val="000000100000" w:firstRow="0" w:lastRow="0" w:firstColumn="0" w:lastColumn="0" w:oddVBand="0" w:evenVBand="0" w:oddHBand="1" w:evenHBand="0" w:firstRowFirstColumn="0" w:firstRowLastColumn="0" w:lastRowFirstColumn="0" w:lastRowLastColumn="0"/>
              <w:rPr>
                <w:b/>
                <w:bCs/>
              </w:rPr>
            </w:pPr>
            <w:r w:rsidRPr="002D7D78">
              <w:rPr>
                <w:b/>
                <w:bCs/>
              </w:rPr>
              <w:t>NUMBER OF VISITS</w:t>
            </w:r>
          </w:p>
        </w:tc>
        <w:tc>
          <w:tcPr>
            <w:tcW w:w="1333" w:type="dxa"/>
            <w:tcBorders>
              <w:top w:val="single" w:sz="4" w:space="0" w:color="auto"/>
              <w:bottom w:val="single" w:sz="4" w:space="0" w:color="auto"/>
            </w:tcBorders>
            <w:noWrap/>
            <w:hideMark/>
          </w:tcPr>
          <w:p w:rsidR="008B2AA3" w:rsidRPr="002D7D78" w:rsidRDefault="008B2AA3" w:rsidP="00A32FE8">
            <w:pPr>
              <w:cnfStyle w:val="000000100000" w:firstRow="0" w:lastRow="0" w:firstColumn="0" w:lastColumn="0" w:oddVBand="0" w:evenVBand="0" w:oddHBand="1" w:evenHBand="0" w:firstRowFirstColumn="0" w:firstRowLastColumn="0" w:lastRowFirstColumn="0" w:lastRowLastColumn="0"/>
              <w:rPr>
                <w:b/>
                <w:bCs/>
              </w:rPr>
            </w:pPr>
            <w:r w:rsidRPr="002D7D78">
              <w:rPr>
                <w:b/>
                <w:bCs/>
              </w:rPr>
              <w:t>DETAINEES</w:t>
            </w:r>
          </w:p>
        </w:tc>
        <w:tc>
          <w:tcPr>
            <w:tcW w:w="1169" w:type="dxa"/>
            <w:tcBorders>
              <w:top w:val="single" w:sz="4" w:space="0" w:color="auto"/>
              <w:bottom w:val="single" w:sz="4" w:space="0" w:color="auto"/>
            </w:tcBorders>
            <w:noWrap/>
            <w:hideMark/>
          </w:tcPr>
          <w:p w:rsidR="008B2AA3" w:rsidRPr="002D7D78" w:rsidRDefault="008B2AA3" w:rsidP="00A32FE8">
            <w:pPr>
              <w:cnfStyle w:val="000000100000" w:firstRow="0" w:lastRow="0" w:firstColumn="0" w:lastColumn="0" w:oddVBand="0" w:evenVBand="0" w:oddHBand="1" w:evenHBand="0" w:firstRowFirstColumn="0" w:firstRowLastColumn="0" w:lastRowFirstColumn="0" w:lastRowLastColumn="0"/>
              <w:rPr>
                <w:b/>
                <w:bCs/>
              </w:rPr>
            </w:pPr>
            <w:r w:rsidRPr="002D7D78">
              <w:rPr>
                <w:b/>
                <w:bCs/>
              </w:rPr>
              <w:t>VISITED</w:t>
            </w:r>
          </w:p>
        </w:tc>
        <w:tc>
          <w:tcPr>
            <w:tcW w:w="1166" w:type="dxa"/>
            <w:tcBorders>
              <w:top w:val="single" w:sz="4" w:space="0" w:color="auto"/>
              <w:bottom w:val="single" w:sz="4" w:space="0" w:color="auto"/>
            </w:tcBorders>
            <w:noWrap/>
            <w:hideMark/>
          </w:tcPr>
          <w:p w:rsidR="008B2AA3" w:rsidRPr="002D7D78" w:rsidRDefault="008B2AA3" w:rsidP="00A32FE8">
            <w:pPr>
              <w:cnfStyle w:val="000000100000" w:firstRow="0" w:lastRow="0" w:firstColumn="0" w:lastColumn="0" w:oddVBand="0" w:evenVBand="0" w:oddHBand="1" w:evenHBand="0" w:firstRowFirstColumn="0" w:firstRowLastColumn="0" w:lastRowFirstColumn="0" w:lastRowLastColumn="0"/>
              <w:rPr>
                <w:b/>
                <w:bCs/>
              </w:rPr>
            </w:pPr>
            <w:r w:rsidRPr="002D7D78">
              <w:rPr>
                <w:b/>
                <w:bCs/>
              </w:rPr>
              <w:t>DECLINED</w:t>
            </w:r>
          </w:p>
        </w:tc>
        <w:tc>
          <w:tcPr>
            <w:tcW w:w="834" w:type="dxa"/>
            <w:tcBorders>
              <w:top w:val="single" w:sz="4" w:space="0" w:color="auto"/>
              <w:bottom w:val="single" w:sz="4" w:space="0" w:color="auto"/>
            </w:tcBorders>
            <w:noWrap/>
            <w:hideMark/>
          </w:tcPr>
          <w:p w:rsidR="008B2AA3" w:rsidRPr="002D7D78" w:rsidRDefault="008B2AA3" w:rsidP="00A32FE8">
            <w:pPr>
              <w:cnfStyle w:val="000000100000" w:firstRow="0" w:lastRow="0" w:firstColumn="0" w:lastColumn="0" w:oddVBand="0" w:evenVBand="0" w:oddHBand="1" w:evenHBand="0" w:firstRowFirstColumn="0" w:firstRowLastColumn="0" w:lastRowFirstColumn="0" w:lastRowLastColumn="0"/>
              <w:rPr>
                <w:b/>
                <w:bCs/>
              </w:rPr>
            </w:pPr>
            <w:r w:rsidRPr="002D7D78">
              <w:rPr>
                <w:b/>
                <w:bCs/>
              </w:rPr>
              <w:t>JDR</w:t>
            </w:r>
          </w:p>
        </w:tc>
        <w:tc>
          <w:tcPr>
            <w:tcW w:w="833" w:type="dxa"/>
            <w:tcBorders>
              <w:top w:val="single" w:sz="4" w:space="0" w:color="auto"/>
              <w:bottom w:val="single" w:sz="4" w:space="0" w:color="auto"/>
            </w:tcBorders>
            <w:noWrap/>
            <w:hideMark/>
          </w:tcPr>
          <w:p w:rsidR="008B2AA3" w:rsidRPr="002D7D78" w:rsidRDefault="008B2AA3" w:rsidP="00A32FE8">
            <w:pPr>
              <w:cnfStyle w:val="000000100000" w:firstRow="0" w:lastRow="0" w:firstColumn="0" w:lastColumn="0" w:oddVBand="0" w:evenVBand="0" w:oddHBand="1" w:evenHBand="0" w:firstRowFirstColumn="0" w:firstRowLastColumn="0" w:lastRowFirstColumn="0" w:lastRowLastColumn="0"/>
              <w:rPr>
                <w:b/>
                <w:bCs/>
              </w:rPr>
            </w:pPr>
            <w:r w:rsidRPr="002D7D78">
              <w:rPr>
                <w:b/>
                <w:bCs/>
              </w:rPr>
              <w:t>136</w:t>
            </w:r>
          </w:p>
        </w:tc>
        <w:tc>
          <w:tcPr>
            <w:tcW w:w="1481" w:type="dxa"/>
            <w:gridSpan w:val="2"/>
            <w:tcBorders>
              <w:top w:val="single" w:sz="4" w:space="0" w:color="auto"/>
              <w:bottom w:val="single" w:sz="4" w:space="0" w:color="auto"/>
            </w:tcBorders>
            <w:hideMark/>
          </w:tcPr>
          <w:p w:rsidR="008B2AA3" w:rsidRPr="00A32FE8" w:rsidRDefault="008B2AA3" w:rsidP="006C6711">
            <w:pPr>
              <w:cnfStyle w:val="000000100000" w:firstRow="0" w:lastRow="0" w:firstColumn="0" w:lastColumn="0" w:oddVBand="0" w:evenVBand="0" w:oddHBand="1" w:evenHBand="0" w:firstRowFirstColumn="0" w:firstRowLastColumn="0" w:lastRowFirstColumn="0" w:lastRowLastColumn="0"/>
              <w:rPr>
                <w:b/>
                <w:bCs/>
              </w:rPr>
            </w:pPr>
            <w:r>
              <w:rPr>
                <w:b/>
                <w:bCs/>
              </w:rPr>
              <w:t xml:space="preserve">Not Visited; </w:t>
            </w:r>
            <w:r w:rsidRPr="00935B08">
              <w:rPr>
                <w:bCs/>
              </w:rPr>
              <w:t xml:space="preserve">as </w:t>
            </w:r>
            <w:r>
              <w:rPr>
                <w:bCs/>
              </w:rPr>
              <w:t>either</w:t>
            </w:r>
            <w:r>
              <w:rPr>
                <w:b/>
                <w:bCs/>
              </w:rPr>
              <w:t xml:space="preserve"> </w:t>
            </w:r>
            <w:r w:rsidRPr="007226D5">
              <w:rPr>
                <w:bCs/>
              </w:rPr>
              <w:t>sleeping, interview</w:t>
            </w:r>
            <w:r>
              <w:rPr>
                <w:bCs/>
              </w:rPr>
              <w:t xml:space="preserve"> etc</w:t>
            </w:r>
            <w:r w:rsidRPr="00A32FE8">
              <w:rPr>
                <w:b/>
                <w:bCs/>
              </w:rPr>
              <w:t xml:space="preserve"> </w:t>
            </w:r>
          </w:p>
        </w:tc>
        <w:tc>
          <w:tcPr>
            <w:tcW w:w="1481" w:type="dxa"/>
            <w:gridSpan w:val="2"/>
            <w:tcBorders>
              <w:top w:val="single" w:sz="4" w:space="0" w:color="auto"/>
              <w:bottom w:val="single" w:sz="4" w:space="0" w:color="auto"/>
            </w:tcBorders>
          </w:tcPr>
          <w:p w:rsidR="008B2AA3" w:rsidRDefault="008B2AA3" w:rsidP="00520718">
            <w:pPr>
              <w:cnfStyle w:val="000000100000" w:firstRow="0" w:lastRow="0" w:firstColumn="0" w:lastColumn="0" w:oddVBand="0" w:evenVBand="0" w:oddHBand="1" w:evenHBand="0" w:firstRowFirstColumn="0" w:firstRowLastColumn="0" w:lastRowFirstColumn="0" w:lastRowLastColumn="0"/>
              <w:rPr>
                <w:b/>
                <w:bCs/>
              </w:rPr>
            </w:pPr>
            <w:r>
              <w:rPr>
                <w:b/>
                <w:bCs/>
              </w:rPr>
              <w:t xml:space="preserve">% Visited </w:t>
            </w:r>
          </w:p>
        </w:tc>
      </w:tr>
      <w:tr w:rsidR="008B2AA3" w:rsidRPr="00A32FE8" w:rsidTr="00BA3ECE">
        <w:trPr>
          <w:trHeight w:val="252"/>
        </w:trPr>
        <w:tc>
          <w:tcPr>
            <w:cnfStyle w:val="001000000000" w:firstRow="0" w:lastRow="0" w:firstColumn="1" w:lastColumn="0" w:oddVBand="0" w:evenVBand="0" w:oddHBand="0" w:evenHBand="0" w:firstRowFirstColumn="0" w:firstRowLastColumn="0" w:lastRowFirstColumn="0" w:lastRowLastColumn="0"/>
            <w:tcW w:w="1525" w:type="dxa"/>
            <w:noWrap/>
            <w:hideMark/>
          </w:tcPr>
          <w:p w:rsidR="008B2AA3" w:rsidRPr="00A32FE8" w:rsidRDefault="008B2AA3" w:rsidP="00A32FE8"/>
        </w:tc>
        <w:tc>
          <w:tcPr>
            <w:tcW w:w="1271" w:type="dxa"/>
          </w:tcPr>
          <w:p w:rsidR="008B2AA3" w:rsidRPr="00A32FE8" w:rsidRDefault="008B2AA3">
            <w:pPr>
              <w:cnfStyle w:val="000000000000" w:firstRow="0" w:lastRow="0" w:firstColumn="0" w:lastColumn="0" w:oddVBand="0" w:evenVBand="0" w:oddHBand="0" w:evenHBand="0" w:firstRowFirstColumn="0" w:firstRowLastColumn="0" w:lastRowFirstColumn="0" w:lastRowLastColumn="0"/>
            </w:pPr>
          </w:p>
        </w:tc>
        <w:tc>
          <w:tcPr>
            <w:tcW w:w="1333" w:type="dxa"/>
            <w:noWrap/>
            <w:hideMark/>
          </w:tcPr>
          <w:p w:rsidR="008B2AA3" w:rsidRPr="00A32FE8" w:rsidRDefault="008B2AA3">
            <w:pPr>
              <w:cnfStyle w:val="000000000000" w:firstRow="0" w:lastRow="0" w:firstColumn="0" w:lastColumn="0" w:oddVBand="0" w:evenVBand="0" w:oddHBand="0" w:evenHBand="0" w:firstRowFirstColumn="0" w:firstRowLastColumn="0" w:lastRowFirstColumn="0" w:lastRowLastColumn="0"/>
            </w:pPr>
          </w:p>
        </w:tc>
        <w:tc>
          <w:tcPr>
            <w:tcW w:w="1169" w:type="dxa"/>
            <w:noWrap/>
            <w:hideMark/>
          </w:tcPr>
          <w:p w:rsidR="008B2AA3" w:rsidRPr="00A32FE8" w:rsidRDefault="008B2AA3">
            <w:pPr>
              <w:cnfStyle w:val="000000000000" w:firstRow="0" w:lastRow="0" w:firstColumn="0" w:lastColumn="0" w:oddVBand="0" w:evenVBand="0" w:oddHBand="0" w:evenHBand="0" w:firstRowFirstColumn="0" w:firstRowLastColumn="0" w:lastRowFirstColumn="0" w:lastRowLastColumn="0"/>
            </w:pPr>
          </w:p>
        </w:tc>
        <w:tc>
          <w:tcPr>
            <w:tcW w:w="1166" w:type="dxa"/>
            <w:noWrap/>
            <w:hideMark/>
          </w:tcPr>
          <w:p w:rsidR="008B2AA3" w:rsidRPr="00A32FE8" w:rsidRDefault="008B2AA3">
            <w:pPr>
              <w:cnfStyle w:val="000000000000" w:firstRow="0" w:lastRow="0" w:firstColumn="0" w:lastColumn="0" w:oddVBand="0" w:evenVBand="0" w:oddHBand="0" w:evenHBand="0" w:firstRowFirstColumn="0" w:firstRowLastColumn="0" w:lastRowFirstColumn="0" w:lastRowLastColumn="0"/>
            </w:pPr>
          </w:p>
        </w:tc>
        <w:tc>
          <w:tcPr>
            <w:tcW w:w="834" w:type="dxa"/>
            <w:noWrap/>
            <w:hideMark/>
          </w:tcPr>
          <w:p w:rsidR="008B2AA3" w:rsidRPr="00A32FE8" w:rsidRDefault="008B2AA3">
            <w:pPr>
              <w:cnfStyle w:val="000000000000" w:firstRow="0" w:lastRow="0" w:firstColumn="0" w:lastColumn="0" w:oddVBand="0" w:evenVBand="0" w:oddHBand="0" w:evenHBand="0" w:firstRowFirstColumn="0" w:firstRowLastColumn="0" w:lastRowFirstColumn="0" w:lastRowLastColumn="0"/>
            </w:pPr>
          </w:p>
        </w:tc>
        <w:tc>
          <w:tcPr>
            <w:tcW w:w="833" w:type="dxa"/>
            <w:noWrap/>
            <w:hideMark/>
          </w:tcPr>
          <w:p w:rsidR="008B2AA3" w:rsidRPr="00A32FE8" w:rsidRDefault="008B2AA3">
            <w:pPr>
              <w:cnfStyle w:val="000000000000" w:firstRow="0" w:lastRow="0" w:firstColumn="0" w:lastColumn="0" w:oddVBand="0" w:evenVBand="0" w:oddHBand="0" w:evenHBand="0" w:firstRowFirstColumn="0" w:firstRowLastColumn="0" w:lastRowFirstColumn="0" w:lastRowLastColumn="0"/>
            </w:pPr>
          </w:p>
        </w:tc>
        <w:tc>
          <w:tcPr>
            <w:tcW w:w="1481" w:type="dxa"/>
            <w:gridSpan w:val="2"/>
            <w:noWrap/>
            <w:hideMark/>
          </w:tcPr>
          <w:p w:rsidR="008B2AA3" w:rsidRPr="00A32FE8" w:rsidRDefault="008B2AA3">
            <w:pPr>
              <w:cnfStyle w:val="000000000000" w:firstRow="0" w:lastRow="0" w:firstColumn="0" w:lastColumn="0" w:oddVBand="0" w:evenVBand="0" w:oddHBand="0" w:evenHBand="0" w:firstRowFirstColumn="0" w:firstRowLastColumn="0" w:lastRowFirstColumn="0" w:lastRowLastColumn="0"/>
            </w:pPr>
          </w:p>
        </w:tc>
        <w:tc>
          <w:tcPr>
            <w:tcW w:w="1481" w:type="dxa"/>
            <w:gridSpan w:val="2"/>
          </w:tcPr>
          <w:p w:rsidR="008B2AA3" w:rsidRPr="00A32FE8" w:rsidRDefault="008B2AA3">
            <w:pPr>
              <w:cnfStyle w:val="000000000000" w:firstRow="0" w:lastRow="0" w:firstColumn="0" w:lastColumn="0" w:oddVBand="0" w:evenVBand="0" w:oddHBand="0" w:evenHBand="0" w:firstRowFirstColumn="0" w:firstRowLastColumn="0" w:lastRowFirstColumn="0" w:lastRowLastColumn="0"/>
            </w:pPr>
          </w:p>
        </w:tc>
      </w:tr>
      <w:tr w:rsidR="00BA3ECE" w:rsidRPr="00A32FE8" w:rsidTr="00BA3ECE">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525" w:type="dxa"/>
            <w:tcBorders>
              <w:right w:val="single" w:sz="4" w:space="0" w:color="auto"/>
            </w:tcBorders>
            <w:noWrap/>
            <w:hideMark/>
          </w:tcPr>
          <w:p w:rsidR="008B2AA3" w:rsidRPr="00A32FE8" w:rsidRDefault="008B2AA3" w:rsidP="00A32FE8">
            <w:r w:rsidRPr="00A32FE8">
              <w:t>BASILDON</w:t>
            </w:r>
          </w:p>
        </w:tc>
        <w:tc>
          <w:tcPr>
            <w:tcW w:w="1271" w:type="dxa"/>
            <w:tcBorders>
              <w:left w:val="single" w:sz="4" w:space="0" w:color="auto"/>
              <w:right w:val="single" w:sz="4" w:space="0" w:color="auto"/>
            </w:tcBorders>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t>36</w:t>
            </w:r>
          </w:p>
        </w:tc>
        <w:tc>
          <w:tcPr>
            <w:tcW w:w="1333"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223</w:t>
            </w:r>
          </w:p>
        </w:tc>
        <w:tc>
          <w:tcPr>
            <w:tcW w:w="1169"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140</w:t>
            </w:r>
          </w:p>
        </w:tc>
        <w:tc>
          <w:tcPr>
            <w:tcW w:w="1166"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3</w:t>
            </w:r>
          </w:p>
        </w:tc>
        <w:tc>
          <w:tcPr>
            <w:tcW w:w="834"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19</w:t>
            </w:r>
          </w:p>
        </w:tc>
        <w:tc>
          <w:tcPr>
            <w:tcW w:w="833"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6</w:t>
            </w:r>
          </w:p>
        </w:tc>
        <w:tc>
          <w:tcPr>
            <w:tcW w:w="1481" w:type="dxa"/>
            <w:gridSpan w:val="2"/>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80</w:t>
            </w:r>
          </w:p>
        </w:tc>
        <w:tc>
          <w:tcPr>
            <w:tcW w:w="1481" w:type="dxa"/>
            <w:gridSpan w:val="2"/>
            <w:tcBorders>
              <w:left w:val="single" w:sz="4" w:space="0" w:color="auto"/>
              <w:right w:val="single" w:sz="4" w:space="0" w:color="auto"/>
            </w:tcBorders>
          </w:tcPr>
          <w:p w:rsidR="008B2AA3" w:rsidRPr="00A32FE8" w:rsidRDefault="008B2AA3" w:rsidP="008B2AA3">
            <w:pPr>
              <w:cnfStyle w:val="000000100000" w:firstRow="0" w:lastRow="0" w:firstColumn="0" w:lastColumn="0" w:oddVBand="0" w:evenVBand="0" w:oddHBand="1" w:evenHBand="0" w:firstRowFirstColumn="0" w:firstRowLastColumn="0" w:lastRowFirstColumn="0" w:lastRowLastColumn="0"/>
            </w:pPr>
            <w:r>
              <w:t>97.90</w:t>
            </w:r>
          </w:p>
        </w:tc>
      </w:tr>
      <w:tr w:rsidR="008B2AA3" w:rsidRPr="00A32FE8" w:rsidTr="00BA3ECE">
        <w:trPr>
          <w:trHeight w:val="252"/>
        </w:trPr>
        <w:tc>
          <w:tcPr>
            <w:cnfStyle w:val="001000000000" w:firstRow="0" w:lastRow="0" w:firstColumn="1" w:lastColumn="0" w:oddVBand="0" w:evenVBand="0" w:oddHBand="0" w:evenHBand="0" w:firstRowFirstColumn="0" w:firstRowLastColumn="0" w:lastRowFirstColumn="0" w:lastRowLastColumn="0"/>
            <w:tcW w:w="1525" w:type="dxa"/>
            <w:noWrap/>
            <w:hideMark/>
          </w:tcPr>
          <w:p w:rsidR="008B2AA3" w:rsidRPr="00A32FE8" w:rsidRDefault="008B2AA3" w:rsidP="00A32FE8">
            <w:r w:rsidRPr="00A32FE8">
              <w:t>CHELMSFORD</w:t>
            </w:r>
          </w:p>
        </w:tc>
        <w:tc>
          <w:tcPr>
            <w:tcW w:w="1271" w:type="dxa"/>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t>36</w:t>
            </w:r>
          </w:p>
        </w:tc>
        <w:tc>
          <w:tcPr>
            <w:tcW w:w="1333" w:type="dxa"/>
            <w:noWrap/>
            <w:hideMark/>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rsidRPr="00A32FE8">
              <w:t>184</w:t>
            </w:r>
          </w:p>
        </w:tc>
        <w:tc>
          <w:tcPr>
            <w:tcW w:w="1169" w:type="dxa"/>
            <w:noWrap/>
            <w:hideMark/>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rsidRPr="00A32FE8">
              <w:t>98</w:t>
            </w:r>
          </w:p>
        </w:tc>
        <w:tc>
          <w:tcPr>
            <w:tcW w:w="1166" w:type="dxa"/>
            <w:noWrap/>
            <w:hideMark/>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rsidRPr="00A32FE8">
              <w:t>1</w:t>
            </w:r>
          </w:p>
        </w:tc>
        <w:tc>
          <w:tcPr>
            <w:tcW w:w="834" w:type="dxa"/>
            <w:noWrap/>
            <w:hideMark/>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rsidRPr="00A32FE8">
              <w:t>15</w:t>
            </w:r>
          </w:p>
        </w:tc>
        <w:tc>
          <w:tcPr>
            <w:tcW w:w="833" w:type="dxa"/>
            <w:noWrap/>
            <w:hideMark/>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rsidRPr="00A32FE8">
              <w:t>4</w:t>
            </w:r>
          </w:p>
        </w:tc>
        <w:tc>
          <w:tcPr>
            <w:tcW w:w="1481" w:type="dxa"/>
            <w:gridSpan w:val="2"/>
            <w:noWrap/>
            <w:hideMark/>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rsidRPr="00A32FE8">
              <w:t>85</w:t>
            </w:r>
          </w:p>
        </w:tc>
        <w:tc>
          <w:tcPr>
            <w:tcW w:w="1481" w:type="dxa"/>
            <w:gridSpan w:val="2"/>
          </w:tcPr>
          <w:p w:rsidR="008B2AA3" w:rsidRPr="00A32FE8" w:rsidRDefault="00B67C0A" w:rsidP="00A32FE8">
            <w:pPr>
              <w:cnfStyle w:val="000000000000" w:firstRow="0" w:lastRow="0" w:firstColumn="0" w:lastColumn="0" w:oddVBand="0" w:evenVBand="0" w:oddHBand="0" w:evenHBand="0" w:firstRowFirstColumn="0" w:firstRowLastColumn="0" w:lastRowFirstColumn="0" w:lastRowLastColumn="0"/>
            </w:pPr>
            <w:r>
              <w:t>98.99</w:t>
            </w:r>
          </w:p>
        </w:tc>
      </w:tr>
      <w:tr w:rsidR="00BA3ECE" w:rsidRPr="00A32FE8" w:rsidTr="00BA3ECE">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525" w:type="dxa"/>
            <w:tcBorders>
              <w:right w:val="single" w:sz="4" w:space="0" w:color="auto"/>
            </w:tcBorders>
            <w:noWrap/>
            <w:hideMark/>
          </w:tcPr>
          <w:p w:rsidR="008B2AA3" w:rsidRPr="00A32FE8" w:rsidRDefault="008B2AA3" w:rsidP="00A32FE8">
            <w:r w:rsidRPr="00A32FE8">
              <w:t>CLACTON</w:t>
            </w:r>
          </w:p>
        </w:tc>
        <w:tc>
          <w:tcPr>
            <w:tcW w:w="1271" w:type="dxa"/>
            <w:tcBorders>
              <w:left w:val="single" w:sz="4" w:space="0" w:color="auto"/>
              <w:right w:val="single" w:sz="4" w:space="0" w:color="auto"/>
            </w:tcBorders>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t>34</w:t>
            </w:r>
          </w:p>
        </w:tc>
        <w:tc>
          <w:tcPr>
            <w:tcW w:w="1333"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135</w:t>
            </w:r>
          </w:p>
        </w:tc>
        <w:tc>
          <w:tcPr>
            <w:tcW w:w="1169"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64</w:t>
            </w:r>
          </w:p>
        </w:tc>
        <w:tc>
          <w:tcPr>
            <w:tcW w:w="1166"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4</w:t>
            </w:r>
          </w:p>
        </w:tc>
        <w:tc>
          <w:tcPr>
            <w:tcW w:w="834"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9</w:t>
            </w:r>
          </w:p>
        </w:tc>
        <w:tc>
          <w:tcPr>
            <w:tcW w:w="833"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3</w:t>
            </w:r>
          </w:p>
        </w:tc>
        <w:tc>
          <w:tcPr>
            <w:tcW w:w="1481" w:type="dxa"/>
            <w:gridSpan w:val="2"/>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67</w:t>
            </w:r>
          </w:p>
        </w:tc>
        <w:tc>
          <w:tcPr>
            <w:tcW w:w="1481" w:type="dxa"/>
            <w:gridSpan w:val="2"/>
            <w:tcBorders>
              <w:left w:val="single" w:sz="4" w:space="0" w:color="auto"/>
              <w:right w:val="single" w:sz="4" w:space="0" w:color="auto"/>
            </w:tcBorders>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t>94.12</w:t>
            </w:r>
          </w:p>
        </w:tc>
      </w:tr>
      <w:tr w:rsidR="008B2AA3" w:rsidRPr="00A32FE8" w:rsidTr="00BA3ECE">
        <w:trPr>
          <w:trHeight w:val="252"/>
        </w:trPr>
        <w:tc>
          <w:tcPr>
            <w:cnfStyle w:val="001000000000" w:firstRow="0" w:lastRow="0" w:firstColumn="1" w:lastColumn="0" w:oddVBand="0" w:evenVBand="0" w:oddHBand="0" w:evenHBand="0" w:firstRowFirstColumn="0" w:firstRowLastColumn="0" w:lastRowFirstColumn="0" w:lastRowLastColumn="0"/>
            <w:tcW w:w="1525" w:type="dxa"/>
            <w:noWrap/>
            <w:hideMark/>
          </w:tcPr>
          <w:p w:rsidR="008B2AA3" w:rsidRPr="00A32FE8" w:rsidRDefault="008B2AA3" w:rsidP="00A32FE8">
            <w:r w:rsidRPr="00A32FE8">
              <w:t>COLCHESTER</w:t>
            </w:r>
          </w:p>
        </w:tc>
        <w:tc>
          <w:tcPr>
            <w:tcW w:w="1271" w:type="dxa"/>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t>31</w:t>
            </w:r>
          </w:p>
        </w:tc>
        <w:tc>
          <w:tcPr>
            <w:tcW w:w="1333" w:type="dxa"/>
            <w:noWrap/>
            <w:hideMark/>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rsidRPr="00A32FE8">
              <w:t>141</w:t>
            </w:r>
          </w:p>
        </w:tc>
        <w:tc>
          <w:tcPr>
            <w:tcW w:w="1169" w:type="dxa"/>
            <w:noWrap/>
            <w:hideMark/>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rsidRPr="00A32FE8">
              <w:t>79</w:t>
            </w:r>
          </w:p>
        </w:tc>
        <w:tc>
          <w:tcPr>
            <w:tcW w:w="1166" w:type="dxa"/>
            <w:noWrap/>
            <w:hideMark/>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rsidRPr="00A32FE8">
              <w:t>1</w:t>
            </w:r>
          </w:p>
        </w:tc>
        <w:tc>
          <w:tcPr>
            <w:tcW w:w="834" w:type="dxa"/>
            <w:noWrap/>
            <w:hideMark/>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rsidRPr="00A32FE8">
              <w:t>13</w:t>
            </w:r>
          </w:p>
        </w:tc>
        <w:tc>
          <w:tcPr>
            <w:tcW w:w="833" w:type="dxa"/>
            <w:noWrap/>
            <w:hideMark/>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rsidRPr="00A32FE8">
              <w:t>1</w:t>
            </w:r>
          </w:p>
        </w:tc>
        <w:tc>
          <w:tcPr>
            <w:tcW w:w="1481" w:type="dxa"/>
            <w:gridSpan w:val="2"/>
            <w:noWrap/>
            <w:hideMark/>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rsidRPr="00A32FE8">
              <w:t>61</w:t>
            </w:r>
          </w:p>
        </w:tc>
        <w:tc>
          <w:tcPr>
            <w:tcW w:w="1481" w:type="dxa"/>
            <w:gridSpan w:val="2"/>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t>98.75</w:t>
            </w:r>
          </w:p>
        </w:tc>
      </w:tr>
      <w:tr w:rsidR="00BA3ECE" w:rsidRPr="00A32FE8" w:rsidTr="00BA3ECE">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525" w:type="dxa"/>
            <w:tcBorders>
              <w:right w:val="single" w:sz="4" w:space="0" w:color="auto"/>
            </w:tcBorders>
            <w:noWrap/>
            <w:hideMark/>
          </w:tcPr>
          <w:p w:rsidR="008B2AA3" w:rsidRPr="00A32FE8" w:rsidRDefault="008B2AA3" w:rsidP="00A32FE8">
            <w:r w:rsidRPr="00A32FE8">
              <w:t>GRAYS</w:t>
            </w:r>
          </w:p>
        </w:tc>
        <w:tc>
          <w:tcPr>
            <w:tcW w:w="1271" w:type="dxa"/>
            <w:tcBorders>
              <w:left w:val="single" w:sz="4" w:space="0" w:color="auto"/>
              <w:right w:val="single" w:sz="4" w:space="0" w:color="auto"/>
            </w:tcBorders>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t>34</w:t>
            </w:r>
          </w:p>
        </w:tc>
        <w:tc>
          <w:tcPr>
            <w:tcW w:w="1333"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150</w:t>
            </w:r>
          </w:p>
        </w:tc>
        <w:tc>
          <w:tcPr>
            <w:tcW w:w="1169"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98</w:t>
            </w:r>
          </w:p>
        </w:tc>
        <w:tc>
          <w:tcPr>
            <w:tcW w:w="1166"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4</w:t>
            </w:r>
          </w:p>
        </w:tc>
        <w:tc>
          <w:tcPr>
            <w:tcW w:w="834"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16</w:t>
            </w:r>
          </w:p>
        </w:tc>
        <w:tc>
          <w:tcPr>
            <w:tcW w:w="833"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2</w:t>
            </w:r>
          </w:p>
        </w:tc>
        <w:tc>
          <w:tcPr>
            <w:tcW w:w="1481" w:type="dxa"/>
            <w:gridSpan w:val="2"/>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48</w:t>
            </w:r>
          </w:p>
        </w:tc>
        <w:tc>
          <w:tcPr>
            <w:tcW w:w="1481" w:type="dxa"/>
            <w:gridSpan w:val="2"/>
            <w:tcBorders>
              <w:left w:val="single" w:sz="4" w:space="0" w:color="auto"/>
              <w:right w:val="single" w:sz="4" w:space="0" w:color="auto"/>
            </w:tcBorders>
          </w:tcPr>
          <w:p w:rsidR="008B2AA3" w:rsidRPr="00A32FE8" w:rsidRDefault="00941DF7" w:rsidP="00A32FE8">
            <w:pPr>
              <w:cnfStyle w:val="000000100000" w:firstRow="0" w:lastRow="0" w:firstColumn="0" w:lastColumn="0" w:oddVBand="0" w:evenVBand="0" w:oddHBand="1" w:evenHBand="0" w:firstRowFirstColumn="0" w:firstRowLastColumn="0" w:lastRowFirstColumn="0" w:lastRowLastColumn="0"/>
            </w:pPr>
            <w:r>
              <w:t>96.08</w:t>
            </w:r>
          </w:p>
        </w:tc>
      </w:tr>
      <w:tr w:rsidR="008B2AA3" w:rsidRPr="00A32FE8" w:rsidTr="00BA3ECE">
        <w:trPr>
          <w:trHeight w:val="252"/>
        </w:trPr>
        <w:tc>
          <w:tcPr>
            <w:cnfStyle w:val="001000000000" w:firstRow="0" w:lastRow="0" w:firstColumn="1" w:lastColumn="0" w:oddVBand="0" w:evenVBand="0" w:oddHBand="0" w:evenHBand="0" w:firstRowFirstColumn="0" w:firstRowLastColumn="0" w:lastRowFirstColumn="0" w:lastRowLastColumn="0"/>
            <w:tcW w:w="1525" w:type="dxa"/>
            <w:noWrap/>
            <w:hideMark/>
          </w:tcPr>
          <w:p w:rsidR="008B2AA3" w:rsidRPr="00A32FE8" w:rsidRDefault="008B2AA3" w:rsidP="00A32FE8">
            <w:r w:rsidRPr="00A32FE8">
              <w:t>HARLOW</w:t>
            </w:r>
          </w:p>
        </w:tc>
        <w:tc>
          <w:tcPr>
            <w:tcW w:w="1271" w:type="dxa"/>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t>35</w:t>
            </w:r>
          </w:p>
        </w:tc>
        <w:tc>
          <w:tcPr>
            <w:tcW w:w="1333" w:type="dxa"/>
            <w:noWrap/>
            <w:hideMark/>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rsidRPr="00A32FE8">
              <w:t>179</w:t>
            </w:r>
          </w:p>
        </w:tc>
        <w:tc>
          <w:tcPr>
            <w:tcW w:w="1169" w:type="dxa"/>
            <w:noWrap/>
            <w:hideMark/>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rsidRPr="00A32FE8">
              <w:t>104</w:t>
            </w:r>
          </w:p>
        </w:tc>
        <w:tc>
          <w:tcPr>
            <w:tcW w:w="1166" w:type="dxa"/>
            <w:noWrap/>
            <w:hideMark/>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rsidRPr="00A32FE8">
              <w:t>1</w:t>
            </w:r>
          </w:p>
        </w:tc>
        <w:tc>
          <w:tcPr>
            <w:tcW w:w="834" w:type="dxa"/>
            <w:noWrap/>
            <w:hideMark/>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rsidRPr="00A32FE8">
              <w:t>14</w:t>
            </w:r>
          </w:p>
        </w:tc>
        <w:tc>
          <w:tcPr>
            <w:tcW w:w="833" w:type="dxa"/>
            <w:noWrap/>
            <w:hideMark/>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rsidRPr="00A32FE8">
              <w:t>1</w:t>
            </w:r>
          </w:p>
        </w:tc>
        <w:tc>
          <w:tcPr>
            <w:tcW w:w="1481" w:type="dxa"/>
            <w:gridSpan w:val="2"/>
            <w:noWrap/>
            <w:hideMark/>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rsidRPr="00A32FE8">
              <w:t>74</w:t>
            </w:r>
          </w:p>
        </w:tc>
        <w:tc>
          <w:tcPr>
            <w:tcW w:w="1481" w:type="dxa"/>
            <w:gridSpan w:val="2"/>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t>99.05</w:t>
            </w:r>
          </w:p>
        </w:tc>
      </w:tr>
      <w:tr w:rsidR="00BA3ECE" w:rsidRPr="00A32FE8" w:rsidTr="00BA3ECE">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525" w:type="dxa"/>
            <w:tcBorders>
              <w:right w:val="single" w:sz="4" w:space="0" w:color="auto"/>
            </w:tcBorders>
            <w:noWrap/>
            <w:hideMark/>
          </w:tcPr>
          <w:p w:rsidR="008B2AA3" w:rsidRPr="00A32FE8" w:rsidRDefault="008B2AA3" w:rsidP="00A32FE8">
            <w:r w:rsidRPr="00A32FE8">
              <w:t>RAYLEIGH</w:t>
            </w:r>
          </w:p>
        </w:tc>
        <w:tc>
          <w:tcPr>
            <w:tcW w:w="1271" w:type="dxa"/>
            <w:tcBorders>
              <w:left w:val="single" w:sz="4" w:space="0" w:color="auto"/>
              <w:right w:val="single" w:sz="4" w:space="0" w:color="auto"/>
            </w:tcBorders>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t>29</w:t>
            </w:r>
          </w:p>
        </w:tc>
        <w:tc>
          <w:tcPr>
            <w:tcW w:w="1333"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172</w:t>
            </w:r>
          </w:p>
        </w:tc>
        <w:tc>
          <w:tcPr>
            <w:tcW w:w="1169"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90</w:t>
            </w:r>
          </w:p>
        </w:tc>
        <w:tc>
          <w:tcPr>
            <w:tcW w:w="1166"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6</w:t>
            </w:r>
          </w:p>
        </w:tc>
        <w:tc>
          <w:tcPr>
            <w:tcW w:w="834"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15</w:t>
            </w:r>
          </w:p>
        </w:tc>
        <w:tc>
          <w:tcPr>
            <w:tcW w:w="833"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3</w:t>
            </w:r>
          </w:p>
        </w:tc>
        <w:tc>
          <w:tcPr>
            <w:tcW w:w="1481" w:type="dxa"/>
            <w:gridSpan w:val="2"/>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76</w:t>
            </w:r>
          </w:p>
        </w:tc>
        <w:tc>
          <w:tcPr>
            <w:tcW w:w="1481" w:type="dxa"/>
            <w:gridSpan w:val="2"/>
            <w:tcBorders>
              <w:left w:val="single" w:sz="4" w:space="0" w:color="auto"/>
              <w:right w:val="single" w:sz="4" w:space="0" w:color="auto"/>
            </w:tcBorders>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t>94.78</w:t>
            </w:r>
          </w:p>
        </w:tc>
      </w:tr>
      <w:tr w:rsidR="008B2AA3" w:rsidRPr="00A32FE8" w:rsidTr="00BA3ECE">
        <w:trPr>
          <w:trHeight w:val="252"/>
        </w:trPr>
        <w:tc>
          <w:tcPr>
            <w:cnfStyle w:val="001000000000" w:firstRow="0" w:lastRow="0" w:firstColumn="1" w:lastColumn="0" w:oddVBand="0" w:evenVBand="0" w:oddHBand="0" w:evenHBand="0" w:firstRowFirstColumn="0" w:firstRowLastColumn="0" w:lastRowFirstColumn="0" w:lastRowLastColumn="0"/>
            <w:tcW w:w="1525" w:type="dxa"/>
            <w:noWrap/>
          </w:tcPr>
          <w:p w:rsidR="008B2AA3" w:rsidRPr="00A32FE8" w:rsidRDefault="008B2AA3" w:rsidP="00A32FE8">
            <w:r>
              <w:t>SOUTHEND</w:t>
            </w:r>
          </w:p>
        </w:tc>
        <w:tc>
          <w:tcPr>
            <w:tcW w:w="1271" w:type="dxa"/>
          </w:tcPr>
          <w:p w:rsidR="008B2AA3" w:rsidRDefault="008B2AA3" w:rsidP="00A32FE8">
            <w:pPr>
              <w:cnfStyle w:val="000000000000" w:firstRow="0" w:lastRow="0" w:firstColumn="0" w:lastColumn="0" w:oddVBand="0" w:evenVBand="0" w:oddHBand="0" w:evenHBand="0" w:firstRowFirstColumn="0" w:firstRowLastColumn="0" w:lastRowFirstColumn="0" w:lastRowLastColumn="0"/>
            </w:pPr>
            <w:r>
              <w:t>6</w:t>
            </w:r>
          </w:p>
        </w:tc>
        <w:tc>
          <w:tcPr>
            <w:tcW w:w="1333" w:type="dxa"/>
            <w:noWrap/>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t>42</w:t>
            </w:r>
          </w:p>
        </w:tc>
        <w:tc>
          <w:tcPr>
            <w:tcW w:w="1169" w:type="dxa"/>
            <w:noWrap/>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t>10</w:t>
            </w:r>
          </w:p>
        </w:tc>
        <w:tc>
          <w:tcPr>
            <w:tcW w:w="1166" w:type="dxa"/>
            <w:noWrap/>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t>0</w:t>
            </w:r>
          </w:p>
        </w:tc>
        <w:tc>
          <w:tcPr>
            <w:tcW w:w="834" w:type="dxa"/>
            <w:noWrap/>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t>3</w:t>
            </w:r>
          </w:p>
        </w:tc>
        <w:tc>
          <w:tcPr>
            <w:tcW w:w="833" w:type="dxa"/>
            <w:noWrap/>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t>0</w:t>
            </w:r>
          </w:p>
        </w:tc>
        <w:tc>
          <w:tcPr>
            <w:tcW w:w="1481" w:type="dxa"/>
            <w:gridSpan w:val="2"/>
            <w:noWrap/>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t>23</w:t>
            </w:r>
          </w:p>
        </w:tc>
        <w:tc>
          <w:tcPr>
            <w:tcW w:w="1481" w:type="dxa"/>
            <w:gridSpan w:val="2"/>
          </w:tcPr>
          <w:p w:rsidR="008B2AA3" w:rsidRDefault="008B2AA3" w:rsidP="00A32FE8">
            <w:pPr>
              <w:cnfStyle w:val="000000000000" w:firstRow="0" w:lastRow="0" w:firstColumn="0" w:lastColumn="0" w:oddVBand="0" w:evenVBand="0" w:oddHBand="0" w:evenHBand="0" w:firstRowFirstColumn="0" w:firstRowLastColumn="0" w:lastRowFirstColumn="0" w:lastRowLastColumn="0"/>
            </w:pPr>
            <w:r>
              <w:t>93.75</w:t>
            </w:r>
          </w:p>
        </w:tc>
      </w:tr>
      <w:tr w:rsidR="00BA3ECE" w:rsidRPr="00A32FE8" w:rsidTr="00BA3ECE">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525" w:type="dxa"/>
            <w:tcBorders>
              <w:right w:val="single" w:sz="4" w:space="0" w:color="auto"/>
            </w:tcBorders>
            <w:noWrap/>
            <w:hideMark/>
          </w:tcPr>
          <w:p w:rsidR="008B2AA3" w:rsidRPr="00A32FE8" w:rsidRDefault="008B2AA3" w:rsidP="00A32FE8">
            <w:r w:rsidRPr="00A32FE8">
              <w:t>STANSTED</w:t>
            </w:r>
          </w:p>
        </w:tc>
        <w:tc>
          <w:tcPr>
            <w:tcW w:w="1271" w:type="dxa"/>
            <w:tcBorders>
              <w:left w:val="single" w:sz="4" w:space="0" w:color="auto"/>
              <w:right w:val="single" w:sz="4" w:space="0" w:color="auto"/>
            </w:tcBorders>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t>11</w:t>
            </w:r>
          </w:p>
        </w:tc>
        <w:tc>
          <w:tcPr>
            <w:tcW w:w="1333"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6</w:t>
            </w:r>
          </w:p>
        </w:tc>
        <w:tc>
          <w:tcPr>
            <w:tcW w:w="1169"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5</w:t>
            </w:r>
          </w:p>
        </w:tc>
        <w:tc>
          <w:tcPr>
            <w:tcW w:w="1166"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0</w:t>
            </w:r>
          </w:p>
        </w:tc>
        <w:tc>
          <w:tcPr>
            <w:tcW w:w="834"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0</w:t>
            </w:r>
          </w:p>
        </w:tc>
        <w:tc>
          <w:tcPr>
            <w:tcW w:w="833" w:type="dxa"/>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0</w:t>
            </w:r>
          </w:p>
        </w:tc>
        <w:tc>
          <w:tcPr>
            <w:tcW w:w="1481" w:type="dxa"/>
            <w:gridSpan w:val="2"/>
            <w:tcBorders>
              <w:left w:val="single" w:sz="4" w:space="0" w:color="auto"/>
              <w:right w:val="single" w:sz="4" w:space="0" w:color="auto"/>
            </w:tcBorders>
            <w:noWrap/>
            <w:hideMark/>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rsidRPr="00A32FE8">
              <w:t>1</w:t>
            </w:r>
          </w:p>
        </w:tc>
        <w:tc>
          <w:tcPr>
            <w:tcW w:w="1481" w:type="dxa"/>
            <w:gridSpan w:val="2"/>
            <w:tcBorders>
              <w:left w:val="single" w:sz="4" w:space="0" w:color="auto"/>
              <w:right w:val="single" w:sz="4" w:space="0" w:color="auto"/>
            </w:tcBorders>
          </w:tcPr>
          <w:p w:rsidR="008B2AA3" w:rsidRPr="00A32FE8" w:rsidRDefault="008B2AA3" w:rsidP="00A32FE8">
            <w:pPr>
              <w:cnfStyle w:val="000000100000" w:firstRow="0" w:lastRow="0" w:firstColumn="0" w:lastColumn="0" w:oddVBand="0" w:evenVBand="0" w:oddHBand="1" w:evenHBand="0" w:firstRowFirstColumn="0" w:firstRowLastColumn="0" w:lastRowFirstColumn="0" w:lastRowLastColumn="0"/>
            </w:pPr>
            <w:r>
              <w:t>100.00</w:t>
            </w:r>
          </w:p>
        </w:tc>
      </w:tr>
      <w:tr w:rsidR="008B2AA3" w:rsidRPr="00A32FE8" w:rsidTr="00BA3ECE">
        <w:trPr>
          <w:trHeight w:val="252"/>
        </w:trPr>
        <w:tc>
          <w:tcPr>
            <w:cnfStyle w:val="001000000000" w:firstRow="0" w:lastRow="0" w:firstColumn="1" w:lastColumn="0" w:oddVBand="0" w:evenVBand="0" w:oddHBand="0" w:evenHBand="0" w:firstRowFirstColumn="0" w:firstRowLastColumn="0" w:lastRowFirstColumn="0" w:lastRowLastColumn="0"/>
            <w:tcW w:w="1525" w:type="dxa"/>
            <w:tcBorders>
              <w:right w:val="single" w:sz="4" w:space="0" w:color="auto"/>
            </w:tcBorders>
            <w:noWrap/>
            <w:hideMark/>
          </w:tcPr>
          <w:p w:rsidR="008B2AA3" w:rsidRPr="00A32FE8" w:rsidRDefault="008B2AA3" w:rsidP="00A32FE8">
            <w:r w:rsidRPr="00A32FE8">
              <w:t>TOTAL</w:t>
            </w:r>
          </w:p>
        </w:tc>
        <w:tc>
          <w:tcPr>
            <w:tcW w:w="1271" w:type="dxa"/>
            <w:tcBorders>
              <w:left w:val="single" w:sz="4" w:space="0" w:color="auto"/>
              <w:right w:val="single" w:sz="4" w:space="0" w:color="auto"/>
            </w:tcBorders>
          </w:tcPr>
          <w:p w:rsidR="008B2AA3" w:rsidRDefault="008B2AA3" w:rsidP="00A32FE8">
            <w:pPr>
              <w:cnfStyle w:val="000000000000" w:firstRow="0" w:lastRow="0" w:firstColumn="0" w:lastColumn="0" w:oddVBand="0" w:evenVBand="0" w:oddHBand="0" w:evenHBand="0" w:firstRowFirstColumn="0" w:firstRowLastColumn="0" w:lastRowFirstColumn="0" w:lastRowLastColumn="0"/>
            </w:pPr>
            <w:r>
              <w:t>246</w:t>
            </w:r>
          </w:p>
        </w:tc>
        <w:tc>
          <w:tcPr>
            <w:tcW w:w="1333" w:type="dxa"/>
            <w:tcBorders>
              <w:left w:val="single" w:sz="4" w:space="0" w:color="auto"/>
              <w:right w:val="single" w:sz="4" w:space="0" w:color="auto"/>
            </w:tcBorders>
            <w:noWrap/>
            <w:hideMark/>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t>1232</w:t>
            </w:r>
          </w:p>
        </w:tc>
        <w:tc>
          <w:tcPr>
            <w:tcW w:w="1169" w:type="dxa"/>
            <w:tcBorders>
              <w:left w:val="single" w:sz="4" w:space="0" w:color="auto"/>
              <w:right w:val="single" w:sz="4" w:space="0" w:color="auto"/>
            </w:tcBorders>
            <w:noWrap/>
            <w:hideMark/>
          </w:tcPr>
          <w:p w:rsidR="008B2AA3" w:rsidRPr="00A32FE8" w:rsidRDefault="00941DF7" w:rsidP="00A32FE8">
            <w:pPr>
              <w:cnfStyle w:val="000000000000" w:firstRow="0" w:lastRow="0" w:firstColumn="0" w:lastColumn="0" w:oddVBand="0" w:evenVBand="0" w:oddHBand="0" w:evenHBand="0" w:firstRowFirstColumn="0" w:firstRowLastColumn="0" w:lastRowFirstColumn="0" w:lastRowLastColumn="0"/>
            </w:pPr>
            <w:r>
              <w:t>688</w:t>
            </w:r>
          </w:p>
        </w:tc>
        <w:tc>
          <w:tcPr>
            <w:tcW w:w="1166" w:type="dxa"/>
            <w:tcBorders>
              <w:left w:val="single" w:sz="4" w:space="0" w:color="auto"/>
              <w:right w:val="single" w:sz="4" w:space="0" w:color="auto"/>
            </w:tcBorders>
            <w:noWrap/>
            <w:hideMark/>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rsidRPr="00A32FE8">
              <w:t>20</w:t>
            </w:r>
          </w:p>
        </w:tc>
        <w:tc>
          <w:tcPr>
            <w:tcW w:w="834" w:type="dxa"/>
            <w:tcBorders>
              <w:left w:val="single" w:sz="4" w:space="0" w:color="auto"/>
              <w:right w:val="single" w:sz="4" w:space="0" w:color="auto"/>
            </w:tcBorders>
            <w:noWrap/>
            <w:hideMark/>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t>104</w:t>
            </w:r>
          </w:p>
        </w:tc>
        <w:tc>
          <w:tcPr>
            <w:tcW w:w="833" w:type="dxa"/>
            <w:tcBorders>
              <w:left w:val="single" w:sz="4" w:space="0" w:color="auto"/>
              <w:right w:val="single" w:sz="4" w:space="0" w:color="auto"/>
            </w:tcBorders>
            <w:noWrap/>
            <w:hideMark/>
          </w:tcPr>
          <w:p w:rsidR="008B2AA3" w:rsidRPr="00A32FE8" w:rsidRDefault="008B2AA3" w:rsidP="00A32FE8">
            <w:pPr>
              <w:cnfStyle w:val="000000000000" w:firstRow="0" w:lastRow="0" w:firstColumn="0" w:lastColumn="0" w:oddVBand="0" w:evenVBand="0" w:oddHBand="0" w:evenHBand="0" w:firstRowFirstColumn="0" w:firstRowLastColumn="0" w:lastRowFirstColumn="0" w:lastRowLastColumn="0"/>
            </w:pPr>
            <w:r w:rsidRPr="00A32FE8">
              <w:t>20</w:t>
            </w:r>
          </w:p>
        </w:tc>
        <w:tc>
          <w:tcPr>
            <w:tcW w:w="1481" w:type="dxa"/>
            <w:gridSpan w:val="2"/>
            <w:tcBorders>
              <w:left w:val="single" w:sz="4" w:space="0" w:color="auto"/>
              <w:right w:val="single" w:sz="4" w:space="0" w:color="auto"/>
            </w:tcBorders>
            <w:noWrap/>
            <w:hideMark/>
          </w:tcPr>
          <w:p w:rsidR="008B2AA3" w:rsidRPr="00A32FE8" w:rsidRDefault="00941DF7" w:rsidP="00A32FE8">
            <w:pPr>
              <w:cnfStyle w:val="000000000000" w:firstRow="0" w:lastRow="0" w:firstColumn="0" w:lastColumn="0" w:oddVBand="0" w:evenVBand="0" w:oddHBand="0" w:evenHBand="0" w:firstRowFirstColumn="0" w:firstRowLastColumn="0" w:lastRowFirstColumn="0" w:lastRowLastColumn="0"/>
            </w:pPr>
            <w:r>
              <w:t>515</w:t>
            </w:r>
          </w:p>
        </w:tc>
        <w:tc>
          <w:tcPr>
            <w:tcW w:w="1481" w:type="dxa"/>
            <w:gridSpan w:val="2"/>
            <w:tcBorders>
              <w:left w:val="single" w:sz="4" w:space="0" w:color="auto"/>
              <w:right w:val="single" w:sz="4" w:space="0" w:color="auto"/>
            </w:tcBorders>
          </w:tcPr>
          <w:p w:rsidR="008B2AA3" w:rsidRDefault="00941DF7" w:rsidP="00A32FE8">
            <w:pPr>
              <w:cnfStyle w:val="000000000000" w:firstRow="0" w:lastRow="0" w:firstColumn="0" w:lastColumn="0" w:oddVBand="0" w:evenVBand="0" w:oddHBand="0" w:evenHBand="0" w:firstRowFirstColumn="0" w:firstRowLastColumn="0" w:lastRowFirstColumn="0" w:lastRowLastColumn="0"/>
            </w:pPr>
            <w:r>
              <w:t>95.95</w:t>
            </w:r>
          </w:p>
        </w:tc>
      </w:tr>
    </w:tbl>
    <w:tbl>
      <w:tblPr>
        <w:tblStyle w:val="LightShading-Accent3"/>
        <w:tblpPr w:leftFromText="180" w:rightFromText="180" w:vertAnchor="text" w:horzAnchor="margin" w:tblpXSpec="center" w:tblpY="525"/>
        <w:tblW w:w="11232" w:type="dxa"/>
        <w:tblLayout w:type="fixed"/>
        <w:tblLook w:val="04A0" w:firstRow="1" w:lastRow="0" w:firstColumn="1" w:lastColumn="0" w:noHBand="0" w:noVBand="1"/>
      </w:tblPr>
      <w:tblGrid>
        <w:gridCol w:w="1582"/>
        <w:gridCol w:w="1139"/>
        <w:gridCol w:w="499"/>
        <w:gridCol w:w="922"/>
        <w:gridCol w:w="1139"/>
        <w:gridCol w:w="1564"/>
        <w:gridCol w:w="1311"/>
        <w:gridCol w:w="1591"/>
        <w:gridCol w:w="1485"/>
      </w:tblGrid>
      <w:tr w:rsidR="00520718" w:rsidRPr="00783DDE" w:rsidTr="00520718">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82" w:type="dxa"/>
            <w:tcBorders>
              <w:bottom w:val="single" w:sz="4" w:space="0" w:color="auto"/>
            </w:tcBorders>
          </w:tcPr>
          <w:p w:rsidR="00416887" w:rsidRPr="001A79DC" w:rsidRDefault="00416887" w:rsidP="00B36EF0">
            <w:pPr>
              <w:jc w:val="center"/>
              <w:rPr>
                <w:b w:val="0"/>
                <w:bCs w:val="0"/>
                <w:sz w:val="28"/>
              </w:rPr>
            </w:pPr>
          </w:p>
        </w:tc>
        <w:tc>
          <w:tcPr>
            <w:tcW w:w="1638" w:type="dxa"/>
            <w:gridSpan w:val="2"/>
            <w:tcBorders>
              <w:bottom w:val="single" w:sz="4" w:space="0" w:color="auto"/>
            </w:tcBorders>
          </w:tcPr>
          <w:p w:rsidR="00416887" w:rsidRPr="001A79DC" w:rsidRDefault="00416887" w:rsidP="00B36EF0">
            <w:pPr>
              <w:jc w:val="center"/>
              <w:cnfStyle w:val="100000000000" w:firstRow="1" w:lastRow="0" w:firstColumn="0" w:lastColumn="0" w:oddVBand="0" w:evenVBand="0" w:oddHBand="0" w:evenHBand="0" w:firstRowFirstColumn="0" w:firstRowLastColumn="0" w:lastRowFirstColumn="0" w:lastRowLastColumn="0"/>
              <w:rPr>
                <w:b w:val="0"/>
                <w:bCs w:val="0"/>
                <w:sz w:val="28"/>
              </w:rPr>
            </w:pPr>
          </w:p>
        </w:tc>
        <w:tc>
          <w:tcPr>
            <w:tcW w:w="8012" w:type="dxa"/>
            <w:gridSpan w:val="6"/>
            <w:tcBorders>
              <w:bottom w:val="single" w:sz="4" w:space="0" w:color="auto"/>
            </w:tcBorders>
          </w:tcPr>
          <w:p w:rsidR="00416887" w:rsidRPr="001A79DC" w:rsidRDefault="00416887" w:rsidP="00B36EF0">
            <w:pPr>
              <w:cnfStyle w:val="100000000000" w:firstRow="1" w:lastRow="0" w:firstColumn="0" w:lastColumn="0" w:oddVBand="0" w:evenVBand="0" w:oddHBand="0" w:evenHBand="0" w:firstRowFirstColumn="0" w:firstRowLastColumn="0" w:lastRowFirstColumn="0" w:lastRowLastColumn="0"/>
              <w:rPr>
                <w:b w:val="0"/>
                <w:bCs w:val="0"/>
                <w:sz w:val="24"/>
              </w:rPr>
            </w:pPr>
            <w:r w:rsidRPr="001A79DC">
              <w:rPr>
                <w:b w:val="0"/>
                <w:bCs w:val="0"/>
                <w:sz w:val="28"/>
              </w:rPr>
              <w:t>Custody</w:t>
            </w:r>
            <w:r>
              <w:rPr>
                <w:b w:val="0"/>
                <w:bCs w:val="0"/>
                <w:sz w:val="28"/>
              </w:rPr>
              <w:t xml:space="preserve"> Visit Statistics for April 2015 to March 2016</w:t>
            </w:r>
          </w:p>
        </w:tc>
      </w:tr>
      <w:tr w:rsidR="00416887" w:rsidRPr="00783DDE" w:rsidTr="00941DF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bottom w:val="single" w:sz="4" w:space="0" w:color="auto"/>
              <w:right w:val="single" w:sz="4" w:space="0" w:color="auto"/>
            </w:tcBorders>
            <w:hideMark/>
          </w:tcPr>
          <w:p w:rsidR="00416887" w:rsidRPr="00783DDE" w:rsidRDefault="00416887" w:rsidP="00416887">
            <w:r w:rsidRPr="00783DDE">
              <w:t>STATION</w:t>
            </w:r>
          </w:p>
        </w:tc>
        <w:tc>
          <w:tcPr>
            <w:tcW w:w="1139" w:type="dxa"/>
            <w:tcBorders>
              <w:top w:val="single" w:sz="4" w:space="0" w:color="auto"/>
              <w:bottom w:val="single" w:sz="4" w:space="0" w:color="auto"/>
              <w:right w:val="single" w:sz="4" w:space="0" w:color="auto"/>
            </w:tcBorders>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rPr>
                <w:b/>
                <w:bCs/>
              </w:rPr>
            </w:pPr>
            <w:r>
              <w:rPr>
                <w:b/>
                <w:bCs/>
              </w:rPr>
              <w:t>NUMBER OF VISITS</w:t>
            </w:r>
          </w:p>
        </w:tc>
        <w:tc>
          <w:tcPr>
            <w:tcW w:w="1421" w:type="dxa"/>
            <w:gridSpan w:val="2"/>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rPr>
                <w:b/>
                <w:bCs/>
              </w:rPr>
            </w:pPr>
            <w:r w:rsidRPr="00783DDE">
              <w:rPr>
                <w:b/>
                <w:bCs/>
              </w:rPr>
              <w:t xml:space="preserve">DETAINEES </w:t>
            </w:r>
          </w:p>
        </w:tc>
        <w:tc>
          <w:tcPr>
            <w:tcW w:w="1139"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rPr>
                <w:b/>
                <w:bCs/>
              </w:rPr>
            </w:pPr>
            <w:r w:rsidRPr="00783DDE">
              <w:rPr>
                <w:b/>
                <w:bCs/>
              </w:rPr>
              <w:t>VISITED</w:t>
            </w:r>
          </w:p>
        </w:tc>
        <w:tc>
          <w:tcPr>
            <w:tcW w:w="1564"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rPr>
                <w:b/>
                <w:bCs/>
              </w:rPr>
            </w:pPr>
            <w:r w:rsidRPr="00783DDE">
              <w:rPr>
                <w:b/>
                <w:bCs/>
              </w:rPr>
              <w:t>DECLINED</w:t>
            </w:r>
          </w:p>
        </w:tc>
        <w:tc>
          <w:tcPr>
            <w:tcW w:w="1311"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rPr>
                <w:b/>
                <w:bCs/>
              </w:rPr>
            </w:pPr>
            <w:r w:rsidRPr="00783DDE">
              <w:rPr>
                <w:b/>
                <w:bCs/>
              </w:rPr>
              <w:t>136</w:t>
            </w:r>
          </w:p>
        </w:tc>
        <w:tc>
          <w:tcPr>
            <w:tcW w:w="1591"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rPr>
                <w:b/>
                <w:bCs/>
              </w:rPr>
            </w:pPr>
            <w:r w:rsidRPr="00783DDE">
              <w:rPr>
                <w:b/>
                <w:bCs/>
              </w:rPr>
              <w:t>Not Visited either;</w:t>
            </w:r>
            <w:r w:rsidR="008A672D">
              <w:rPr>
                <w:b/>
                <w:bCs/>
              </w:rPr>
              <w:t xml:space="preserve"> </w:t>
            </w:r>
            <w:r w:rsidRPr="00520718">
              <w:rPr>
                <w:sz w:val="20"/>
              </w:rPr>
              <w:t>Sleeping, Interview</w:t>
            </w:r>
          </w:p>
        </w:tc>
        <w:tc>
          <w:tcPr>
            <w:tcW w:w="1485" w:type="dxa"/>
            <w:tcBorders>
              <w:top w:val="single" w:sz="4" w:space="0" w:color="auto"/>
              <w:left w:val="single" w:sz="4" w:space="0" w:color="auto"/>
              <w:bottom w:val="single" w:sz="4" w:space="0" w:color="auto"/>
              <w:right w:val="single" w:sz="4" w:space="0" w:color="auto"/>
            </w:tcBorders>
          </w:tcPr>
          <w:p w:rsidR="00416887" w:rsidRPr="00783DDE" w:rsidRDefault="00520718" w:rsidP="00416887">
            <w:pPr>
              <w:cnfStyle w:val="000000100000" w:firstRow="0" w:lastRow="0" w:firstColumn="0" w:lastColumn="0" w:oddVBand="0" w:evenVBand="0" w:oddHBand="1" w:evenHBand="0" w:firstRowFirstColumn="0" w:firstRowLastColumn="0" w:lastRowFirstColumn="0" w:lastRowLastColumn="0"/>
              <w:rPr>
                <w:b/>
                <w:bCs/>
              </w:rPr>
            </w:pPr>
            <w:r>
              <w:rPr>
                <w:b/>
                <w:bCs/>
              </w:rPr>
              <w:t>% Visited</w:t>
            </w:r>
          </w:p>
        </w:tc>
      </w:tr>
      <w:tr w:rsidR="00416887" w:rsidRPr="00783DDE" w:rsidTr="00941DF7">
        <w:trPr>
          <w:trHeight w:val="145"/>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bottom w:val="single" w:sz="4" w:space="0" w:color="auto"/>
              <w:right w:val="single" w:sz="4" w:space="0" w:color="auto"/>
            </w:tcBorders>
            <w:hideMark/>
          </w:tcPr>
          <w:p w:rsidR="00416887" w:rsidRPr="00783DDE" w:rsidRDefault="00416887" w:rsidP="00416887">
            <w:r w:rsidRPr="00783DDE">
              <w:t>BASILDON</w:t>
            </w:r>
          </w:p>
        </w:tc>
        <w:tc>
          <w:tcPr>
            <w:tcW w:w="1139" w:type="dxa"/>
            <w:tcBorders>
              <w:top w:val="single" w:sz="4" w:space="0" w:color="auto"/>
              <w:bottom w:val="single" w:sz="4" w:space="0" w:color="auto"/>
              <w:right w:val="single" w:sz="4" w:space="0" w:color="auto"/>
            </w:tcBorders>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t>29</w:t>
            </w:r>
          </w:p>
        </w:tc>
        <w:tc>
          <w:tcPr>
            <w:tcW w:w="1421" w:type="dxa"/>
            <w:gridSpan w:val="2"/>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195</w:t>
            </w:r>
          </w:p>
        </w:tc>
        <w:tc>
          <w:tcPr>
            <w:tcW w:w="1139"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104</w:t>
            </w:r>
          </w:p>
        </w:tc>
        <w:tc>
          <w:tcPr>
            <w:tcW w:w="1564"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12</w:t>
            </w:r>
          </w:p>
        </w:tc>
        <w:tc>
          <w:tcPr>
            <w:tcW w:w="1311"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23</w:t>
            </w:r>
          </w:p>
        </w:tc>
        <w:tc>
          <w:tcPr>
            <w:tcW w:w="1591"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79</w:t>
            </w:r>
          </w:p>
        </w:tc>
        <w:tc>
          <w:tcPr>
            <w:tcW w:w="1485" w:type="dxa"/>
            <w:tcBorders>
              <w:top w:val="single" w:sz="4" w:space="0" w:color="auto"/>
              <w:left w:val="single" w:sz="4" w:space="0" w:color="auto"/>
              <w:bottom w:val="single" w:sz="4" w:space="0" w:color="auto"/>
              <w:right w:val="single" w:sz="4" w:space="0" w:color="auto"/>
            </w:tcBorders>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t>89.65</w:t>
            </w:r>
          </w:p>
        </w:tc>
      </w:tr>
      <w:tr w:rsidR="00416887" w:rsidRPr="00783DDE" w:rsidTr="00941DF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bottom w:val="single" w:sz="4" w:space="0" w:color="auto"/>
              <w:right w:val="single" w:sz="4" w:space="0" w:color="auto"/>
            </w:tcBorders>
            <w:hideMark/>
          </w:tcPr>
          <w:p w:rsidR="00416887" w:rsidRPr="00783DDE" w:rsidRDefault="00416887" w:rsidP="00416887">
            <w:r w:rsidRPr="00783DDE">
              <w:t>BRAINTREE</w:t>
            </w:r>
          </w:p>
        </w:tc>
        <w:tc>
          <w:tcPr>
            <w:tcW w:w="1139" w:type="dxa"/>
            <w:tcBorders>
              <w:top w:val="single" w:sz="4" w:space="0" w:color="auto"/>
              <w:bottom w:val="single" w:sz="4" w:space="0" w:color="auto"/>
              <w:right w:val="single" w:sz="4" w:space="0" w:color="auto"/>
            </w:tcBorders>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t>13</w:t>
            </w:r>
          </w:p>
        </w:tc>
        <w:tc>
          <w:tcPr>
            <w:tcW w:w="1421" w:type="dxa"/>
            <w:gridSpan w:val="2"/>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43</w:t>
            </w:r>
          </w:p>
        </w:tc>
        <w:tc>
          <w:tcPr>
            <w:tcW w:w="1139"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26</w:t>
            </w:r>
          </w:p>
        </w:tc>
        <w:tc>
          <w:tcPr>
            <w:tcW w:w="1564"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1</w:t>
            </w:r>
          </w:p>
        </w:tc>
        <w:tc>
          <w:tcPr>
            <w:tcW w:w="1311"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4</w:t>
            </w:r>
          </w:p>
        </w:tc>
        <w:tc>
          <w:tcPr>
            <w:tcW w:w="1591"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16</w:t>
            </w:r>
          </w:p>
        </w:tc>
        <w:tc>
          <w:tcPr>
            <w:tcW w:w="1485" w:type="dxa"/>
            <w:tcBorders>
              <w:top w:val="single" w:sz="4" w:space="0" w:color="auto"/>
              <w:left w:val="single" w:sz="4" w:space="0" w:color="auto"/>
              <w:bottom w:val="single" w:sz="4" w:space="0" w:color="auto"/>
              <w:right w:val="single" w:sz="4" w:space="0" w:color="auto"/>
            </w:tcBorders>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t>96.29</w:t>
            </w:r>
          </w:p>
        </w:tc>
      </w:tr>
      <w:tr w:rsidR="00416887" w:rsidRPr="00783DDE" w:rsidTr="00941DF7">
        <w:trPr>
          <w:trHeight w:val="145"/>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bottom w:val="single" w:sz="4" w:space="0" w:color="auto"/>
              <w:right w:val="single" w:sz="4" w:space="0" w:color="auto"/>
            </w:tcBorders>
            <w:hideMark/>
          </w:tcPr>
          <w:p w:rsidR="00416887" w:rsidRPr="00783DDE" w:rsidRDefault="00416887" w:rsidP="00416887">
            <w:r w:rsidRPr="00783DDE">
              <w:t>CHELMSFORD</w:t>
            </w:r>
          </w:p>
        </w:tc>
        <w:tc>
          <w:tcPr>
            <w:tcW w:w="1139" w:type="dxa"/>
            <w:tcBorders>
              <w:top w:val="single" w:sz="4" w:space="0" w:color="auto"/>
              <w:bottom w:val="single" w:sz="4" w:space="0" w:color="auto"/>
              <w:right w:val="single" w:sz="4" w:space="0" w:color="auto"/>
            </w:tcBorders>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t>30</w:t>
            </w:r>
          </w:p>
        </w:tc>
        <w:tc>
          <w:tcPr>
            <w:tcW w:w="1421" w:type="dxa"/>
            <w:gridSpan w:val="2"/>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172</w:t>
            </w:r>
          </w:p>
        </w:tc>
        <w:tc>
          <w:tcPr>
            <w:tcW w:w="1139"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104</w:t>
            </w:r>
          </w:p>
        </w:tc>
        <w:tc>
          <w:tcPr>
            <w:tcW w:w="1564"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13</w:t>
            </w:r>
          </w:p>
        </w:tc>
        <w:tc>
          <w:tcPr>
            <w:tcW w:w="1311"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8</w:t>
            </w:r>
          </w:p>
        </w:tc>
        <w:tc>
          <w:tcPr>
            <w:tcW w:w="1591"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55</w:t>
            </w:r>
          </w:p>
        </w:tc>
        <w:tc>
          <w:tcPr>
            <w:tcW w:w="1485" w:type="dxa"/>
            <w:tcBorders>
              <w:top w:val="single" w:sz="4" w:space="0" w:color="auto"/>
              <w:left w:val="single" w:sz="4" w:space="0" w:color="auto"/>
              <w:bottom w:val="single" w:sz="4" w:space="0" w:color="auto"/>
              <w:right w:val="single" w:sz="4" w:space="0" w:color="auto"/>
            </w:tcBorders>
          </w:tcPr>
          <w:p w:rsidR="00416887" w:rsidRPr="00783DDE" w:rsidRDefault="00520718" w:rsidP="00416887">
            <w:pPr>
              <w:cnfStyle w:val="000000000000" w:firstRow="0" w:lastRow="0" w:firstColumn="0" w:lastColumn="0" w:oddVBand="0" w:evenVBand="0" w:oddHBand="0" w:evenHBand="0" w:firstRowFirstColumn="0" w:firstRowLastColumn="0" w:lastRowFirstColumn="0" w:lastRowLastColumn="0"/>
            </w:pPr>
            <w:r>
              <w:t>88.88</w:t>
            </w:r>
          </w:p>
        </w:tc>
      </w:tr>
      <w:tr w:rsidR="00416887" w:rsidRPr="00783DDE" w:rsidTr="00941DF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bottom w:val="single" w:sz="4" w:space="0" w:color="auto"/>
              <w:right w:val="single" w:sz="4" w:space="0" w:color="auto"/>
            </w:tcBorders>
            <w:hideMark/>
          </w:tcPr>
          <w:p w:rsidR="00416887" w:rsidRPr="00783DDE" w:rsidRDefault="00416887" w:rsidP="00416887">
            <w:r w:rsidRPr="00783DDE">
              <w:t>CLACTON</w:t>
            </w:r>
          </w:p>
        </w:tc>
        <w:tc>
          <w:tcPr>
            <w:tcW w:w="1139" w:type="dxa"/>
            <w:tcBorders>
              <w:top w:val="single" w:sz="4" w:space="0" w:color="auto"/>
              <w:bottom w:val="single" w:sz="4" w:space="0" w:color="auto"/>
              <w:right w:val="single" w:sz="4" w:space="0" w:color="auto"/>
            </w:tcBorders>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t>30</w:t>
            </w:r>
          </w:p>
        </w:tc>
        <w:tc>
          <w:tcPr>
            <w:tcW w:w="1421" w:type="dxa"/>
            <w:gridSpan w:val="2"/>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128</w:t>
            </w:r>
          </w:p>
        </w:tc>
        <w:tc>
          <w:tcPr>
            <w:tcW w:w="1139"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69</w:t>
            </w:r>
          </w:p>
        </w:tc>
        <w:tc>
          <w:tcPr>
            <w:tcW w:w="1564"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4</w:t>
            </w:r>
          </w:p>
        </w:tc>
        <w:tc>
          <w:tcPr>
            <w:tcW w:w="1311"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15</w:t>
            </w:r>
          </w:p>
        </w:tc>
        <w:tc>
          <w:tcPr>
            <w:tcW w:w="1591"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55</w:t>
            </w:r>
          </w:p>
        </w:tc>
        <w:tc>
          <w:tcPr>
            <w:tcW w:w="1485" w:type="dxa"/>
            <w:tcBorders>
              <w:top w:val="single" w:sz="4" w:space="0" w:color="auto"/>
              <w:left w:val="single" w:sz="4" w:space="0" w:color="auto"/>
              <w:bottom w:val="single" w:sz="4" w:space="0" w:color="auto"/>
              <w:right w:val="single" w:sz="4" w:space="0" w:color="auto"/>
            </w:tcBorders>
          </w:tcPr>
          <w:p w:rsidR="00416887" w:rsidRPr="00783DDE" w:rsidRDefault="00520718" w:rsidP="00416887">
            <w:pPr>
              <w:cnfStyle w:val="000000100000" w:firstRow="0" w:lastRow="0" w:firstColumn="0" w:lastColumn="0" w:oddVBand="0" w:evenVBand="0" w:oddHBand="1" w:evenHBand="0" w:firstRowFirstColumn="0" w:firstRowLastColumn="0" w:lastRowFirstColumn="0" w:lastRowLastColumn="0"/>
            </w:pPr>
            <w:r>
              <w:t>94.52</w:t>
            </w:r>
          </w:p>
        </w:tc>
      </w:tr>
      <w:tr w:rsidR="00416887" w:rsidRPr="00783DDE" w:rsidTr="00941DF7">
        <w:trPr>
          <w:trHeight w:val="145"/>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bottom w:val="single" w:sz="4" w:space="0" w:color="auto"/>
              <w:right w:val="single" w:sz="4" w:space="0" w:color="auto"/>
            </w:tcBorders>
            <w:hideMark/>
          </w:tcPr>
          <w:p w:rsidR="00416887" w:rsidRPr="00783DDE" w:rsidRDefault="00416887" w:rsidP="00416887">
            <w:r w:rsidRPr="00783DDE">
              <w:t>COLCHESTER</w:t>
            </w:r>
          </w:p>
        </w:tc>
        <w:tc>
          <w:tcPr>
            <w:tcW w:w="1139" w:type="dxa"/>
            <w:tcBorders>
              <w:top w:val="single" w:sz="4" w:space="0" w:color="auto"/>
              <w:bottom w:val="single" w:sz="4" w:space="0" w:color="auto"/>
              <w:right w:val="single" w:sz="4" w:space="0" w:color="auto"/>
            </w:tcBorders>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t>35</w:t>
            </w:r>
          </w:p>
        </w:tc>
        <w:tc>
          <w:tcPr>
            <w:tcW w:w="1421" w:type="dxa"/>
            <w:gridSpan w:val="2"/>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176</w:t>
            </w:r>
          </w:p>
        </w:tc>
        <w:tc>
          <w:tcPr>
            <w:tcW w:w="1139"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77</w:t>
            </w:r>
          </w:p>
        </w:tc>
        <w:tc>
          <w:tcPr>
            <w:tcW w:w="1564"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12</w:t>
            </w:r>
          </w:p>
        </w:tc>
        <w:tc>
          <w:tcPr>
            <w:tcW w:w="1311"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10</w:t>
            </w:r>
          </w:p>
        </w:tc>
        <w:tc>
          <w:tcPr>
            <w:tcW w:w="1591"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87</w:t>
            </w:r>
          </w:p>
        </w:tc>
        <w:tc>
          <w:tcPr>
            <w:tcW w:w="1485" w:type="dxa"/>
            <w:tcBorders>
              <w:top w:val="single" w:sz="4" w:space="0" w:color="auto"/>
              <w:left w:val="single" w:sz="4" w:space="0" w:color="auto"/>
              <w:bottom w:val="single" w:sz="4" w:space="0" w:color="auto"/>
              <w:right w:val="single" w:sz="4" w:space="0" w:color="auto"/>
            </w:tcBorders>
          </w:tcPr>
          <w:p w:rsidR="00416887" w:rsidRPr="00783DDE" w:rsidRDefault="00520718" w:rsidP="00416887">
            <w:pPr>
              <w:cnfStyle w:val="000000000000" w:firstRow="0" w:lastRow="0" w:firstColumn="0" w:lastColumn="0" w:oddVBand="0" w:evenVBand="0" w:oddHBand="0" w:evenHBand="0" w:firstRowFirstColumn="0" w:firstRowLastColumn="0" w:lastRowFirstColumn="0" w:lastRowLastColumn="0"/>
            </w:pPr>
            <w:r>
              <w:t>86.51</w:t>
            </w:r>
          </w:p>
        </w:tc>
      </w:tr>
      <w:tr w:rsidR="00416887" w:rsidRPr="00783DDE" w:rsidTr="00941DF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bottom w:val="single" w:sz="4" w:space="0" w:color="auto"/>
              <w:right w:val="single" w:sz="4" w:space="0" w:color="auto"/>
            </w:tcBorders>
            <w:hideMark/>
          </w:tcPr>
          <w:p w:rsidR="00416887" w:rsidRPr="00783DDE" w:rsidRDefault="00416887" w:rsidP="00416887">
            <w:r w:rsidRPr="00783DDE">
              <w:t>GRAYS</w:t>
            </w:r>
          </w:p>
        </w:tc>
        <w:tc>
          <w:tcPr>
            <w:tcW w:w="1139" w:type="dxa"/>
            <w:tcBorders>
              <w:top w:val="single" w:sz="4" w:space="0" w:color="auto"/>
              <w:bottom w:val="single" w:sz="4" w:space="0" w:color="auto"/>
              <w:right w:val="single" w:sz="4" w:space="0" w:color="auto"/>
            </w:tcBorders>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t>26</w:t>
            </w:r>
          </w:p>
        </w:tc>
        <w:tc>
          <w:tcPr>
            <w:tcW w:w="1421" w:type="dxa"/>
            <w:gridSpan w:val="2"/>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159</w:t>
            </w:r>
          </w:p>
        </w:tc>
        <w:tc>
          <w:tcPr>
            <w:tcW w:w="1139"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98</w:t>
            </w:r>
          </w:p>
        </w:tc>
        <w:tc>
          <w:tcPr>
            <w:tcW w:w="1564"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9</w:t>
            </w:r>
          </w:p>
        </w:tc>
        <w:tc>
          <w:tcPr>
            <w:tcW w:w="1311"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6</w:t>
            </w:r>
          </w:p>
        </w:tc>
        <w:tc>
          <w:tcPr>
            <w:tcW w:w="1591"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52</w:t>
            </w:r>
          </w:p>
        </w:tc>
        <w:tc>
          <w:tcPr>
            <w:tcW w:w="1485" w:type="dxa"/>
            <w:tcBorders>
              <w:top w:val="single" w:sz="4" w:space="0" w:color="auto"/>
              <w:left w:val="single" w:sz="4" w:space="0" w:color="auto"/>
              <w:bottom w:val="single" w:sz="4" w:space="0" w:color="auto"/>
              <w:right w:val="single" w:sz="4" w:space="0" w:color="auto"/>
            </w:tcBorders>
          </w:tcPr>
          <w:p w:rsidR="00416887" w:rsidRPr="00783DDE" w:rsidRDefault="00520718" w:rsidP="00416887">
            <w:pPr>
              <w:cnfStyle w:val="000000100000" w:firstRow="0" w:lastRow="0" w:firstColumn="0" w:lastColumn="0" w:oddVBand="0" w:evenVBand="0" w:oddHBand="1" w:evenHBand="0" w:firstRowFirstColumn="0" w:firstRowLastColumn="0" w:lastRowFirstColumn="0" w:lastRowLastColumn="0"/>
            </w:pPr>
            <w:r w:rsidRPr="00520718">
              <w:t>98.98</w:t>
            </w:r>
          </w:p>
        </w:tc>
      </w:tr>
      <w:tr w:rsidR="00416887" w:rsidRPr="00783DDE" w:rsidTr="00941DF7">
        <w:trPr>
          <w:trHeight w:val="145"/>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bottom w:val="single" w:sz="4" w:space="0" w:color="auto"/>
              <w:right w:val="single" w:sz="4" w:space="0" w:color="auto"/>
            </w:tcBorders>
            <w:hideMark/>
          </w:tcPr>
          <w:p w:rsidR="00416887" w:rsidRPr="00783DDE" w:rsidRDefault="00416887" w:rsidP="00416887">
            <w:r w:rsidRPr="00783DDE">
              <w:t>HARLOW</w:t>
            </w:r>
          </w:p>
        </w:tc>
        <w:tc>
          <w:tcPr>
            <w:tcW w:w="1139" w:type="dxa"/>
            <w:tcBorders>
              <w:top w:val="single" w:sz="4" w:space="0" w:color="auto"/>
              <w:bottom w:val="single" w:sz="4" w:space="0" w:color="auto"/>
              <w:right w:val="single" w:sz="4" w:space="0" w:color="auto"/>
            </w:tcBorders>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t>25</w:t>
            </w:r>
          </w:p>
        </w:tc>
        <w:tc>
          <w:tcPr>
            <w:tcW w:w="1421" w:type="dxa"/>
            <w:gridSpan w:val="2"/>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132</w:t>
            </w:r>
          </w:p>
        </w:tc>
        <w:tc>
          <w:tcPr>
            <w:tcW w:w="1139"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58</w:t>
            </w:r>
          </w:p>
        </w:tc>
        <w:tc>
          <w:tcPr>
            <w:tcW w:w="1564"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7</w:t>
            </w:r>
          </w:p>
        </w:tc>
        <w:tc>
          <w:tcPr>
            <w:tcW w:w="1311"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4</w:t>
            </w:r>
          </w:p>
        </w:tc>
        <w:tc>
          <w:tcPr>
            <w:tcW w:w="1591"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67</w:t>
            </w:r>
          </w:p>
        </w:tc>
        <w:tc>
          <w:tcPr>
            <w:tcW w:w="1485" w:type="dxa"/>
            <w:tcBorders>
              <w:top w:val="single" w:sz="4" w:space="0" w:color="auto"/>
              <w:left w:val="single" w:sz="4" w:space="0" w:color="auto"/>
              <w:bottom w:val="single" w:sz="4" w:space="0" w:color="auto"/>
              <w:right w:val="single" w:sz="4" w:space="0" w:color="auto"/>
            </w:tcBorders>
          </w:tcPr>
          <w:p w:rsidR="00416887" w:rsidRPr="00783DDE" w:rsidRDefault="00520718" w:rsidP="00416887">
            <w:pPr>
              <w:cnfStyle w:val="000000000000" w:firstRow="0" w:lastRow="0" w:firstColumn="0" w:lastColumn="0" w:oddVBand="0" w:evenVBand="0" w:oddHBand="0" w:evenHBand="0" w:firstRowFirstColumn="0" w:firstRowLastColumn="0" w:lastRowFirstColumn="0" w:lastRowLastColumn="0"/>
            </w:pPr>
            <w:r>
              <w:t>89.23</w:t>
            </w:r>
          </w:p>
        </w:tc>
      </w:tr>
      <w:tr w:rsidR="00416887" w:rsidRPr="00783DDE" w:rsidTr="00941DF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bottom w:val="single" w:sz="4" w:space="0" w:color="auto"/>
              <w:right w:val="single" w:sz="4" w:space="0" w:color="auto"/>
            </w:tcBorders>
            <w:hideMark/>
          </w:tcPr>
          <w:p w:rsidR="00416887" w:rsidRPr="00783DDE" w:rsidRDefault="00416887" w:rsidP="00416887">
            <w:r w:rsidRPr="00783DDE">
              <w:t>RAYLEIGH</w:t>
            </w:r>
          </w:p>
        </w:tc>
        <w:tc>
          <w:tcPr>
            <w:tcW w:w="1139" w:type="dxa"/>
            <w:tcBorders>
              <w:top w:val="single" w:sz="4" w:space="0" w:color="auto"/>
              <w:bottom w:val="single" w:sz="4" w:space="0" w:color="auto"/>
              <w:right w:val="single" w:sz="4" w:space="0" w:color="auto"/>
            </w:tcBorders>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t>28</w:t>
            </w:r>
          </w:p>
        </w:tc>
        <w:tc>
          <w:tcPr>
            <w:tcW w:w="1421" w:type="dxa"/>
            <w:gridSpan w:val="2"/>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114</w:t>
            </w:r>
          </w:p>
        </w:tc>
        <w:tc>
          <w:tcPr>
            <w:tcW w:w="1139"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64</w:t>
            </w:r>
          </w:p>
        </w:tc>
        <w:tc>
          <w:tcPr>
            <w:tcW w:w="1564"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2</w:t>
            </w:r>
          </w:p>
        </w:tc>
        <w:tc>
          <w:tcPr>
            <w:tcW w:w="1311"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9</w:t>
            </w:r>
          </w:p>
        </w:tc>
        <w:tc>
          <w:tcPr>
            <w:tcW w:w="1591"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48</w:t>
            </w:r>
          </w:p>
        </w:tc>
        <w:tc>
          <w:tcPr>
            <w:tcW w:w="1485" w:type="dxa"/>
            <w:tcBorders>
              <w:top w:val="single" w:sz="4" w:space="0" w:color="auto"/>
              <w:left w:val="single" w:sz="4" w:space="0" w:color="auto"/>
              <w:bottom w:val="single" w:sz="4" w:space="0" w:color="auto"/>
              <w:right w:val="single" w:sz="4" w:space="0" w:color="auto"/>
            </w:tcBorders>
          </w:tcPr>
          <w:p w:rsidR="00416887" w:rsidRPr="00783DDE" w:rsidRDefault="00520718" w:rsidP="00416887">
            <w:pPr>
              <w:cnfStyle w:val="000000100000" w:firstRow="0" w:lastRow="0" w:firstColumn="0" w:lastColumn="0" w:oddVBand="0" w:evenVBand="0" w:oddHBand="1" w:evenHBand="0" w:firstRowFirstColumn="0" w:firstRowLastColumn="0" w:lastRowFirstColumn="0" w:lastRowLastColumn="0"/>
            </w:pPr>
            <w:r>
              <w:t>96.96</w:t>
            </w:r>
          </w:p>
        </w:tc>
      </w:tr>
      <w:tr w:rsidR="00416887" w:rsidRPr="00783DDE" w:rsidTr="00941DF7">
        <w:trPr>
          <w:trHeight w:val="145"/>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bottom w:val="single" w:sz="4" w:space="0" w:color="auto"/>
              <w:right w:val="single" w:sz="4" w:space="0" w:color="auto"/>
            </w:tcBorders>
            <w:hideMark/>
          </w:tcPr>
          <w:p w:rsidR="00416887" w:rsidRPr="00783DDE" w:rsidRDefault="00416887" w:rsidP="00416887">
            <w:r w:rsidRPr="00783DDE">
              <w:t>STANSTED</w:t>
            </w:r>
          </w:p>
        </w:tc>
        <w:tc>
          <w:tcPr>
            <w:tcW w:w="1139" w:type="dxa"/>
            <w:tcBorders>
              <w:top w:val="single" w:sz="4" w:space="0" w:color="auto"/>
              <w:bottom w:val="single" w:sz="4" w:space="0" w:color="auto"/>
              <w:right w:val="single" w:sz="4" w:space="0" w:color="auto"/>
            </w:tcBorders>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t>12</w:t>
            </w:r>
          </w:p>
        </w:tc>
        <w:tc>
          <w:tcPr>
            <w:tcW w:w="1421" w:type="dxa"/>
            <w:gridSpan w:val="2"/>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7</w:t>
            </w:r>
          </w:p>
        </w:tc>
        <w:tc>
          <w:tcPr>
            <w:tcW w:w="1139"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5</w:t>
            </w:r>
          </w:p>
        </w:tc>
        <w:tc>
          <w:tcPr>
            <w:tcW w:w="1564"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0</w:t>
            </w:r>
          </w:p>
        </w:tc>
        <w:tc>
          <w:tcPr>
            <w:tcW w:w="1311"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0</w:t>
            </w:r>
          </w:p>
        </w:tc>
        <w:tc>
          <w:tcPr>
            <w:tcW w:w="1591"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000000" w:firstRow="0" w:lastRow="0" w:firstColumn="0" w:lastColumn="0" w:oddVBand="0" w:evenVBand="0" w:oddHBand="0" w:evenHBand="0" w:firstRowFirstColumn="0" w:firstRowLastColumn="0" w:lastRowFirstColumn="0" w:lastRowLastColumn="0"/>
            </w:pPr>
            <w:r w:rsidRPr="00783DDE">
              <w:t>2</w:t>
            </w:r>
          </w:p>
        </w:tc>
        <w:tc>
          <w:tcPr>
            <w:tcW w:w="1485" w:type="dxa"/>
            <w:tcBorders>
              <w:top w:val="single" w:sz="4" w:space="0" w:color="auto"/>
              <w:left w:val="single" w:sz="4" w:space="0" w:color="auto"/>
              <w:bottom w:val="single" w:sz="4" w:space="0" w:color="auto"/>
              <w:right w:val="single" w:sz="4" w:space="0" w:color="auto"/>
            </w:tcBorders>
          </w:tcPr>
          <w:p w:rsidR="00416887" w:rsidRPr="00783DDE" w:rsidRDefault="00520718" w:rsidP="00416887">
            <w:pPr>
              <w:cnfStyle w:val="000000000000" w:firstRow="0" w:lastRow="0" w:firstColumn="0" w:lastColumn="0" w:oddVBand="0" w:evenVBand="0" w:oddHBand="0" w:evenHBand="0" w:firstRowFirstColumn="0" w:firstRowLastColumn="0" w:lastRowFirstColumn="0" w:lastRowLastColumn="0"/>
            </w:pPr>
            <w:r>
              <w:t>71.42</w:t>
            </w:r>
          </w:p>
        </w:tc>
      </w:tr>
      <w:tr w:rsidR="00416887" w:rsidRPr="00783DDE" w:rsidTr="00941DF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bottom w:val="single" w:sz="4" w:space="0" w:color="auto"/>
              <w:right w:val="single" w:sz="4" w:space="0" w:color="auto"/>
            </w:tcBorders>
            <w:hideMark/>
          </w:tcPr>
          <w:p w:rsidR="00416887" w:rsidRPr="00783DDE" w:rsidRDefault="00416887" w:rsidP="00416887">
            <w:r w:rsidRPr="00783DDE">
              <w:t>TOTAL</w:t>
            </w:r>
          </w:p>
        </w:tc>
        <w:tc>
          <w:tcPr>
            <w:tcW w:w="1139" w:type="dxa"/>
            <w:tcBorders>
              <w:top w:val="single" w:sz="4" w:space="0" w:color="auto"/>
              <w:bottom w:val="single" w:sz="4" w:space="0" w:color="auto"/>
              <w:right w:val="single" w:sz="4" w:space="0" w:color="auto"/>
            </w:tcBorders>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t>228</w:t>
            </w:r>
          </w:p>
        </w:tc>
        <w:tc>
          <w:tcPr>
            <w:tcW w:w="1421" w:type="dxa"/>
            <w:gridSpan w:val="2"/>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1126</w:t>
            </w:r>
          </w:p>
        </w:tc>
        <w:tc>
          <w:tcPr>
            <w:tcW w:w="1139"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605</w:t>
            </w:r>
          </w:p>
        </w:tc>
        <w:tc>
          <w:tcPr>
            <w:tcW w:w="1564"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60</w:t>
            </w:r>
          </w:p>
        </w:tc>
        <w:tc>
          <w:tcPr>
            <w:tcW w:w="1311"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rsidRPr="00783DDE">
              <w:t>79</w:t>
            </w:r>
          </w:p>
        </w:tc>
        <w:tc>
          <w:tcPr>
            <w:tcW w:w="1591" w:type="dxa"/>
            <w:tcBorders>
              <w:top w:val="single" w:sz="4" w:space="0" w:color="auto"/>
              <w:left w:val="single" w:sz="4" w:space="0" w:color="auto"/>
              <w:bottom w:val="single" w:sz="4" w:space="0" w:color="auto"/>
              <w:right w:val="single" w:sz="4" w:space="0" w:color="auto"/>
            </w:tcBorders>
            <w:hideMark/>
          </w:tcPr>
          <w:p w:rsidR="00416887" w:rsidRPr="00783DDE" w:rsidRDefault="00416887" w:rsidP="00416887">
            <w:pPr>
              <w:cnfStyle w:val="000000100000" w:firstRow="0" w:lastRow="0" w:firstColumn="0" w:lastColumn="0" w:oddVBand="0" w:evenVBand="0" w:oddHBand="1" w:evenHBand="0" w:firstRowFirstColumn="0" w:firstRowLastColumn="0" w:lastRowFirstColumn="0" w:lastRowLastColumn="0"/>
            </w:pPr>
            <w:r>
              <w:t>461</w:t>
            </w:r>
          </w:p>
        </w:tc>
        <w:tc>
          <w:tcPr>
            <w:tcW w:w="1485" w:type="dxa"/>
            <w:tcBorders>
              <w:top w:val="single" w:sz="4" w:space="0" w:color="auto"/>
              <w:left w:val="single" w:sz="4" w:space="0" w:color="auto"/>
              <w:bottom w:val="single" w:sz="4" w:space="0" w:color="auto"/>
              <w:right w:val="single" w:sz="4" w:space="0" w:color="auto"/>
            </w:tcBorders>
          </w:tcPr>
          <w:p w:rsidR="00416887" w:rsidRDefault="00B67C0A" w:rsidP="00416887">
            <w:pPr>
              <w:cnfStyle w:val="000000100000" w:firstRow="0" w:lastRow="0" w:firstColumn="0" w:lastColumn="0" w:oddVBand="0" w:evenVBand="0" w:oddHBand="1" w:evenHBand="0" w:firstRowFirstColumn="0" w:firstRowLastColumn="0" w:lastRowFirstColumn="0" w:lastRowLastColumn="0"/>
            </w:pPr>
            <w:r>
              <w:t>90.98</w:t>
            </w:r>
          </w:p>
        </w:tc>
      </w:tr>
    </w:tbl>
    <w:p w:rsidR="009D28D9" w:rsidRPr="00B42A6A" w:rsidRDefault="009D28D9">
      <w:pPr>
        <w:rPr>
          <w:b/>
          <w:color w:val="002060"/>
          <w:sz w:val="32"/>
        </w:rPr>
      </w:pPr>
      <w:r w:rsidRPr="00B42A6A">
        <w:rPr>
          <w:b/>
          <w:color w:val="002060"/>
          <w:sz w:val="32"/>
        </w:rPr>
        <w:t>Issues arising from custody visits</w:t>
      </w:r>
    </w:p>
    <w:p w:rsidR="009849D9" w:rsidRPr="000508FE" w:rsidRDefault="009849D9">
      <w:pPr>
        <w:rPr>
          <w:b/>
          <w:color w:val="1F497D" w:themeColor="text2"/>
          <w:sz w:val="24"/>
        </w:rPr>
      </w:pPr>
      <w:r w:rsidRPr="000508FE">
        <w:rPr>
          <w:b/>
          <w:color w:val="1F497D" w:themeColor="text2"/>
          <w:sz w:val="24"/>
        </w:rPr>
        <w:t>Some of the issues and concerns identified by ICVs during this year are as follows;</w:t>
      </w:r>
    </w:p>
    <w:p w:rsidR="00603227" w:rsidRPr="000508FE" w:rsidRDefault="00855A54">
      <w:pPr>
        <w:rPr>
          <w:b/>
          <w:color w:val="1F497D" w:themeColor="text2"/>
          <w:sz w:val="28"/>
        </w:rPr>
      </w:pPr>
      <w:r w:rsidRPr="000508FE">
        <w:rPr>
          <w:b/>
          <w:color w:val="1F497D" w:themeColor="text2"/>
          <w:sz w:val="28"/>
        </w:rPr>
        <w:t xml:space="preserve">Estate </w:t>
      </w:r>
      <w:r w:rsidR="00603227" w:rsidRPr="000508FE">
        <w:rPr>
          <w:b/>
          <w:color w:val="1F497D" w:themeColor="text2"/>
          <w:sz w:val="28"/>
        </w:rPr>
        <w:t>Issues</w:t>
      </w:r>
    </w:p>
    <w:p w:rsidR="00855A54" w:rsidRDefault="00603227" w:rsidP="002C2459">
      <w:pPr>
        <w:jc w:val="both"/>
      </w:pPr>
      <w:r>
        <w:t xml:space="preserve">A number of </w:t>
      </w:r>
      <w:r w:rsidR="009D28D9">
        <w:t xml:space="preserve">Essex custody </w:t>
      </w:r>
      <w:r>
        <w:t>suite</w:t>
      </w:r>
      <w:r w:rsidR="00CC5462">
        <w:t>s are aging and this can bring</w:t>
      </w:r>
      <w:r>
        <w:t xml:space="preserve"> estate </w:t>
      </w:r>
      <w:r w:rsidR="00B36EF0">
        <w:t>wear and tear issues</w:t>
      </w:r>
      <w:r w:rsidR="00CC5462">
        <w:t xml:space="preserve"> such as</w:t>
      </w:r>
      <w:r w:rsidR="00B36EF0">
        <w:t xml:space="preserve"> obsolete buzzers, broken CCTV and </w:t>
      </w:r>
      <w:r w:rsidR="000505AF">
        <w:t>l</w:t>
      </w:r>
      <w:r w:rsidR="00B36EF0">
        <w:t>igature points</w:t>
      </w:r>
      <w:r w:rsidR="00FD40FB">
        <w:t xml:space="preserve">, resulting in cells being out of operation for a number of weeks. </w:t>
      </w:r>
      <w:r w:rsidR="00AD12D2">
        <w:t xml:space="preserve"> </w:t>
      </w:r>
      <w:r w:rsidR="00855A54" w:rsidRPr="00855A54">
        <w:t>Following a visit by HMIC in March, Colchester and Harlow custody suites were identified as having potential ligature sites in the cells and the exercise yard.</w:t>
      </w:r>
      <w:r w:rsidR="00B36EF0">
        <w:t xml:space="preserve"> Colchester had</w:t>
      </w:r>
      <w:r w:rsidR="00855A54">
        <w:t xml:space="preserve"> already </w:t>
      </w:r>
      <w:r w:rsidR="00B36EF0">
        <w:t xml:space="preserve">been </w:t>
      </w:r>
      <w:r w:rsidR="00855A54">
        <w:t xml:space="preserve">closed at the time </w:t>
      </w:r>
      <w:r w:rsidR="00B36EF0">
        <w:t xml:space="preserve">of the visit to address </w:t>
      </w:r>
      <w:r w:rsidR="00855A54">
        <w:t>remedial repairs</w:t>
      </w:r>
      <w:r w:rsidR="00B36EF0">
        <w:t xml:space="preserve">. Although there are still some ligature point issues these have been mitigated </w:t>
      </w:r>
      <w:r w:rsidR="00855A54">
        <w:t xml:space="preserve">by </w:t>
      </w:r>
      <w:r w:rsidR="00B36EF0">
        <w:t>either using cells that don’t have ligature points for at risk detainees, or where cells with potential points are used, 24 hour observation is put in place</w:t>
      </w:r>
      <w:r w:rsidR="00855A54">
        <w:t>.</w:t>
      </w:r>
      <w:r w:rsidR="00F919C5">
        <w:t xml:space="preserve"> Given the changes in legislation around ligature points ICVs will be offered additional </w:t>
      </w:r>
      <w:r w:rsidR="009849D9">
        <w:t>training and d</w:t>
      </w:r>
      <w:r w:rsidR="00F919C5">
        <w:t>evelopment opportunities to learn what constitutes potential ligature points so these can be documented and raised as concerns.</w:t>
      </w:r>
    </w:p>
    <w:p w:rsidR="00FD40FB" w:rsidRPr="000508FE" w:rsidRDefault="000505AF">
      <w:pPr>
        <w:rPr>
          <w:color w:val="1F497D" w:themeColor="text2"/>
          <w:sz w:val="28"/>
        </w:rPr>
      </w:pPr>
      <w:r w:rsidRPr="000508FE">
        <w:rPr>
          <w:b/>
          <w:color w:val="1F497D" w:themeColor="text2"/>
          <w:sz w:val="28"/>
        </w:rPr>
        <w:t>Access to medics</w:t>
      </w:r>
      <w:r w:rsidR="00FD40FB" w:rsidRPr="000508FE">
        <w:rPr>
          <w:color w:val="1F497D" w:themeColor="text2"/>
          <w:sz w:val="28"/>
        </w:rPr>
        <w:t xml:space="preserve"> </w:t>
      </w:r>
    </w:p>
    <w:p w:rsidR="000505AF" w:rsidRDefault="00FD40FB" w:rsidP="002C2459">
      <w:pPr>
        <w:jc w:val="both"/>
      </w:pPr>
      <w:r>
        <w:t>R</w:t>
      </w:r>
      <w:r w:rsidR="000505AF">
        <w:t xml:space="preserve">eports </w:t>
      </w:r>
      <w:r>
        <w:t xml:space="preserve">received from </w:t>
      </w:r>
      <w:r w:rsidR="00B36EF0">
        <w:t xml:space="preserve">ICVs </w:t>
      </w:r>
      <w:r>
        <w:t>at the time of their visits a</w:t>
      </w:r>
      <w:r w:rsidR="00B36EF0">
        <w:t xml:space="preserve">nd </w:t>
      </w:r>
      <w:r>
        <w:t xml:space="preserve">anecdotal reports from </w:t>
      </w:r>
      <w:r w:rsidR="009849D9">
        <w:t xml:space="preserve">police </w:t>
      </w:r>
      <w:r w:rsidR="00B36EF0">
        <w:t xml:space="preserve">staff </w:t>
      </w:r>
      <w:r>
        <w:t xml:space="preserve">noted that </w:t>
      </w:r>
      <w:r w:rsidR="000505AF">
        <w:t xml:space="preserve">access to medical care (supplied by G4S) had been taking up to five hours and </w:t>
      </w:r>
      <w:r w:rsidR="004B568F">
        <w:t>in some cases even longer</w:t>
      </w:r>
      <w:r w:rsidR="000505AF">
        <w:t xml:space="preserve">. This had been escalated by custody command and there have been </w:t>
      </w:r>
      <w:r w:rsidR="00307060">
        <w:t>signs of improvement, but close monitoring</w:t>
      </w:r>
      <w:r>
        <w:t xml:space="preserve"> of the situation is continuing and </w:t>
      </w:r>
      <w:r w:rsidR="00F919C5">
        <w:t>there are still instances of long wait times for detainees requiring medical attention which is unacceptable. W</w:t>
      </w:r>
      <w:r>
        <w:t xml:space="preserve">ork is being done </w:t>
      </w:r>
      <w:r w:rsidR="009849D9">
        <w:t xml:space="preserve">by the OFPCC and Essex Police </w:t>
      </w:r>
      <w:r>
        <w:t>around commissioning in respect of medical care going forward.</w:t>
      </w:r>
    </w:p>
    <w:p w:rsidR="00B36EF0" w:rsidRPr="000508FE" w:rsidRDefault="00B36EF0">
      <w:pPr>
        <w:rPr>
          <w:b/>
          <w:color w:val="1F497D" w:themeColor="text2"/>
          <w:sz w:val="28"/>
        </w:rPr>
      </w:pPr>
      <w:r w:rsidRPr="000508FE">
        <w:rPr>
          <w:b/>
          <w:color w:val="1F497D" w:themeColor="text2"/>
          <w:sz w:val="28"/>
        </w:rPr>
        <w:t xml:space="preserve">Custody staff shortages </w:t>
      </w:r>
    </w:p>
    <w:p w:rsidR="005E0F7D" w:rsidRDefault="00F919C5" w:rsidP="002C2459">
      <w:pPr>
        <w:jc w:val="both"/>
      </w:pPr>
      <w:r>
        <w:t>The OPCC</w:t>
      </w:r>
      <w:r w:rsidR="005A25EB">
        <w:t xml:space="preserve"> received a number of reports of concern </w:t>
      </w:r>
      <w:r w:rsidR="009849D9">
        <w:t xml:space="preserve">from ICVs </w:t>
      </w:r>
      <w:r w:rsidR="005A25EB">
        <w:t xml:space="preserve">over staffing levels in police custody. This has resulted in Stansted and Colchester </w:t>
      </w:r>
      <w:r w:rsidR="009849D9">
        <w:t xml:space="preserve">custody </w:t>
      </w:r>
      <w:r w:rsidR="005A25EB">
        <w:t>being closed at short notice</w:t>
      </w:r>
      <w:r w:rsidR="009849D9">
        <w:t xml:space="preserve"> at various times</w:t>
      </w:r>
      <w:r w:rsidR="005A25EB">
        <w:t xml:space="preserve">. </w:t>
      </w:r>
      <w:r w:rsidR="00BB20CC">
        <w:t xml:space="preserve"> </w:t>
      </w:r>
      <w:r w:rsidR="00FD40FB">
        <w:t>Custody officers</w:t>
      </w:r>
      <w:r w:rsidR="009849D9">
        <w:t xml:space="preserve"> have raised concerns with ICVs a</w:t>
      </w:r>
      <w:r w:rsidR="005A25EB">
        <w:t xml:space="preserve">bout </w:t>
      </w:r>
      <w:r w:rsidR="00BB20CC">
        <w:t xml:space="preserve">a </w:t>
      </w:r>
      <w:r w:rsidR="005A25EB">
        <w:t>lack of staff which visitors have t</w:t>
      </w:r>
      <w:r>
        <w:t>hen relayed to the OPCC as it has the potential to</w:t>
      </w:r>
      <w:r w:rsidR="00FD40FB">
        <w:t xml:space="preserve"> </w:t>
      </w:r>
      <w:r w:rsidR="00BB20CC">
        <w:t xml:space="preserve">impact on the </w:t>
      </w:r>
      <w:r w:rsidR="005A25EB">
        <w:t>proper monitoring of police custody a</w:t>
      </w:r>
      <w:r w:rsidR="00FD40FB">
        <w:t xml:space="preserve">nd if </w:t>
      </w:r>
      <w:r w:rsidR="005A25EB">
        <w:t xml:space="preserve">not addressed could prevent </w:t>
      </w:r>
      <w:r w:rsidR="00FD40FB">
        <w:t>officers</w:t>
      </w:r>
      <w:r w:rsidR="005A25EB">
        <w:t xml:space="preserve"> from responding to additional demands.</w:t>
      </w:r>
    </w:p>
    <w:p w:rsidR="007B2B73" w:rsidRPr="000508FE" w:rsidRDefault="000505AF">
      <w:pPr>
        <w:rPr>
          <w:color w:val="1F497D" w:themeColor="text2"/>
          <w:sz w:val="28"/>
        </w:rPr>
      </w:pPr>
      <w:r w:rsidRPr="000508FE">
        <w:rPr>
          <w:b/>
          <w:color w:val="1F497D" w:themeColor="text2"/>
          <w:sz w:val="28"/>
        </w:rPr>
        <w:t>Appropriate Adult</w:t>
      </w:r>
      <w:r w:rsidR="007B2B73" w:rsidRPr="000508FE">
        <w:rPr>
          <w:color w:val="1F497D" w:themeColor="text2"/>
          <w:sz w:val="28"/>
        </w:rPr>
        <w:t xml:space="preserve"> </w:t>
      </w:r>
    </w:p>
    <w:p w:rsidR="000505AF" w:rsidRDefault="007B2B73" w:rsidP="002C2459">
      <w:pPr>
        <w:jc w:val="both"/>
      </w:pPr>
      <w:r>
        <w:t>T</w:t>
      </w:r>
      <w:r w:rsidR="002225E6">
        <w:t>here have</w:t>
      </w:r>
      <w:r w:rsidR="000505AF">
        <w:t xml:space="preserve"> been concerns</w:t>
      </w:r>
      <w:r w:rsidR="00BB20CC">
        <w:t xml:space="preserve"> raised by ICVs </w:t>
      </w:r>
      <w:r w:rsidR="000505AF">
        <w:t>over access to A</w:t>
      </w:r>
      <w:r w:rsidR="00F919C5">
        <w:t xml:space="preserve">ppropriate </w:t>
      </w:r>
      <w:r w:rsidR="000505AF">
        <w:t>A</w:t>
      </w:r>
      <w:r w:rsidR="00F919C5">
        <w:t>dult</w:t>
      </w:r>
      <w:r w:rsidR="000505AF">
        <w:t>s</w:t>
      </w:r>
      <w:r w:rsidR="008216A9">
        <w:t xml:space="preserve"> for children and vulnerable adults</w:t>
      </w:r>
      <w:r w:rsidR="00F919C5">
        <w:t>,</w:t>
      </w:r>
      <w:r w:rsidR="005A25EB">
        <w:t xml:space="preserve"> </w:t>
      </w:r>
      <w:r w:rsidR="00BB20CC">
        <w:t xml:space="preserve">particularly in </w:t>
      </w:r>
      <w:r w:rsidR="00F919C5">
        <w:t xml:space="preserve">certain areas </w:t>
      </w:r>
      <w:r w:rsidR="00BB20CC">
        <w:t xml:space="preserve">in </w:t>
      </w:r>
      <w:r w:rsidR="005A25EB">
        <w:t>the out of hours period</w:t>
      </w:r>
      <w:r w:rsidR="000505AF">
        <w:t xml:space="preserve">. </w:t>
      </w:r>
      <w:r w:rsidR="008216A9">
        <w:t>Extensive work is being done to liaise with local agencies to provide</w:t>
      </w:r>
      <w:r w:rsidR="009849D9">
        <w:t xml:space="preserve"> sufficient cover and to in a previously problematic area within the county </w:t>
      </w:r>
      <w:r w:rsidR="008216A9">
        <w:t xml:space="preserve">there has been significant improvement. </w:t>
      </w:r>
    </w:p>
    <w:p w:rsidR="00BB20CC" w:rsidRPr="000508FE" w:rsidRDefault="000954BE">
      <w:pPr>
        <w:rPr>
          <w:b/>
          <w:color w:val="1F497D" w:themeColor="text2"/>
          <w:sz w:val="28"/>
        </w:rPr>
      </w:pPr>
      <w:r w:rsidRPr="000508FE">
        <w:rPr>
          <w:b/>
          <w:color w:val="1F497D" w:themeColor="text2"/>
          <w:sz w:val="28"/>
        </w:rPr>
        <w:t>S</w:t>
      </w:r>
      <w:r w:rsidR="00BB20CC" w:rsidRPr="000508FE">
        <w:rPr>
          <w:b/>
          <w:color w:val="1F497D" w:themeColor="text2"/>
          <w:sz w:val="28"/>
        </w:rPr>
        <w:t xml:space="preserve">136 – Mental Health </w:t>
      </w:r>
    </w:p>
    <w:p w:rsidR="00BB20CC" w:rsidRDefault="004315F4" w:rsidP="002C2459">
      <w:pPr>
        <w:jc w:val="both"/>
      </w:pPr>
      <w:r w:rsidRPr="004315F4">
        <w:t>Custody suites are occupied by those sus</w:t>
      </w:r>
      <w:r w:rsidR="009849D9">
        <w:t>pected of committing crime, bu m</w:t>
      </w:r>
      <w:r w:rsidRPr="004315F4">
        <w:t>ay also be used to temporarily accommodate people in need of medical attention or intervention under Section 136 of the Mental Health Act 1983. This enables a police officer to remove, from a public place, someone who they believe to be suffering from a mental disorder and in need of immediate care and control, and take them to a place of safety – for example, a health or social care facility, or the home of a relative or friend. In exceptional circumstances (for example if the person’s behaviour would pose an unmanageably high risk to others), the place of safety may be police custody. Section 136 also states that the purpose of detention is to enable the person to be assessed by a doctor and an approved mental health professional (for example a specially trained social worker or nurse), and for the making of any necessary arrangements for treatment or care.</w:t>
      </w:r>
      <w:r>
        <w:t xml:space="preserve"> </w:t>
      </w:r>
      <w:r w:rsidR="00BB20CC">
        <w:t xml:space="preserve">Following the HMIC visit in February, concerns were raised about </w:t>
      </w:r>
      <w:r w:rsidR="00307060">
        <w:t>vulnerable detainees being</w:t>
      </w:r>
      <w:r w:rsidR="00307060" w:rsidRPr="00307060">
        <w:t xml:space="preserve"> held in an inappropriate environment</w:t>
      </w:r>
      <w:r w:rsidR="00307060">
        <w:t xml:space="preserve"> such as</w:t>
      </w:r>
      <w:r w:rsidR="009849D9">
        <w:t xml:space="preserve"> police</w:t>
      </w:r>
      <w:r w:rsidR="00307060">
        <w:t xml:space="preserve"> custody</w:t>
      </w:r>
      <w:r w:rsidR="00307060" w:rsidRPr="00307060">
        <w:t>.</w:t>
      </w:r>
      <w:r w:rsidR="00BB20CC">
        <w:t xml:space="preserve"> </w:t>
      </w:r>
      <w:r w:rsidR="00307060">
        <w:t xml:space="preserve">At the time extensive work was being carried out </w:t>
      </w:r>
      <w:r w:rsidR="002225E6">
        <w:t xml:space="preserve">by Essex Police and the OPCC </w:t>
      </w:r>
      <w:r w:rsidR="00BB20CC">
        <w:t>with C</w:t>
      </w:r>
      <w:r w:rsidR="009849D9">
        <w:t xml:space="preserve">linical </w:t>
      </w:r>
      <w:r w:rsidR="00BB20CC">
        <w:t>C</w:t>
      </w:r>
      <w:r w:rsidR="009849D9">
        <w:t xml:space="preserve">ommissioning </w:t>
      </w:r>
      <w:r w:rsidR="00BB20CC">
        <w:t>G</w:t>
      </w:r>
      <w:r w:rsidR="009849D9">
        <w:t>roup</w:t>
      </w:r>
      <w:r w:rsidR="00BB20CC">
        <w:t xml:space="preserve">s </w:t>
      </w:r>
      <w:r w:rsidR="00307060">
        <w:t xml:space="preserve">and healthcare agencies </w:t>
      </w:r>
      <w:r w:rsidR="00BB20CC">
        <w:t xml:space="preserve">to increase the number of </w:t>
      </w:r>
      <w:r w:rsidR="00BB20CC" w:rsidRPr="00BB20CC">
        <w:t xml:space="preserve">mental health beds </w:t>
      </w:r>
      <w:r w:rsidR="00BB20CC">
        <w:t xml:space="preserve">around the county. From April 2017 Essex Police committed </w:t>
      </w:r>
      <w:r w:rsidR="009849D9">
        <w:t xml:space="preserve">with partners </w:t>
      </w:r>
      <w:r w:rsidR="00BB20CC">
        <w:t xml:space="preserve">to taking all those suffering from a mental health crisis to a </w:t>
      </w:r>
      <w:r w:rsidR="00FD40FB">
        <w:t>health based place of safety (</w:t>
      </w:r>
      <w:r w:rsidR="00BB20CC">
        <w:t>HBPoS</w:t>
      </w:r>
      <w:r w:rsidR="00FD40FB">
        <w:t>)</w:t>
      </w:r>
      <w:r w:rsidR="00BB20CC">
        <w:t xml:space="preserve"> wherever possible.  </w:t>
      </w:r>
      <w:r w:rsidR="009849D9">
        <w:t>This is being closely monitored to ensure it is achieved.</w:t>
      </w:r>
    </w:p>
    <w:p w:rsidR="008216A9" w:rsidRPr="00314626" w:rsidRDefault="008216A9" w:rsidP="00BB20CC">
      <w:pPr>
        <w:rPr>
          <w:b/>
          <w:sz w:val="28"/>
        </w:rPr>
      </w:pPr>
      <w:r w:rsidRPr="00314626">
        <w:rPr>
          <w:b/>
          <w:color w:val="002060"/>
          <w:sz w:val="28"/>
        </w:rPr>
        <w:t>Rights and Entitlements</w:t>
      </w:r>
    </w:p>
    <w:p w:rsidR="008216A9" w:rsidRDefault="002E1338" w:rsidP="002C2459">
      <w:pPr>
        <w:jc w:val="both"/>
      </w:pPr>
      <w:r>
        <w:t xml:space="preserve">ICVs will always ask detainees about their rights and entitlements. Concerns raised by detainees centre around </w:t>
      </w:r>
      <w:r w:rsidR="005F4290">
        <w:t xml:space="preserve">access to </w:t>
      </w:r>
      <w:r>
        <w:t>phone calls, being offered food and an update on what is happening. ICVs always check with D</w:t>
      </w:r>
      <w:r w:rsidR="005F4290">
        <w:t xml:space="preserve">etention </w:t>
      </w:r>
      <w:r>
        <w:t>O</w:t>
      </w:r>
      <w:r w:rsidR="005F4290">
        <w:t>fficer</w:t>
      </w:r>
      <w:r>
        <w:t>s and against custody records and if needs have not been addressed ensure these are undertaken by the D</w:t>
      </w:r>
      <w:r w:rsidR="005F4290">
        <w:t xml:space="preserve">etention </w:t>
      </w:r>
      <w:r>
        <w:t>O</w:t>
      </w:r>
      <w:r w:rsidR="005F4290">
        <w:t>fficer or Custody S</w:t>
      </w:r>
      <w:r>
        <w:t>ergeant.</w:t>
      </w:r>
    </w:p>
    <w:p w:rsidR="006059F1" w:rsidRPr="00B42A6A" w:rsidRDefault="005F4290" w:rsidP="005F4290">
      <w:pPr>
        <w:spacing w:line="240" w:lineRule="auto"/>
        <w:rPr>
          <w:rFonts w:ascii="Calibri" w:hAnsi="Calibri" w:cs="Arial"/>
          <w:b/>
          <w:color w:val="1F497D" w:themeColor="text2"/>
          <w:sz w:val="28"/>
        </w:rPr>
      </w:pPr>
      <w:r w:rsidRPr="00B42A6A">
        <w:rPr>
          <w:rFonts w:ascii="Calibri" w:hAnsi="Calibri" w:cs="Arial"/>
          <w:b/>
          <w:color w:val="1F497D" w:themeColor="text2"/>
          <w:sz w:val="28"/>
        </w:rPr>
        <w:t>HMIC</w:t>
      </w:r>
      <w:r w:rsidR="008216A9" w:rsidRPr="00B42A6A">
        <w:rPr>
          <w:rFonts w:ascii="Calibri" w:hAnsi="Calibri" w:cs="Arial"/>
          <w:b/>
          <w:color w:val="1F497D" w:themeColor="text2"/>
          <w:sz w:val="28"/>
        </w:rPr>
        <w:t xml:space="preserve"> Unannounced inspection visit to police custody in Essex 27</w:t>
      </w:r>
      <w:r w:rsidR="008216A9" w:rsidRPr="00B42A6A">
        <w:rPr>
          <w:rFonts w:ascii="Calibri" w:hAnsi="Calibri" w:cs="Arial"/>
          <w:b/>
          <w:color w:val="1F497D" w:themeColor="text2"/>
          <w:sz w:val="28"/>
          <w:vertAlign w:val="superscript"/>
        </w:rPr>
        <w:t>th</w:t>
      </w:r>
      <w:r w:rsidR="008216A9" w:rsidRPr="00B42A6A">
        <w:rPr>
          <w:rFonts w:ascii="Calibri" w:hAnsi="Calibri" w:cs="Arial"/>
          <w:b/>
          <w:color w:val="1F497D" w:themeColor="text2"/>
          <w:sz w:val="28"/>
        </w:rPr>
        <w:t xml:space="preserve"> February to 10</w:t>
      </w:r>
      <w:r w:rsidR="008216A9" w:rsidRPr="00B42A6A">
        <w:rPr>
          <w:rFonts w:ascii="Calibri" w:hAnsi="Calibri" w:cs="Arial"/>
          <w:b/>
          <w:color w:val="1F497D" w:themeColor="text2"/>
          <w:sz w:val="28"/>
          <w:vertAlign w:val="superscript"/>
        </w:rPr>
        <w:t>th</w:t>
      </w:r>
      <w:r w:rsidR="008216A9" w:rsidRPr="00B42A6A">
        <w:rPr>
          <w:rFonts w:ascii="Calibri" w:hAnsi="Calibri" w:cs="Arial"/>
          <w:b/>
          <w:color w:val="1F497D" w:themeColor="text2"/>
          <w:sz w:val="28"/>
        </w:rPr>
        <w:t xml:space="preserve"> March 2017</w:t>
      </w:r>
    </w:p>
    <w:p w:rsidR="008216A9" w:rsidRDefault="008216A9" w:rsidP="005F4290">
      <w:pPr>
        <w:spacing w:after="0" w:line="240" w:lineRule="auto"/>
        <w:rPr>
          <w:rFonts w:ascii="Calibri" w:hAnsi="Calibri" w:cs="Arial"/>
          <w:sz w:val="24"/>
        </w:rPr>
      </w:pPr>
      <w:r w:rsidRPr="008216A9">
        <w:rPr>
          <w:rFonts w:ascii="Calibri" w:hAnsi="Calibri" w:cs="Arial"/>
          <w:sz w:val="24"/>
        </w:rPr>
        <w:t xml:space="preserve">Following an unannounced visit </w:t>
      </w:r>
      <w:r w:rsidR="005F4290">
        <w:rPr>
          <w:rFonts w:ascii="Calibri" w:hAnsi="Calibri" w:cs="Arial"/>
          <w:sz w:val="24"/>
        </w:rPr>
        <w:t xml:space="preserve">by HMIC </w:t>
      </w:r>
      <w:r w:rsidRPr="008216A9">
        <w:rPr>
          <w:rFonts w:ascii="Calibri" w:hAnsi="Calibri" w:cs="Arial"/>
          <w:sz w:val="24"/>
        </w:rPr>
        <w:t xml:space="preserve">the following </w:t>
      </w:r>
      <w:r w:rsidR="005F4290">
        <w:rPr>
          <w:rFonts w:ascii="Calibri" w:hAnsi="Calibri" w:cs="Arial"/>
          <w:sz w:val="24"/>
        </w:rPr>
        <w:t>ares/issues</w:t>
      </w:r>
      <w:r w:rsidR="002E1338">
        <w:rPr>
          <w:rFonts w:ascii="Calibri" w:hAnsi="Calibri" w:cs="Arial"/>
          <w:sz w:val="24"/>
        </w:rPr>
        <w:t xml:space="preserve"> were identified</w:t>
      </w:r>
    </w:p>
    <w:p w:rsidR="008216A9" w:rsidRPr="008216A9" w:rsidRDefault="008216A9" w:rsidP="005F4290">
      <w:pPr>
        <w:spacing w:after="0" w:line="240" w:lineRule="auto"/>
        <w:jc w:val="both"/>
        <w:rPr>
          <w:rFonts w:ascii="Calibri" w:eastAsia="Times New Roman" w:hAnsi="Calibri" w:cs="Times New Roman"/>
          <w:sz w:val="24"/>
          <w:szCs w:val="24"/>
          <w:lang w:eastAsia="en-GB"/>
        </w:rPr>
      </w:pPr>
      <w:r w:rsidRPr="008216A9">
        <w:rPr>
          <w:rFonts w:ascii="Calibri" w:eastAsia="Times New Roman" w:hAnsi="Calibri" w:cs="Times New Roman"/>
          <w:sz w:val="24"/>
          <w:szCs w:val="24"/>
          <w:lang w:eastAsia="en-GB"/>
        </w:rPr>
        <w:t>Inspectors were pleased to find that:</w:t>
      </w:r>
    </w:p>
    <w:p w:rsidR="008216A9" w:rsidRPr="008216A9" w:rsidRDefault="008216A9" w:rsidP="002C2459">
      <w:pPr>
        <w:numPr>
          <w:ilvl w:val="0"/>
          <w:numId w:val="4"/>
        </w:numPr>
        <w:spacing w:before="100" w:beforeAutospacing="1" w:after="100" w:afterAutospacing="1" w:line="240" w:lineRule="auto"/>
        <w:jc w:val="both"/>
        <w:rPr>
          <w:rFonts w:ascii="Calibri" w:eastAsia="Times New Roman" w:hAnsi="Calibri" w:cs="Times New Roman"/>
          <w:sz w:val="24"/>
          <w:szCs w:val="24"/>
          <w:lang w:eastAsia="en-GB"/>
        </w:rPr>
      </w:pPr>
      <w:r w:rsidRPr="008216A9">
        <w:rPr>
          <w:rFonts w:ascii="Calibri" w:eastAsia="Times New Roman" w:hAnsi="Calibri" w:cs="Times New Roman"/>
          <w:sz w:val="24"/>
          <w:szCs w:val="24"/>
          <w:lang w:eastAsia="en-GB"/>
        </w:rPr>
        <w:t>staff continued to treat detainees well and were sensitive when dealing with vulnerable people or those from minority backgrounds;</w:t>
      </w:r>
    </w:p>
    <w:p w:rsidR="008216A9" w:rsidRPr="008216A9" w:rsidRDefault="008216A9" w:rsidP="002C2459">
      <w:pPr>
        <w:numPr>
          <w:ilvl w:val="0"/>
          <w:numId w:val="4"/>
        </w:numPr>
        <w:spacing w:before="100" w:beforeAutospacing="1" w:after="100" w:afterAutospacing="1" w:line="240" w:lineRule="auto"/>
        <w:jc w:val="both"/>
        <w:rPr>
          <w:rFonts w:ascii="Calibri" w:eastAsia="Times New Roman" w:hAnsi="Calibri" w:cs="Times New Roman"/>
          <w:sz w:val="24"/>
          <w:szCs w:val="24"/>
          <w:lang w:eastAsia="en-GB"/>
        </w:rPr>
      </w:pPr>
      <w:r w:rsidRPr="008216A9">
        <w:rPr>
          <w:rFonts w:ascii="Calibri" w:eastAsia="Times New Roman" w:hAnsi="Calibri" w:cs="Times New Roman"/>
          <w:sz w:val="24"/>
          <w:szCs w:val="24"/>
          <w:lang w:eastAsia="en-GB"/>
        </w:rPr>
        <w:t>management of the use of force in custody was good;</w:t>
      </w:r>
    </w:p>
    <w:p w:rsidR="008216A9" w:rsidRPr="008216A9" w:rsidRDefault="008216A9" w:rsidP="002C2459">
      <w:pPr>
        <w:numPr>
          <w:ilvl w:val="0"/>
          <w:numId w:val="4"/>
        </w:numPr>
        <w:spacing w:before="100" w:beforeAutospacing="1" w:after="100" w:afterAutospacing="1" w:line="240" w:lineRule="auto"/>
        <w:jc w:val="both"/>
        <w:rPr>
          <w:rFonts w:ascii="Calibri" w:eastAsia="Times New Roman" w:hAnsi="Calibri" w:cs="Times New Roman"/>
          <w:sz w:val="24"/>
          <w:szCs w:val="24"/>
          <w:lang w:eastAsia="en-GB"/>
        </w:rPr>
      </w:pPr>
      <w:r w:rsidRPr="008216A9">
        <w:rPr>
          <w:rFonts w:ascii="Calibri" w:eastAsia="Times New Roman" w:hAnsi="Calibri" w:cs="Times New Roman"/>
          <w:sz w:val="24"/>
          <w:szCs w:val="24"/>
          <w:lang w:eastAsia="en-GB"/>
        </w:rPr>
        <w:t>overall, the standard of health care was adequate; and</w:t>
      </w:r>
    </w:p>
    <w:p w:rsidR="008216A9" w:rsidRPr="008216A9" w:rsidRDefault="008216A9" w:rsidP="002C2459">
      <w:pPr>
        <w:numPr>
          <w:ilvl w:val="0"/>
          <w:numId w:val="4"/>
        </w:numPr>
        <w:spacing w:before="100" w:beforeAutospacing="1" w:after="100" w:afterAutospacing="1" w:line="240" w:lineRule="auto"/>
        <w:jc w:val="both"/>
        <w:rPr>
          <w:rFonts w:ascii="Calibri" w:eastAsia="Times New Roman" w:hAnsi="Calibri" w:cs="Times New Roman"/>
          <w:sz w:val="24"/>
          <w:szCs w:val="24"/>
          <w:lang w:eastAsia="en-GB"/>
        </w:rPr>
      </w:pPr>
      <w:r w:rsidRPr="008216A9">
        <w:rPr>
          <w:rFonts w:ascii="Calibri" w:eastAsia="Times New Roman" w:hAnsi="Calibri" w:cs="Times New Roman"/>
          <w:sz w:val="24"/>
          <w:szCs w:val="24"/>
          <w:lang w:eastAsia="en-GB"/>
        </w:rPr>
        <w:t>in most cases, the force planned sufficient emphasis on ensuring that detainees were released safely.</w:t>
      </w:r>
    </w:p>
    <w:p w:rsidR="008216A9" w:rsidRPr="008216A9" w:rsidRDefault="008216A9" w:rsidP="002C2459">
      <w:pPr>
        <w:spacing w:before="100" w:beforeAutospacing="1" w:after="100" w:afterAutospacing="1" w:line="240" w:lineRule="auto"/>
        <w:jc w:val="both"/>
        <w:rPr>
          <w:rFonts w:ascii="Calibri" w:eastAsia="Times New Roman" w:hAnsi="Calibri" w:cs="Times New Roman"/>
          <w:sz w:val="24"/>
          <w:szCs w:val="24"/>
          <w:lang w:eastAsia="en-GB"/>
        </w:rPr>
      </w:pPr>
      <w:r w:rsidRPr="008216A9">
        <w:rPr>
          <w:rFonts w:ascii="Calibri" w:eastAsia="Times New Roman" w:hAnsi="Calibri" w:cs="Times New Roman"/>
          <w:sz w:val="24"/>
          <w:szCs w:val="24"/>
          <w:lang w:eastAsia="en-GB"/>
        </w:rPr>
        <w:t>Inspectors were, however, concerned to find that:</w:t>
      </w:r>
    </w:p>
    <w:p w:rsidR="008216A9" w:rsidRPr="008216A9" w:rsidRDefault="008216A9" w:rsidP="002C2459">
      <w:pPr>
        <w:numPr>
          <w:ilvl w:val="0"/>
          <w:numId w:val="5"/>
        </w:numPr>
        <w:spacing w:before="100" w:beforeAutospacing="1" w:after="100" w:afterAutospacing="1" w:line="240" w:lineRule="auto"/>
        <w:jc w:val="both"/>
        <w:rPr>
          <w:rFonts w:ascii="Calibri" w:eastAsia="Times New Roman" w:hAnsi="Calibri" w:cs="Times New Roman"/>
          <w:sz w:val="24"/>
          <w:szCs w:val="24"/>
          <w:lang w:eastAsia="en-GB"/>
        </w:rPr>
      </w:pPr>
      <w:r w:rsidRPr="008216A9">
        <w:rPr>
          <w:rFonts w:ascii="Calibri" w:eastAsia="Times New Roman" w:hAnsi="Calibri" w:cs="Times New Roman"/>
          <w:sz w:val="24"/>
          <w:szCs w:val="24"/>
          <w:lang w:eastAsia="en-GB"/>
        </w:rPr>
        <w:t>the force was poorly served by its IT system, which custody sergeants found bureaucratic and difficult to use;</w:t>
      </w:r>
    </w:p>
    <w:p w:rsidR="008216A9" w:rsidRPr="008216A9" w:rsidRDefault="008216A9" w:rsidP="002C2459">
      <w:pPr>
        <w:numPr>
          <w:ilvl w:val="0"/>
          <w:numId w:val="5"/>
        </w:numPr>
        <w:spacing w:before="100" w:beforeAutospacing="1" w:after="100" w:afterAutospacing="1" w:line="240" w:lineRule="auto"/>
        <w:jc w:val="both"/>
        <w:rPr>
          <w:rFonts w:ascii="Calibri" w:eastAsia="Times New Roman" w:hAnsi="Calibri" w:cs="Times New Roman"/>
          <w:sz w:val="24"/>
          <w:szCs w:val="24"/>
          <w:lang w:eastAsia="en-GB"/>
        </w:rPr>
      </w:pPr>
      <w:r w:rsidRPr="008216A9">
        <w:rPr>
          <w:rFonts w:ascii="Calibri" w:eastAsia="Times New Roman" w:hAnsi="Calibri" w:cs="Times New Roman"/>
          <w:sz w:val="24"/>
          <w:szCs w:val="24"/>
          <w:lang w:eastAsia="en-GB"/>
        </w:rPr>
        <w:t>inspectors identified several potential ligature points, which required attention;</w:t>
      </w:r>
    </w:p>
    <w:p w:rsidR="008216A9" w:rsidRPr="008216A9" w:rsidRDefault="008216A9" w:rsidP="002C2459">
      <w:pPr>
        <w:numPr>
          <w:ilvl w:val="0"/>
          <w:numId w:val="5"/>
        </w:numPr>
        <w:spacing w:before="100" w:beforeAutospacing="1" w:after="100" w:afterAutospacing="1" w:line="240" w:lineRule="auto"/>
        <w:jc w:val="both"/>
        <w:rPr>
          <w:rFonts w:ascii="Calibri" w:eastAsia="Times New Roman" w:hAnsi="Calibri" w:cs="Times New Roman"/>
          <w:sz w:val="24"/>
          <w:szCs w:val="24"/>
          <w:lang w:eastAsia="en-GB"/>
        </w:rPr>
      </w:pPr>
      <w:r w:rsidRPr="008216A9">
        <w:rPr>
          <w:rFonts w:ascii="Calibri" w:eastAsia="Times New Roman" w:hAnsi="Calibri" w:cs="Times New Roman"/>
          <w:sz w:val="24"/>
          <w:szCs w:val="24"/>
          <w:lang w:eastAsia="en-GB"/>
        </w:rPr>
        <w:t>the force did not comply with all procedures in relation to the Police and Criminal Evidence Act 1984 (PACE) in particular code C and G; and</w:t>
      </w:r>
    </w:p>
    <w:p w:rsidR="008216A9" w:rsidRPr="008216A9" w:rsidRDefault="008216A9" w:rsidP="002C2459">
      <w:pPr>
        <w:numPr>
          <w:ilvl w:val="0"/>
          <w:numId w:val="5"/>
        </w:numPr>
        <w:spacing w:before="100" w:beforeAutospacing="1" w:after="100" w:afterAutospacing="1" w:line="240" w:lineRule="auto"/>
        <w:jc w:val="both"/>
        <w:rPr>
          <w:rFonts w:ascii="Calibri" w:eastAsia="Times New Roman" w:hAnsi="Calibri" w:cs="Times New Roman"/>
          <w:sz w:val="24"/>
          <w:szCs w:val="24"/>
          <w:lang w:eastAsia="en-GB"/>
        </w:rPr>
      </w:pPr>
      <w:r w:rsidRPr="008216A9">
        <w:rPr>
          <w:rFonts w:ascii="Calibri" w:eastAsia="Times New Roman" w:hAnsi="Calibri" w:cs="Times New Roman"/>
          <w:sz w:val="24"/>
          <w:szCs w:val="24"/>
          <w:lang w:eastAsia="en-GB"/>
        </w:rPr>
        <w:t>despite the force developing relationships with key stakeholders, too many vulnerable adults were brought into custody as a place of safety and too many children were held overnight when alternative accommodation should have been provided.</w:t>
      </w:r>
    </w:p>
    <w:p w:rsidR="00B42A6A" w:rsidRDefault="00B42A6A" w:rsidP="004B568F">
      <w:pPr>
        <w:spacing w:after="0" w:line="240" w:lineRule="auto"/>
        <w:rPr>
          <w:rFonts w:ascii="Calibri" w:hAnsi="Calibri" w:cs="Arial"/>
          <w:b/>
          <w:color w:val="002060"/>
          <w:sz w:val="28"/>
        </w:rPr>
      </w:pPr>
    </w:p>
    <w:p w:rsidR="006059F1" w:rsidRPr="00B95134" w:rsidRDefault="004315F4" w:rsidP="004B568F">
      <w:pPr>
        <w:spacing w:after="0" w:line="240" w:lineRule="auto"/>
        <w:rPr>
          <w:rFonts w:ascii="Calibri" w:hAnsi="Calibri" w:cs="Arial"/>
          <w:b/>
          <w:color w:val="002060"/>
          <w:sz w:val="28"/>
        </w:rPr>
      </w:pPr>
      <w:bookmarkStart w:id="0" w:name="_GoBack"/>
      <w:bookmarkEnd w:id="0"/>
      <w:r>
        <w:rPr>
          <w:rFonts w:ascii="Calibri" w:hAnsi="Calibri" w:cs="Arial"/>
          <w:b/>
          <w:color w:val="002060"/>
          <w:sz w:val="28"/>
        </w:rPr>
        <w:t>H</w:t>
      </w:r>
      <w:r w:rsidR="002C2459">
        <w:rPr>
          <w:rFonts w:ascii="Calibri" w:hAnsi="Calibri" w:cs="Arial"/>
          <w:b/>
          <w:color w:val="002060"/>
          <w:sz w:val="28"/>
        </w:rPr>
        <w:t>arwich Border Force</w:t>
      </w:r>
      <w:r w:rsidR="006059F1" w:rsidRPr="00B95134">
        <w:rPr>
          <w:rFonts w:ascii="Calibri" w:hAnsi="Calibri" w:cs="Arial"/>
          <w:b/>
          <w:color w:val="002060"/>
          <w:sz w:val="28"/>
        </w:rPr>
        <w:t xml:space="preserve"> - Independent Custody Visits Summary - April 2016 – </w:t>
      </w:r>
      <w:r w:rsidR="00FD40FB" w:rsidRPr="00B95134">
        <w:rPr>
          <w:rFonts w:ascii="Calibri" w:hAnsi="Calibri" w:cs="Arial"/>
          <w:b/>
          <w:color w:val="002060"/>
          <w:sz w:val="28"/>
        </w:rPr>
        <w:t>March</w:t>
      </w:r>
      <w:r w:rsidR="006059F1" w:rsidRPr="00B95134">
        <w:rPr>
          <w:rFonts w:ascii="Calibri" w:hAnsi="Calibri" w:cs="Arial"/>
          <w:b/>
          <w:color w:val="002060"/>
          <w:sz w:val="28"/>
        </w:rPr>
        <w:t xml:space="preserve"> 2017</w:t>
      </w:r>
    </w:p>
    <w:p w:rsidR="004B568F" w:rsidRPr="004B568F" w:rsidRDefault="004B568F" w:rsidP="004B568F">
      <w:pPr>
        <w:spacing w:after="0" w:line="240" w:lineRule="auto"/>
        <w:rPr>
          <w:rFonts w:ascii="Calibri" w:hAnsi="Calibri" w:cs="Arial"/>
          <w:b/>
          <w:sz w:val="28"/>
        </w:rPr>
      </w:pPr>
    </w:p>
    <w:p w:rsidR="006059F1" w:rsidRPr="000508FE" w:rsidRDefault="006059F1" w:rsidP="006059F1">
      <w:pPr>
        <w:rPr>
          <w:rFonts w:ascii="Calibri" w:hAnsi="Calibri" w:cs="Arial"/>
          <w:b/>
          <w:color w:val="1F497D" w:themeColor="text2"/>
          <w:sz w:val="28"/>
        </w:rPr>
      </w:pPr>
      <w:r w:rsidRPr="000508FE">
        <w:rPr>
          <w:rFonts w:ascii="Calibri" w:hAnsi="Calibri" w:cs="Arial"/>
          <w:b/>
          <w:color w:val="1F497D" w:themeColor="text2"/>
          <w:sz w:val="28"/>
        </w:rPr>
        <w:t xml:space="preserve">Summary of Visits </w:t>
      </w:r>
    </w:p>
    <w:p w:rsidR="006059F1" w:rsidRPr="006059F1" w:rsidRDefault="006059F1" w:rsidP="004315F4">
      <w:pPr>
        <w:spacing w:line="240" w:lineRule="auto"/>
        <w:rPr>
          <w:rFonts w:ascii="Calibri" w:hAnsi="Calibri" w:cs="Arial"/>
          <w:sz w:val="24"/>
        </w:rPr>
      </w:pPr>
      <w:r w:rsidRPr="006059F1">
        <w:rPr>
          <w:rFonts w:ascii="Calibri" w:hAnsi="Calibri" w:cs="Arial"/>
          <w:sz w:val="24"/>
        </w:rPr>
        <w:t xml:space="preserve">Essex Office of the Police and Crime Commissioner </w:t>
      </w:r>
      <w:r w:rsidR="005F4290">
        <w:rPr>
          <w:rFonts w:ascii="Calibri" w:hAnsi="Calibri" w:cs="Arial"/>
          <w:sz w:val="24"/>
        </w:rPr>
        <w:t xml:space="preserve">and the ICV Scheme </w:t>
      </w:r>
      <w:r w:rsidRPr="006059F1">
        <w:rPr>
          <w:rFonts w:ascii="Calibri" w:hAnsi="Calibri" w:cs="Arial"/>
          <w:sz w:val="24"/>
        </w:rPr>
        <w:t>took over the visiting of Harwich Border Force Custody Suite in the beginning of April 2016. Given the relatively low number of detainees going through custody, the ICVs combine unannounced visits with visits that follow a call from Harwich Border Force advising a detainee has been taken into custody.  This combination enables an adequate weight of unannounced visits and expected visits where ICVs are able to interview detainees.</w:t>
      </w:r>
    </w:p>
    <w:tbl>
      <w:tblPr>
        <w:tblStyle w:val="TableGrid"/>
        <w:tblW w:w="0" w:type="auto"/>
        <w:tblLook w:val="04A0" w:firstRow="1" w:lastRow="0" w:firstColumn="1" w:lastColumn="0" w:noHBand="0" w:noVBand="1"/>
      </w:tblPr>
      <w:tblGrid>
        <w:gridCol w:w="8188"/>
        <w:gridCol w:w="1054"/>
      </w:tblGrid>
      <w:tr w:rsidR="006059F1" w:rsidRPr="006059F1" w:rsidTr="00D55199">
        <w:tc>
          <w:tcPr>
            <w:tcW w:w="8188" w:type="dxa"/>
          </w:tcPr>
          <w:p w:rsidR="006059F1" w:rsidRPr="006059F1" w:rsidRDefault="006059F1" w:rsidP="00D55199">
            <w:pPr>
              <w:rPr>
                <w:rFonts w:ascii="Calibri" w:hAnsi="Calibri" w:cs="Arial"/>
                <w:sz w:val="24"/>
              </w:rPr>
            </w:pPr>
            <w:r w:rsidRPr="006059F1">
              <w:rPr>
                <w:rFonts w:ascii="Calibri" w:hAnsi="Calibri" w:cs="Arial"/>
                <w:sz w:val="24"/>
              </w:rPr>
              <w:t xml:space="preserve">Number of visits carried out by ICVs in the period covering April 2016 to June 2017 </w:t>
            </w:r>
          </w:p>
        </w:tc>
        <w:tc>
          <w:tcPr>
            <w:tcW w:w="1054" w:type="dxa"/>
          </w:tcPr>
          <w:p w:rsidR="006059F1" w:rsidRPr="006059F1" w:rsidRDefault="00FD40FB" w:rsidP="00D55199">
            <w:pPr>
              <w:rPr>
                <w:rFonts w:ascii="Calibri" w:hAnsi="Calibri" w:cs="Arial"/>
                <w:sz w:val="24"/>
              </w:rPr>
            </w:pPr>
            <w:r>
              <w:rPr>
                <w:rFonts w:ascii="Calibri" w:hAnsi="Calibri" w:cs="Arial"/>
                <w:sz w:val="24"/>
              </w:rPr>
              <w:t>14</w:t>
            </w:r>
          </w:p>
        </w:tc>
      </w:tr>
      <w:tr w:rsidR="006059F1" w:rsidRPr="006059F1" w:rsidTr="00D55199">
        <w:tc>
          <w:tcPr>
            <w:tcW w:w="8188" w:type="dxa"/>
          </w:tcPr>
          <w:p w:rsidR="006059F1" w:rsidRPr="006059F1" w:rsidRDefault="006059F1" w:rsidP="00D55199">
            <w:pPr>
              <w:rPr>
                <w:rFonts w:ascii="Calibri" w:hAnsi="Calibri" w:cs="Arial"/>
                <w:sz w:val="24"/>
              </w:rPr>
            </w:pPr>
            <w:r w:rsidRPr="006059F1">
              <w:rPr>
                <w:rFonts w:ascii="Calibri" w:hAnsi="Calibri" w:cs="Arial"/>
                <w:sz w:val="24"/>
              </w:rPr>
              <w:t xml:space="preserve">Number of detainees in custody at the time </w:t>
            </w:r>
          </w:p>
        </w:tc>
        <w:tc>
          <w:tcPr>
            <w:tcW w:w="1054" w:type="dxa"/>
          </w:tcPr>
          <w:p w:rsidR="006059F1" w:rsidRPr="006059F1" w:rsidRDefault="006059F1" w:rsidP="00D55199">
            <w:pPr>
              <w:rPr>
                <w:rFonts w:ascii="Calibri" w:hAnsi="Calibri" w:cs="Arial"/>
                <w:sz w:val="24"/>
              </w:rPr>
            </w:pPr>
            <w:r w:rsidRPr="006059F1">
              <w:rPr>
                <w:rFonts w:ascii="Calibri" w:hAnsi="Calibri" w:cs="Arial"/>
                <w:sz w:val="24"/>
              </w:rPr>
              <w:t>6</w:t>
            </w:r>
          </w:p>
        </w:tc>
      </w:tr>
      <w:tr w:rsidR="006059F1" w:rsidRPr="006059F1" w:rsidTr="00D55199">
        <w:tc>
          <w:tcPr>
            <w:tcW w:w="8188" w:type="dxa"/>
          </w:tcPr>
          <w:p w:rsidR="006059F1" w:rsidRPr="006059F1" w:rsidRDefault="006059F1" w:rsidP="00D55199">
            <w:pPr>
              <w:rPr>
                <w:rFonts w:ascii="Calibri" w:hAnsi="Calibri" w:cs="Arial"/>
                <w:b/>
                <w:sz w:val="24"/>
              </w:rPr>
            </w:pPr>
            <w:r w:rsidRPr="006059F1">
              <w:rPr>
                <w:rFonts w:ascii="Calibri" w:hAnsi="Calibri" w:cs="Arial"/>
                <w:sz w:val="24"/>
              </w:rPr>
              <w:t xml:space="preserve">Number seen by ICVs </w:t>
            </w:r>
          </w:p>
        </w:tc>
        <w:tc>
          <w:tcPr>
            <w:tcW w:w="1054" w:type="dxa"/>
          </w:tcPr>
          <w:p w:rsidR="006059F1" w:rsidRPr="006059F1" w:rsidRDefault="006059F1" w:rsidP="00D55199">
            <w:pPr>
              <w:rPr>
                <w:rFonts w:ascii="Calibri" w:hAnsi="Calibri" w:cs="Arial"/>
                <w:sz w:val="24"/>
              </w:rPr>
            </w:pPr>
            <w:r w:rsidRPr="006059F1">
              <w:rPr>
                <w:rFonts w:ascii="Calibri" w:hAnsi="Calibri" w:cs="Arial"/>
                <w:sz w:val="24"/>
              </w:rPr>
              <w:t>4</w:t>
            </w:r>
          </w:p>
        </w:tc>
      </w:tr>
    </w:tbl>
    <w:p w:rsidR="006059F1" w:rsidRPr="006059F1" w:rsidRDefault="006059F1" w:rsidP="006059F1">
      <w:pPr>
        <w:rPr>
          <w:rFonts w:ascii="Calibri" w:hAnsi="Calibri" w:cs="Arial"/>
          <w:sz w:val="24"/>
        </w:rPr>
      </w:pPr>
    </w:p>
    <w:p w:rsidR="006059F1" w:rsidRPr="000508FE" w:rsidRDefault="006059F1" w:rsidP="006059F1">
      <w:pPr>
        <w:rPr>
          <w:rFonts w:ascii="Calibri" w:hAnsi="Calibri" w:cs="Arial"/>
          <w:b/>
          <w:color w:val="1F497D" w:themeColor="text2"/>
          <w:sz w:val="28"/>
        </w:rPr>
      </w:pPr>
      <w:r w:rsidRPr="000508FE">
        <w:rPr>
          <w:rFonts w:ascii="Calibri" w:hAnsi="Calibri" w:cs="Arial"/>
          <w:b/>
          <w:color w:val="1F497D" w:themeColor="text2"/>
          <w:sz w:val="28"/>
        </w:rPr>
        <w:t>Treatment of Detainees</w:t>
      </w:r>
    </w:p>
    <w:p w:rsidR="006059F1" w:rsidRPr="006059F1" w:rsidRDefault="006059F1" w:rsidP="004315F4">
      <w:pPr>
        <w:spacing w:line="240" w:lineRule="auto"/>
        <w:rPr>
          <w:rFonts w:ascii="Calibri" w:hAnsi="Calibri" w:cs="Arial"/>
          <w:sz w:val="24"/>
        </w:rPr>
      </w:pPr>
      <w:r w:rsidRPr="006059F1">
        <w:rPr>
          <w:rFonts w:ascii="Calibri" w:hAnsi="Calibri" w:cs="Arial"/>
          <w:sz w:val="24"/>
        </w:rPr>
        <w:t>Detainees reported that they were happy with their treatment and understood why they were being held in custody. Detainees were offered food and drinks. The food provided to detainees was of a good range and the kitchen area was always very clean. Detainees were given access to interpreters where necessary, although staff reported getting hold of interpreters could be problematic on occasions. Records seen by ICVs showed that detainees had been held within PACE guidelines. Harwich custody has an exercise yard to which detainees are given access.</w:t>
      </w:r>
    </w:p>
    <w:p w:rsidR="006059F1" w:rsidRPr="000508FE" w:rsidRDefault="006059F1" w:rsidP="006059F1">
      <w:pPr>
        <w:rPr>
          <w:rFonts w:ascii="Calibri" w:hAnsi="Calibri" w:cs="Arial"/>
          <w:b/>
          <w:color w:val="1F497D" w:themeColor="text2"/>
          <w:sz w:val="28"/>
        </w:rPr>
      </w:pPr>
      <w:r w:rsidRPr="000508FE">
        <w:rPr>
          <w:rFonts w:ascii="Calibri" w:hAnsi="Calibri" w:cs="Arial"/>
          <w:b/>
          <w:color w:val="1F497D" w:themeColor="text2"/>
          <w:sz w:val="28"/>
        </w:rPr>
        <w:t>Environment Issues</w:t>
      </w:r>
    </w:p>
    <w:p w:rsidR="006059F1" w:rsidRPr="006059F1" w:rsidRDefault="006059F1" w:rsidP="004315F4">
      <w:pPr>
        <w:spacing w:line="240" w:lineRule="auto"/>
        <w:rPr>
          <w:rFonts w:ascii="Calibri" w:hAnsi="Calibri" w:cs="Arial"/>
          <w:sz w:val="24"/>
        </w:rPr>
      </w:pPr>
      <w:r w:rsidRPr="006059F1">
        <w:rPr>
          <w:rFonts w:ascii="Calibri" w:hAnsi="Calibri" w:cs="Arial"/>
          <w:sz w:val="24"/>
        </w:rPr>
        <w:t xml:space="preserve">There were some environment issues such as paint flaking off the wall, which could be a potential self-harm issue.  The black strips along the corridor had also begun to peel away. These were raised with the escorting officer and were subsequently addressed.  </w:t>
      </w:r>
    </w:p>
    <w:tbl>
      <w:tblPr>
        <w:tblStyle w:val="TableGrid"/>
        <w:tblW w:w="0" w:type="auto"/>
        <w:tblLook w:val="04A0" w:firstRow="1" w:lastRow="0" w:firstColumn="1" w:lastColumn="0" w:noHBand="0" w:noVBand="1"/>
      </w:tblPr>
      <w:tblGrid>
        <w:gridCol w:w="7479"/>
        <w:gridCol w:w="1763"/>
      </w:tblGrid>
      <w:tr w:rsidR="006059F1" w:rsidRPr="006059F1" w:rsidTr="00D55199">
        <w:tc>
          <w:tcPr>
            <w:tcW w:w="7479" w:type="dxa"/>
          </w:tcPr>
          <w:p w:rsidR="006059F1" w:rsidRPr="006059F1" w:rsidRDefault="006059F1" w:rsidP="00D55199">
            <w:pPr>
              <w:rPr>
                <w:rFonts w:ascii="Calibri" w:hAnsi="Calibri" w:cs="Arial"/>
                <w:sz w:val="24"/>
              </w:rPr>
            </w:pPr>
            <w:r w:rsidRPr="006059F1">
              <w:rPr>
                <w:rFonts w:ascii="Calibri" w:hAnsi="Calibri" w:cs="Arial"/>
                <w:sz w:val="24"/>
              </w:rPr>
              <w:t xml:space="preserve">Intermittent light issue in corridor </w:t>
            </w:r>
          </w:p>
        </w:tc>
        <w:tc>
          <w:tcPr>
            <w:tcW w:w="1763" w:type="dxa"/>
          </w:tcPr>
          <w:p w:rsidR="006059F1" w:rsidRPr="006059F1" w:rsidRDefault="006059F1" w:rsidP="00D55199">
            <w:pPr>
              <w:rPr>
                <w:rFonts w:ascii="Calibri" w:hAnsi="Calibri" w:cs="Arial"/>
                <w:sz w:val="24"/>
              </w:rPr>
            </w:pPr>
            <w:r w:rsidRPr="006059F1">
              <w:rPr>
                <w:rFonts w:ascii="Calibri" w:hAnsi="Calibri" w:cs="Arial"/>
                <w:sz w:val="24"/>
              </w:rPr>
              <w:t>Resolved</w:t>
            </w:r>
          </w:p>
        </w:tc>
      </w:tr>
      <w:tr w:rsidR="006059F1" w:rsidRPr="006059F1" w:rsidTr="00D55199">
        <w:tc>
          <w:tcPr>
            <w:tcW w:w="7479" w:type="dxa"/>
          </w:tcPr>
          <w:p w:rsidR="006059F1" w:rsidRPr="006059F1" w:rsidRDefault="006059F1" w:rsidP="00D55199">
            <w:pPr>
              <w:rPr>
                <w:rFonts w:ascii="Calibri" w:hAnsi="Calibri" w:cs="Arial"/>
                <w:sz w:val="24"/>
              </w:rPr>
            </w:pPr>
            <w:r w:rsidRPr="006059F1">
              <w:rPr>
                <w:rFonts w:ascii="Calibri" w:hAnsi="Calibri" w:cs="Arial"/>
                <w:sz w:val="24"/>
              </w:rPr>
              <w:t>Leaking shower</w:t>
            </w:r>
          </w:p>
        </w:tc>
        <w:tc>
          <w:tcPr>
            <w:tcW w:w="1763" w:type="dxa"/>
          </w:tcPr>
          <w:p w:rsidR="006059F1" w:rsidRPr="006059F1" w:rsidRDefault="006059F1" w:rsidP="00D55199">
            <w:pPr>
              <w:rPr>
                <w:rFonts w:ascii="Calibri" w:hAnsi="Calibri" w:cs="Arial"/>
                <w:sz w:val="24"/>
              </w:rPr>
            </w:pPr>
            <w:r w:rsidRPr="006059F1">
              <w:rPr>
                <w:rFonts w:ascii="Calibri" w:hAnsi="Calibri" w:cs="Arial"/>
                <w:sz w:val="24"/>
              </w:rPr>
              <w:t>Outstanding</w:t>
            </w:r>
          </w:p>
        </w:tc>
      </w:tr>
      <w:tr w:rsidR="006059F1" w:rsidRPr="006059F1" w:rsidTr="00D55199">
        <w:tc>
          <w:tcPr>
            <w:tcW w:w="7479" w:type="dxa"/>
          </w:tcPr>
          <w:p w:rsidR="006059F1" w:rsidRPr="006059F1" w:rsidRDefault="006059F1" w:rsidP="00D55199">
            <w:pPr>
              <w:rPr>
                <w:rFonts w:ascii="Calibri" w:hAnsi="Calibri" w:cs="Arial"/>
                <w:sz w:val="24"/>
              </w:rPr>
            </w:pPr>
            <w:r w:rsidRPr="006059F1">
              <w:rPr>
                <w:rFonts w:ascii="Calibri" w:hAnsi="Calibri" w:cs="Arial"/>
                <w:sz w:val="24"/>
              </w:rPr>
              <w:t>Signs of damp on the wall facing booking-in desk</w:t>
            </w:r>
          </w:p>
        </w:tc>
        <w:tc>
          <w:tcPr>
            <w:tcW w:w="1763" w:type="dxa"/>
          </w:tcPr>
          <w:p w:rsidR="006059F1" w:rsidRPr="006059F1" w:rsidRDefault="006059F1" w:rsidP="00D55199">
            <w:pPr>
              <w:rPr>
                <w:rFonts w:ascii="Calibri" w:hAnsi="Calibri" w:cs="Arial"/>
                <w:sz w:val="24"/>
              </w:rPr>
            </w:pPr>
            <w:r w:rsidRPr="006059F1">
              <w:rPr>
                <w:rFonts w:ascii="Calibri" w:hAnsi="Calibri" w:cs="Arial"/>
                <w:sz w:val="24"/>
              </w:rPr>
              <w:t>Resolved</w:t>
            </w:r>
          </w:p>
        </w:tc>
      </w:tr>
      <w:tr w:rsidR="006059F1" w:rsidRPr="006059F1" w:rsidTr="00D55199">
        <w:tc>
          <w:tcPr>
            <w:tcW w:w="7479" w:type="dxa"/>
          </w:tcPr>
          <w:p w:rsidR="006059F1" w:rsidRPr="006059F1" w:rsidRDefault="006059F1" w:rsidP="00D55199">
            <w:pPr>
              <w:rPr>
                <w:rFonts w:ascii="Calibri" w:hAnsi="Calibri" w:cs="Arial"/>
                <w:sz w:val="24"/>
              </w:rPr>
            </w:pPr>
            <w:r w:rsidRPr="006059F1">
              <w:rPr>
                <w:rFonts w:ascii="Calibri" w:hAnsi="Calibri" w:cs="Arial"/>
                <w:sz w:val="24"/>
              </w:rPr>
              <w:t>Plastic guard strip peeling off wall</w:t>
            </w:r>
          </w:p>
        </w:tc>
        <w:tc>
          <w:tcPr>
            <w:tcW w:w="1763" w:type="dxa"/>
          </w:tcPr>
          <w:p w:rsidR="006059F1" w:rsidRPr="006059F1" w:rsidRDefault="006059F1" w:rsidP="00D55199">
            <w:pPr>
              <w:rPr>
                <w:rFonts w:ascii="Calibri" w:hAnsi="Calibri" w:cs="Arial"/>
                <w:sz w:val="24"/>
              </w:rPr>
            </w:pPr>
            <w:r w:rsidRPr="006059F1">
              <w:rPr>
                <w:rFonts w:ascii="Calibri" w:hAnsi="Calibri" w:cs="Arial"/>
                <w:sz w:val="24"/>
              </w:rPr>
              <w:t>Resolved</w:t>
            </w:r>
          </w:p>
        </w:tc>
      </w:tr>
    </w:tbl>
    <w:p w:rsidR="005F4290" w:rsidRDefault="005F4290" w:rsidP="006059F1">
      <w:pPr>
        <w:rPr>
          <w:rFonts w:ascii="Calibri" w:hAnsi="Calibri" w:cs="Arial"/>
          <w:b/>
          <w:sz w:val="24"/>
        </w:rPr>
      </w:pPr>
    </w:p>
    <w:p w:rsidR="006059F1" w:rsidRPr="000508FE" w:rsidRDefault="006059F1" w:rsidP="006059F1">
      <w:pPr>
        <w:rPr>
          <w:rFonts w:ascii="Calibri" w:hAnsi="Calibri" w:cs="Arial"/>
          <w:b/>
          <w:color w:val="1F497D" w:themeColor="text2"/>
          <w:sz w:val="28"/>
        </w:rPr>
      </w:pPr>
      <w:r w:rsidRPr="000508FE">
        <w:rPr>
          <w:rFonts w:ascii="Calibri" w:hAnsi="Calibri" w:cs="Arial"/>
          <w:b/>
          <w:color w:val="1F497D" w:themeColor="text2"/>
          <w:sz w:val="28"/>
        </w:rPr>
        <w:t>Custody Staff</w:t>
      </w:r>
    </w:p>
    <w:p w:rsidR="006059F1" w:rsidRPr="006059F1" w:rsidRDefault="006059F1" w:rsidP="004315F4">
      <w:pPr>
        <w:spacing w:line="240" w:lineRule="auto"/>
        <w:rPr>
          <w:rFonts w:ascii="Calibri" w:hAnsi="Calibri" w:cs="Arial"/>
          <w:sz w:val="24"/>
        </w:rPr>
      </w:pPr>
      <w:r w:rsidRPr="006059F1">
        <w:rPr>
          <w:rFonts w:ascii="Calibri" w:hAnsi="Calibri" w:cs="Arial"/>
          <w:sz w:val="24"/>
        </w:rPr>
        <w:t>The ICVs consistently found Harwich Border Force staff to be helpful and accommodating. They took time to explain the role of Border Force and how it differed to that of the Police. Staff were extremely open and transparent when offering ICVs access to custody records.  ICVs were confident that detainees were treated well throughout the custody process.</w:t>
      </w:r>
    </w:p>
    <w:p w:rsidR="006059F1" w:rsidRPr="00346185" w:rsidRDefault="006059F1" w:rsidP="006059F1">
      <w:pPr>
        <w:rPr>
          <w:rFonts w:ascii="Arial" w:hAnsi="Arial" w:cs="Arial"/>
          <w:sz w:val="24"/>
        </w:rPr>
      </w:pPr>
    </w:p>
    <w:p w:rsidR="006059F1" w:rsidRPr="00277BB3" w:rsidRDefault="005F4AD3">
      <w:pPr>
        <w:rPr>
          <w:b/>
          <w:color w:val="002060"/>
          <w:sz w:val="32"/>
        </w:rPr>
      </w:pPr>
      <w:r w:rsidRPr="00277BB3">
        <w:rPr>
          <w:b/>
          <w:color w:val="002060"/>
          <w:sz w:val="32"/>
        </w:rPr>
        <w:t>Conclusion</w:t>
      </w:r>
    </w:p>
    <w:p w:rsidR="005F4AD3" w:rsidRPr="005C4BCB" w:rsidRDefault="005F4AD3" w:rsidP="00DD6464">
      <w:pPr>
        <w:jc w:val="both"/>
        <w:rPr>
          <w:sz w:val="24"/>
        </w:rPr>
      </w:pPr>
      <w:r w:rsidRPr="005C4BCB">
        <w:rPr>
          <w:sz w:val="24"/>
        </w:rPr>
        <w:t>The scheme in Essex is fortunate in having a number of very experienced volunteers</w:t>
      </w:r>
      <w:r w:rsidR="00B95134" w:rsidRPr="005C4BCB">
        <w:rPr>
          <w:sz w:val="24"/>
        </w:rPr>
        <w:t xml:space="preserve"> who check on detainee’s rights and entitlements as well as issues with the state of custody suites and store cupboards</w:t>
      </w:r>
      <w:r w:rsidRPr="005C4BCB">
        <w:rPr>
          <w:sz w:val="24"/>
        </w:rPr>
        <w:t xml:space="preserve">.  </w:t>
      </w:r>
      <w:r w:rsidR="00D82CD6" w:rsidRPr="005C4BCB">
        <w:rPr>
          <w:sz w:val="24"/>
        </w:rPr>
        <w:t xml:space="preserve">Although the number of detainees going through custody are falling, the increase in visits mean that the number of detainees being seen by ICVs </w:t>
      </w:r>
      <w:r w:rsidR="006F7554" w:rsidRPr="005C4BCB">
        <w:rPr>
          <w:sz w:val="24"/>
        </w:rPr>
        <w:t xml:space="preserve">have </w:t>
      </w:r>
      <w:r w:rsidR="00277BB3" w:rsidRPr="005C4BCB">
        <w:rPr>
          <w:sz w:val="24"/>
        </w:rPr>
        <w:t>gone up. Any concerns raised by individu</w:t>
      </w:r>
      <w:r w:rsidR="002F4C81">
        <w:rPr>
          <w:sz w:val="24"/>
        </w:rPr>
        <w:t>als are consistently followed up on, something that was reflected in the HMIC report.</w:t>
      </w:r>
    </w:p>
    <w:p w:rsidR="006F7554" w:rsidRDefault="005F4290" w:rsidP="00DD6464">
      <w:pPr>
        <w:jc w:val="both"/>
        <w:rPr>
          <w:sz w:val="24"/>
        </w:rPr>
      </w:pPr>
      <w:r>
        <w:rPr>
          <w:sz w:val="24"/>
        </w:rPr>
        <w:t xml:space="preserve">The recent </w:t>
      </w:r>
      <w:r w:rsidR="006F7554" w:rsidRPr="005C4BCB">
        <w:rPr>
          <w:sz w:val="24"/>
        </w:rPr>
        <w:t xml:space="preserve">restructure </w:t>
      </w:r>
      <w:r>
        <w:rPr>
          <w:sz w:val="24"/>
        </w:rPr>
        <w:t xml:space="preserve">of ICVA </w:t>
      </w:r>
      <w:r w:rsidR="006F7554" w:rsidRPr="005C4BCB">
        <w:rPr>
          <w:sz w:val="24"/>
        </w:rPr>
        <w:t xml:space="preserve">this year has </w:t>
      </w:r>
      <w:r w:rsidR="00277BB3" w:rsidRPr="005C4BCB">
        <w:rPr>
          <w:sz w:val="24"/>
        </w:rPr>
        <w:t>been really useful in the distribution of information as well providing bite size training packages</w:t>
      </w:r>
      <w:r>
        <w:rPr>
          <w:sz w:val="24"/>
        </w:rPr>
        <w:t xml:space="preserve"> to ICVs</w:t>
      </w:r>
      <w:r w:rsidR="00277BB3" w:rsidRPr="005C4BCB">
        <w:rPr>
          <w:sz w:val="24"/>
        </w:rPr>
        <w:t>, and these updates will be fed back to scheme members at future meetings</w:t>
      </w:r>
      <w:r w:rsidR="002E1338">
        <w:rPr>
          <w:sz w:val="24"/>
        </w:rPr>
        <w:t xml:space="preserve"> s</w:t>
      </w:r>
      <w:r w:rsidR="00277BB3" w:rsidRPr="005C4BCB">
        <w:rPr>
          <w:sz w:val="24"/>
        </w:rPr>
        <w:t>o members are kept up-to-date with legislation and what to look for when in a custody suite.</w:t>
      </w:r>
    </w:p>
    <w:p w:rsidR="002E1338" w:rsidRDefault="005F4290" w:rsidP="00DD6464">
      <w:pPr>
        <w:jc w:val="both"/>
        <w:rPr>
          <w:sz w:val="24"/>
        </w:rPr>
      </w:pPr>
      <w:r>
        <w:rPr>
          <w:sz w:val="24"/>
        </w:rPr>
        <w:t>The report by HMIC</w:t>
      </w:r>
      <w:r w:rsidR="002E1338">
        <w:rPr>
          <w:sz w:val="24"/>
        </w:rPr>
        <w:t xml:space="preserve"> </w:t>
      </w:r>
      <w:r w:rsidR="004315F4">
        <w:rPr>
          <w:sz w:val="24"/>
        </w:rPr>
        <w:t>raised a number of issues the most concerning of which were the detainment of vulnerable people and children in custody where alternatives should be sought.  However, following on from the collaborative work being done earlier in the year and the commitment by Essex Police that the number of s136 shoul</w:t>
      </w:r>
      <w:r w:rsidR="00144620">
        <w:rPr>
          <w:sz w:val="24"/>
        </w:rPr>
        <w:t>d start to decr</w:t>
      </w:r>
      <w:r w:rsidR="002C2459">
        <w:rPr>
          <w:sz w:val="24"/>
        </w:rPr>
        <w:t>ease as they are taken to HBPoS, we are confident this will be addressed over the subsequent months.</w:t>
      </w:r>
    </w:p>
    <w:p w:rsidR="002F4C81" w:rsidRPr="000508FE" w:rsidRDefault="003E7D66">
      <w:pPr>
        <w:rPr>
          <w:b/>
          <w:color w:val="1F497D" w:themeColor="text2"/>
          <w:sz w:val="32"/>
        </w:rPr>
      </w:pPr>
      <w:r w:rsidRPr="000508FE">
        <w:rPr>
          <w:b/>
          <w:color w:val="1F497D" w:themeColor="text2"/>
          <w:sz w:val="32"/>
        </w:rPr>
        <w:t>Looking Forward</w:t>
      </w:r>
    </w:p>
    <w:p w:rsidR="003E7D66" w:rsidRDefault="003E7D66">
      <w:pPr>
        <w:rPr>
          <w:sz w:val="24"/>
        </w:rPr>
      </w:pPr>
      <w:r>
        <w:rPr>
          <w:sz w:val="24"/>
        </w:rPr>
        <w:t>The scheme provides a lot of valuable information not only about the treatment of detainees, but custody as a whole. Looking forward a quarterly briefing will be produced that will feed through the OFPCC Performance and Resources Board.</w:t>
      </w:r>
    </w:p>
    <w:p w:rsidR="003E7D66" w:rsidRDefault="003E7D66">
      <w:pPr>
        <w:rPr>
          <w:sz w:val="24"/>
        </w:rPr>
      </w:pPr>
      <w:r>
        <w:rPr>
          <w:sz w:val="24"/>
        </w:rPr>
        <w:t>The quarterly meetings will also be attended biannually by the deputy Police, Fire and Crime Commissioner, who will lend her support to the volunteers and back up the importance of what they do.</w:t>
      </w:r>
    </w:p>
    <w:p w:rsidR="003E7D66" w:rsidRDefault="003E7D66">
      <w:pPr>
        <w:rPr>
          <w:sz w:val="24"/>
        </w:rPr>
      </w:pPr>
      <w:r>
        <w:rPr>
          <w:sz w:val="24"/>
        </w:rPr>
        <w:t xml:space="preserve">Custody visitors will also have a focus on key themes and issues that are occurring in custody in order to help inform the experiences of those going through custody. </w:t>
      </w:r>
    </w:p>
    <w:p w:rsidR="003E7D66" w:rsidRDefault="003E7D66">
      <w:pPr>
        <w:rPr>
          <w:sz w:val="24"/>
        </w:rPr>
      </w:pPr>
      <w:r>
        <w:rPr>
          <w:sz w:val="24"/>
        </w:rPr>
        <w:t xml:space="preserve">The scheme coordinator will also actively seek to bring more diverse volunteers to the scheme so as to enable a broader range of </w:t>
      </w:r>
      <w:r w:rsidR="001B2343">
        <w:rPr>
          <w:sz w:val="24"/>
        </w:rPr>
        <w:t>viewpoints to bring to the custody experience.</w:t>
      </w:r>
    </w:p>
    <w:p w:rsidR="000954BE" w:rsidRPr="005C4BCB" w:rsidRDefault="000954BE">
      <w:pPr>
        <w:rPr>
          <w:sz w:val="24"/>
        </w:rPr>
      </w:pPr>
      <w:r>
        <w:rPr>
          <w:sz w:val="24"/>
        </w:rPr>
        <w:t>The OFPCC will also work hard to influence agencies to provide fit for purpose Appropriate Adults for children and vulnerable people that is inclusive of all those affected in custody suites across the county.</w:t>
      </w:r>
    </w:p>
    <w:sectPr w:rsidR="000954BE" w:rsidRPr="005C4BCB" w:rsidSect="00A77C14">
      <w:head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E93" w:rsidRDefault="002F3E93" w:rsidP="00823211">
      <w:pPr>
        <w:spacing w:after="0" w:line="240" w:lineRule="auto"/>
      </w:pPr>
      <w:r>
        <w:separator/>
      </w:r>
    </w:p>
  </w:endnote>
  <w:endnote w:type="continuationSeparator" w:id="0">
    <w:p w:rsidR="002F3E93" w:rsidRDefault="002F3E93" w:rsidP="0082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E93" w:rsidRDefault="002F3E93" w:rsidP="00823211">
      <w:pPr>
        <w:spacing w:after="0" w:line="240" w:lineRule="auto"/>
      </w:pPr>
      <w:r>
        <w:separator/>
      </w:r>
    </w:p>
  </w:footnote>
  <w:footnote w:type="continuationSeparator" w:id="0">
    <w:p w:rsidR="002F3E93" w:rsidRDefault="002F3E93" w:rsidP="00823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832285"/>
      <w:docPartObj>
        <w:docPartGallery w:val="Page Numbers (Top of Page)"/>
        <w:docPartUnique/>
      </w:docPartObj>
    </w:sdtPr>
    <w:sdtEndPr>
      <w:rPr>
        <w:color w:val="808080" w:themeColor="background1" w:themeShade="80"/>
        <w:spacing w:val="60"/>
      </w:rPr>
    </w:sdtEndPr>
    <w:sdtContent>
      <w:p w:rsidR="00BB4582" w:rsidRDefault="00BB4582">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90439C" w:rsidRPr="0090439C">
          <w:rPr>
            <w:b/>
            <w:bCs/>
            <w:noProof/>
          </w:rPr>
          <w:t>8</w:t>
        </w:r>
        <w:r>
          <w:rPr>
            <w:b/>
            <w:bCs/>
            <w:noProof/>
          </w:rPr>
          <w:fldChar w:fldCharType="end"/>
        </w:r>
        <w:r>
          <w:rPr>
            <w:b/>
            <w:bCs/>
          </w:rPr>
          <w:t xml:space="preserve"> | </w:t>
        </w:r>
        <w:r>
          <w:rPr>
            <w:color w:val="808080" w:themeColor="background1" w:themeShade="80"/>
            <w:spacing w:val="60"/>
          </w:rPr>
          <w:t>Page</w:t>
        </w:r>
      </w:p>
    </w:sdtContent>
  </w:sdt>
  <w:p w:rsidR="002F3E93" w:rsidRDefault="002F3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6DBA"/>
    <w:multiLevelType w:val="hybridMultilevel"/>
    <w:tmpl w:val="ABDE182E"/>
    <w:lvl w:ilvl="0" w:tplc="4BF0863A">
      <w:start w:val="6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141F3"/>
    <w:multiLevelType w:val="multilevel"/>
    <w:tmpl w:val="B606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539DD"/>
    <w:multiLevelType w:val="hybridMultilevel"/>
    <w:tmpl w:val="7396D11C"/>
    <w:lvl w:ilvl="0" w:tplc="795C3FBC">
      <w:start w:val="6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2C5356"/>
    <w:multiLevelType w:val="hybridMultilevel"/>
    <w:tmpl w:val="0554D046"/>
    <w:lvl w:ilvl="0" w:tplc="4BF0863A">
      <w:start w:val="6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D1760E"/>
    <w:multiLevelType w:val="multilevel"/>
    <w:tmpl w:val="7218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14"/>
    <w:rsid w:val="000505AF"/>
    <w:rsid w:val="000508FE"/>
    <w:rsid w:val="000954BE"/>
    <w:rsid w:val="000C511C"/>
    <w:rsid w:val="000D5CA4"/>
    <w:rsid w:val="00144620"/>
    <w:rsid w:val="00147521"/>
    <w:rsid w:val="001A79DC"/>
    <w:rsid w:val="001B2343"/>
    <w:rsid w:val="002225E6"/>
    <w:rsid w:val="00263B7B"/>
    <w:rsid w:val="0027722D"/>
    <w:rsid w:val="00277BB3"/>
    <w:rsid w:val="002A2D2B"/>
    <w:rsid w:val="002A645A"/>
    <w:rsid w:val="002C2459"/>
    <w:rsid w:val="002D7D78"/>
    <w:rsid w:val="002E1338"/>
    <w:rsid w:val="002E17CD"/>
    <w:rsid w:val="002F3E93"/>
    <w:rsid w:val="002F4C81"/>
    <w:rsid w:val="002F509F"/>
    <w:rsid w:val="00307060"/>
    <w:rsid w:val="00314626"/>
    <w:rsid w:val="00360E01"/>
    <w:rsid w:val="003A6F51"/>
    <w:rsid w:val="003D3640"/>
    <w:rsid w:val="003E7D66"/>
    <w:rsid w:val="0040542E"/>
    <w:rsid w:val="00416887"/>
    <w:rsid w:val="00427AA2"/>
    <w:rsid w:val="004315F4"/>
    <w:rsid w:val="00484038"/>
    <w:rsid w:val="004B139D"/>
    <w:rsid w:val="004B568F"/>
    <w:rsid w:val="004E74DD"/>
    <w:rsid w:val="00520718"/>
    <w:rsid w:val="00523523"/>
    <w:rsid w:val="005456B2"/>
    <w:rsid w:val="005827D5"/>
    <w:rsid w:val="005A25EB"/>
    <w:rsid w:val="005A339B"/>
    <w:rsid w:val="005B29B3"/>
    <w:rsid w:val="005C4BCB"/>
    <w:rsid w:val="005E0F7D"/>
    <w:rsid w:val="005F4290"/>
    <w:rsid w:val="005F4AD3"/>
    <w:rsid w:val="00603227"/>
    <w:rsid w:val="006059F1"/>
    <w:rsid w:val="00605AC4"/>
    <w:rsid w:val="006161CD"/>
    <w:rsid w:val="0061756A"/>
    <w:rsid w:val="006329DF"/>
    <w:rsid w:val="00653E2A"/>
    <w:rsid w:val="006A20AC"/>
    <w:rsid w:val="006A6E12"/>
    <w:rsid w:val="006C6711"/>
    <w:rsid w:val="006E2AA5"/>
    <w:rsid w:val="006F4A08"/>
    <w:rsid w:val="006F6605"/>
    <w:rsid w:val="006F7554"/>
    <w:rsid w:val="007226D5"/>
    <w:rsid w:val="007639CB"/>
    <w:rsid w:val="00783DDE"/>
    <w:rsid w:val="007A3EBD"/>
    <w:rsid w:val="007B2B73"/>
    <w:rsid w:val="007C4878"/>
    <w:rsid w:val="007D3115"/>
    <w:rsid w:val="007F281E"/>
    <w:rsid w:val="008216A9"/>
    <w:rsid w:val="00823211"/>
    <w:rsid w:val="00823A34"/>
    <w:rsid w:val="0085246C"/>
    <w:rsid w:val="00855A54"/>
    <w:rsid w:val="008A672D"/>
    <w:rsid w:val="008B2AA3"/>
    <w:rsid w:val="008C718A"/>
    <w:rsid w:val="008F283B"/>
    <w:rsid w:val="008F4874"/>
    <w:rsid w:val="0090439C"/>
    <w:rsid w:val="00935B08"/>
    <w:rsid w:val="00941DF7"/>
    <w:rsid w:val="0094538D"/>
    <w:rsid w:val="009849D9"/>
    <w:rsid w:val="0099215C"/>
    <w:rsid w:val="009A3D15"/>
    <w:rsid w:val="009D28D9"/>
    <w:rsid w:val="009F3385"/>
    <w:rsid w:val="00A04F45"/>
    <w:rsid w:val="00A31C63"/>
    <w:rsid w:val="00A32FE8"/>
    <w:rsid w:val="00A77C14"/>
    <w:rsid w:val="00AC1AEF"/>
    <w:rsid w:val="00AD12D2"/>
    <w:rsid w:val="00B36EF0"/>
    <w:rsid w:val="00B42A6A"/>
    <w:rsid w:val="00B54942"/>
    <w:rsid w:val="00B67C0A"/>
    <w:rsid w:val="00B95134"/>
    <w:rsid w:val="00BA230F"/>
    <w:rsid w:val="00BA3ECE"/>
    <w:rsid w:val="00BA75C2"/>
    <w:rsid w:val="00BB20CC"/>
    <w:rsid w:val="00BB4582"/>
    <w:rsid w:val="00BC103E"/>
    <w:rsid w:val="00BD45A2"/>
    <w:rsid w:val="00BD69E6"/>
    <w:rsid w:val="00BE6C6D"/>
    <w:rsid w:val="00BF0A5E"/>
    <w:rsid w:val="00C03708"/>
    <w:rsid w:val="00C46D98"/>
    <w:rsid w:val="00C65929"/>
    <w:rsid w:val="00C930D0"/>
    <w:rsid w:val="00CB79D0"/>
    <w:rsid w:val="00CC1B92"/>
    <w:rsid w:val="00CC5462"/>
    <w:rsid w:val="00CF6EDF"/>
    <w:rsid w:val="00D106B5"/>
    <w:rsid w:val="00D55199"/>
    <w:rsid w:val="00D5555D"/>
    <w:rsid w:val="00D807C0"/>
    <w:rsid w:val="00D8227D"/>
    <w:rsid w:val="00D82CD6"/>
    <w:rsid w:val="00DB7F3C"/>
    <w:rsid w:val="00DD6464"/>
    <w:rsid w:val="00DE154E"/>
    <w:rsid w:val="00DE3F78"/>
    <w:rsid w:val="00E0749A"/>
    <w:rsid w:val="00E44DAD"/>
    <w:rsid w:val="00EA3A6A"/>
    <w:rsid w:val="00EB3B9F"/>
    <w:rsid w:val="00EC704C"/>
    <w:rsid w:val="00ED6DEF"/>
    <w:rsid w:val="00EE6866"/>
    <w:rsid w:val="00EF24AC"/>
    <w:rsid w:val="00F4130F"/>
    <w:rsid w:val="00F6225B"/>
    <w:rsid w:val="00F919C5"/>
    <w:rsid w:val="00FC6275"/>
    <w:rsid w:val="00FD40FB"/>
    <w:rsid w:val="00FE6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77C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77C14"/>
    <w:rPr>
      <w:rFonts w:eastAsiaTheme="minorEastAsia"/>
      <w:lang w:val="en-US" w:eastAsia="ja-JP"/>
    </w:rPr>
  </w:style>
  <w:style w:type="paragraph" w:styleId="BalloonText">
    <w:name w:val="Balloon Text"/>
    <w:basedOn w:val="Normal"/>
    <w:link w:val="BalloonTextChar"/>
    <w:uiPriority w:val="99"/>
    <w:semiHidden/>
    <w:unhideWhenUsed/>
    <w:rsid w:val="00A7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C14"/>
    <w:rPr>
      <w:rFonts w:ascii="Tahoma" w:hAnsi="Tahoma" w:cs="Tahoma"/>
      <w:sz w:val="16"/>
      <w:szCs w:val="16"/>
    </w:rPr>
  </w:style>
  <w:style w:type="table" w:styleId="TableGrid">
    <w:name w:val="Table Grid"/>
    <w:basedOn w:val="TableNormal"/>
    <w:uiPriority w:val="59"/>
    <w:rsid w:val="00A3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83DD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E44DA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44D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1A79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60E01"/>
    <w:pPr>
      <w:ind w:left="720"/>
      <w:contextualSpacing/>
    </w:pPr>
  </w:style>
  <w:style w:type="paragraph" w:styleId="Header">
    <w:name w:val="header"/>
    <w:basedOn w:val="Normal"/>
    <w:link w:val="HeaderChar"/>
    <w:uiPriority w:val="99"/>
    <w:unhideWhenUsed/>
    <w:rsid w:val="00823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11"/>
  </w:style>
  <w:style w:type="paragraph" w:styleId="Footer">
    <w:name w:val="footer"/>
    <w:basedOn w:val="Normal"/>
    <w:link w:val="FooterChar"/>
    <w:uiPriority w:val="99"/>
    <w:unhideWhenUsed/>
    <w:rsid w:val="00823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77C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77C14"/>
    <w:rPr>
      <w:rFonts w:eastAsiaTheme="minorEastAsia"/>
      <w:lang w:val="en-US" w:eastAsia="ja-JP"/>
    </w:rPr>
  </w:style>
  <w:style w:type="paragraph" w:styleId="BalloonText">
    <w:name w:val="Balloon Text"/>
    <w:basedOn w:val="Normal"/>
    <w:link w:val="BalloonTextChar"/>
    <w:uiPriority w:val="99"/>
    <w:semiHidden/>
    <w:unhideWhenUsed/>
    <w:rsid w:val="00A7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C14"/>
    <w:rPr>
      <w:rFonts w:ascii="Tahoma" w:hAnsi="Tahoma" w:cs="Tahoma"/>
      <w:sz w:val="16"/>
      <w:szCs w:val="16"/>
    </w:rPr>
  </w:style>
  <w:style w:type="table" w:styleId="TableGrid">
    <w:name w:val="Table Grid"/>
    <w:basedOn w:val="TableNormal"/>
    <w:uiPriority w:val="59"/>
    <w:rsid w:val="00A3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83DD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E44DA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44D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1A79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60E01"/>
    <w:pPr>
      <w:ind w:left="720"/>
      <w:contextualSpacing/>
    </w:pPr>
  </w:style>
  <w:style w:type="paragraph" w:styleId="Header">
    <w:name w:val="header"/>
    <w:basedOn w:val="Normal"/>
    <w:link w:val="HeaderChar"/>
    <w:uiPriority w:val="99"/>
    <w:unhideWhenUsed/>
    <w:rsid w:val="00823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11"/>
  </w:style>
  <w:style w:type="paragraph" w:styleId="Footer">
    <w:name w:val="footer"/>
    <w:basedOn w:val="Normal"/>
    <w:link w:val="FooterChar"/>
    <w:uiPriority w:val="99"/>
    <w:unhideWhenUsed/>
    <w:rsid w:val="00823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7340">
      <w:bodyDiv w:val="1"/>
      <w:marLeft w:val="0"/>
      <w:marRight w:val="0"/>
      <w:marTop w:val="0"/>
      <w:marBottom w:val="0"/>
      <w:divBdr>
        <w:top w:val="none" w:sz="0" w:space="0" w:color="auto"/>
        <w:left w:val="none" w:sz="0" w:space="0" w:color="auto"/>
        <w:bottom w:val="none" w:sz="0" w:space="0" w:color="auto"/>
        <w:right w:val="none" w:sz="0" w:space="0" w:color="auto"/>
      </w:divBdr>
    </w:div>
    <w:div w:id="287859225">
      <w:bodyDiv w:val="1"/>
      <w:marLeft w:val="0"/>
      <w:marRight w:val="0"/>
      <w:marTop w:val="0"/>
      <w:marBottom w:val="0"/>
      <w:divBdr>
        <w:top w:val="none" w:sz="0" w:space="0" w:color="auto"/>
        <w:left w:val="none" w:sz="0" w:space="0" w:color="auto"/>
        <w:bottom w:val="none" w:sz="0" w:space="0" w:color="auto"/>
        <w:right w:val="none" w:sz="0" w:space="0" w:color="auto"/>
      </w:divBdr>
    </w:div>
    <w:div w:id="627971273">
      <w:bodyDiv w:val="1"/>
      <w:marLeft w:val="0"/>
      <w:marRight w:val="0"/>
      <w:marTop w:val="0"/>
      <w:marBottom w:val="0"/>
      <w:divBdr>
        <w:top w:val="none" w:sz="0" w:space="0" w:color="auto"/>
        <w:left w:val="none" w:sz="0" w:space="0" w:color="auto"/>
        <w:bottom w:val="none" w:sz="0" w:space="0" w:color="auto"/>
        <w:right w:val="none" w:sz="0" w:space="0" w:color="auto"/>
      </w:divBdr>
    </w:div>
    <w:div w:id="772945573">
      <w:bodyDiv w:val="1"/>
      <w:marLeft w:val="0"/>
      <w:marRight w:val="0"/>
      <w:marTop w:val="0"/>
      <w:marBottom w:val="0"/>
      <w:divBdr>
        <w:top w:val="none" w:sz="0" w:space="0" w:color="auto"/>
        <w:left w:val="none" w:sz="0" w:space="0" w:color="auto"/>
        <w:bottom w:val="none" w:sz="0" w:space="0" w:color="auto"/>
        <w:right w:val="none" w:sz="0" w:space="0" w:color="auto"/>
      </w:divBdr>
    </w:div>
    <w:div w:id="992486182">
      <w:bodyDiv w:val="1"/>
      <w:marLeft w:val="0"/>
      <w:marRight w:val="0"/>
      <w:marTop w:val="0"/>
      <w:marBottom w:val="0"/>
      <w:divBdr>
        <w:top w:val="none" w:sz="0" w:space="0" w:color="auto"/>
        <w:left w:val="none" w:sz="0" w:space="0" w:color="auto"/>
        <w:bottom w:val="none" w:sz="0" w:space="0" w:color="auto"/>
        <w:right w:val="none" w:sz="0" w:space="0" w:color="auto"/>
      </w:divBdr>
    </w:div>
    <w:div w:id="1058045059">
      <w:bodyDiv w:val="1"/>
      <w:marLeft w:val="0"/>
      <w:marRight w:val="0"/>
      <w:marTop w:val="0"/>
      <w:marBottom w:val="0"/>
      <w:divBdr>
        <w:top w:val="none" w:sz="0" w:space="0" w:color="auto"/>
        <w:left w:val="none" w:sz="0" w:space="0" w:color="auto"/>
        <w:bottom w:val="none" w:sz="0" w:space="0" w:color="auto"/>
        <w:right w:val="none" w:sz="0" w:space="0" w:color="auto"/>
      </w:divBdr>
    </w:div>
    <w:div w:id="140040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Kelvedon Park</CompanyAddress>
  <CompanyPhone>01268 201605</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17E21A-0D71-4F60-964B-4EEA1EC0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Essex ICV Annual Report</vt:lpstr>
    </vt:vector>
  </TitlesOfParts>
  <Company>Essex Office of the Police and Crime Commissioner</Company>
  <LinksUpToDate>false</LinksUpToDate>
  <CharactersWithSpaces>17183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ICV Annual Report</dc:title>
  <dc:creator>Liane Edwards 42076989</dc:creator>
  <cp:lastModifiedBy>Liane Edwards 42076989</cp:lastModifiedBy>
  <cp:revision>10</cp:revision>
  <cp:lastPrinted>2017-09-06T14:51:00Z</cp:lastPrinted>
  <dcterms:created xsi:type="dcterms:W3CDTF">2017-10-05T08:52:00Z</dcterms:created>
  <dcterms:modified xsi:type="dcterms:W3CDTF">2017-10-24T15:47:00Z</dcterms:modified>
</cp:coreProperties>
</file>