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B6" w:rsidRDefault="004F78B6" w:rsidP="00A258B9">
      <w:pPr>
        <w:rPr>
          <w:rFonts w:ascii="Arial" w:hAnsi="Arial" w:cs="Arial"/>
          <w:szCs w:val="24"/>
        </w:rPr>
      </w:pPr>
      <w:r>
        <w:rPr>
          <w:rFonts w:ascii="Arial" w:hAnsi="Arial" w:cs="Arial"/>
          <w:szCs w:val="24"/>
        </w:rPr>
        <w:t>Roger Hirst</w:t>
      </w:r>
    </w:p>
    <w:p w:rsidR="004F78B6" w:rsidRDefault="004F78B6" w:rsidP="00A258B9">
      <w:pPr>
        <w:rPr>
          <w:rFonts w:ascii="Arial" w:hAnsi="Arial" w:cs="Arial"/>
          <w:szCs w:val="24"/>
        </w:rPr>
      </w:pPr>
      <w:r>
        <w:rPr>
          <w:rFonts w:ascii="Arial" w:hAnsi="Arial" w:cs="Arial"/>
          <w:szCs w:val="24"/>
        </w:rPr>
        <w:t>Police</w:t>
      </w:r>
      <w:r w:rsidR="00B160C7">
        <w:rPr>
          <w:rFonts w:ascii="Arial" w:hAnsi="Arial" w:cs="Arial"/>
          <w:szCs w:val="24"/>
        </w:rPr>
        <w:t>, Fire</w:t>
      </w:r>
      <w:r>
        <w:rPr>
          <w:rFonts w:ascii="Arial" w:hAnsi="Arial" w:cs="Arial"/>
          <w:szCs w:val="24"/>
        </w:rPr>
        <w:t xml:space="preserve"> and Crime Commissioner</w:t>
      </w:r>
    </w:p>
    <w:p w:rsidR="00A5604A" w:rsidRPr="00D94069" w:rsidRDefault="004F78B6" w:rsidP="00A258B9">
      <w:pPr>
        <w:rPr>
          <w:rFonts w:ascii="Arial" w:hAnsi="Arial" w:cs="Arial"/>
          <w:szCs w:val="24"/>
        </w:rPr>
        <w:sectPr w:rsidR="00A5604A" w:rsidRPr="00D94069" w:rsidSect="0031548D">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2739" w:right="720" w:bottom="1440" w:left="1440" w:header="709" w:footer="709" w:gutter="0"/>
          <w:paperSrc w:first="260" w:other="15"/>
          <w:pgNumType w:start="1"/>
          <w:cols w:space="720"/>
          <w:formProt w:val="0"/>
          <w:titlePg/>
        </w:sectPr>
      </w:pPr>
      <w:r>
        <w:rPr>
          <w:rFonts w:ascii="Arial" w:hAnsi="Arial" w:cs="Arial"/>
          <w:szCs w:val="24"/>
        </w:rPr>
        <w:t>O</w:t>
      </w:r>
      <w:r w:rsidR="00103362">
        <w:rPr>
          <w:rFonts w:ascii="Arial" w:hAnsi="Arial" w:cs="Arial"/>
          <w:szCs w:val="24"/>
        </w:rPr>
        <w:t>P</w:t>
      </w:r>
      <w:r w:rsidR="00B160C7">
        <w:rPr>
          <w:rFonts w:ascii="Arial" w:hAnsi="Arial" w:cs="Arial"/>
          <w:szCs w:val="24"/>
        </w:rPr>
        <w:t>F</w:t>
      </w:r>
      <w:r w:rsidR="00D80249">
        <w:rPr>
          <w:rFonts w:ascii="Arial" w:hAnsi="Arial" w:cs="Arial"/>
          <w:szCs w:val="24"/>
        </w:rPr>
        <w:t>CC</w:t>
      </w:r>
    </w:p>
    <w:tbl>
      <w:tblPr>
        <w:tblW w:w="10368" w:type="dxa"/>
        <w:tblLayout w:type="fixed"/>
        <w:tblLook w:val="0000" w:firstRow="0" w:lastRow="0" w:firstColumn="0" w:lastColumn="0" w:noHBand="0" w:noVBand="0"/>
      </w:tblPr>
      <w:tblGrid>
        <w:gridCol w:w="5508"/>
        <w:gridCol w:w="4860"/>
      </w:tblGrid>
      <w:tr w:rsidR="00EA0A41" w:rsidRPr="00111C5F" w:rsidTr="007206D6">
        <w:trPr>
          <w:trHeight w:val="1134"/>
        </w:trPr>
        <w:tc>
          <w:tcPr>
            <w:tcW w:w="5508" w:type="dxa"/>
          </w:tcPr>
          <w:p w:rsidR="00B160C7" w:rsidRDefault="00B160C7" w:rsidP="00567D0D">
            <w:pPr>
              <w:rPr>
                <w:rFonts w:ascii="Arial" w:hAnsi="Arial" w:cs="Arial"/>
                <w:szCs w:val="24"/>
              </w:rPr>
            </w:pPr>
            <w:proofErr w:type="spellStart"/>
            <w:r>
              <w:rPr>
                <w:rFonts w:ascii="Arial" w:hAnsi="Arial" w:cs="Arial"/>
                <w:szCs w:val="24"/>
              </w:rPr>
              <w:lastRenderedPageBreak/>
              <w:t>Kelvedon</w:t>
            </w:r>
            <w:proofErr w:type="spellEnd"/>
            <w:r>
              <w:rPr>
                <w:rFonts w:ascii="Arial" w:hAnsi="Arial" w:cs="Arial"/>
                <w:szCs w:val="24"/>
              </w:rPr>
              <w:t xml:space="preserve"> Park</w:t>
            </w:r>
          </w:p>
          <w:p w:rsidR="00EA0A41" w:rsidRDefault="00B160C7" w:rsidP="00567D0D">
            <w:pPr>
              <w:rPr>
                <w:rFonts w:ascii="Arial" w:hAnsi="Arial" w:cs="Arial"/>
                <w:szCs w:val="24"/>
              </w:rPr>
            </w:pPr>
            <w:r>
              <w:rPr>
                <w:rFonts w:ascii="Arial" w:hAnsi="Arial" w:cs="Arial"/>
                <w:szCs w:val="24"/>
              </w:rPr>
              <w:t>London Road</w:t>
            </w:r>
          </w:p>
          <w:p w:rsidR="00B160C7" w:rsidRDefault="00B160C7" w:rsidP="00567D0D">
            <w:pPr>
              <w:rPr>
                <w:rFonts w:ascii="Arial" w:hAnsi="Arial" w:cs="Arial"/>
                <w:szCs w:val="24"/>
              </w:rPr>
            </w:pPr>
            <w:proofErr w:type="spellStart"/>
            <w:r>
              <w:rPr>
                <w:rFonts w:ascii="Arial" w:hAnsi="Arial" w:cs="Arial"/>
                <w:szCs w:val="24"/>
              </w:rPr>
              <w:t>Rivenhall</w:t>
            </w:r>
            <w:proofErr w:type="spellEnd"/>
          </w:p>
          <w:p w:rsidR="00103362" w:rsidRDefault="00B160C7" w:rsidP="00567D0D">
            <w:pPr>
              <w:rPr>
                <w:rFonts w:ascii="Arial" w:hAnsi="Arial" w:cs="Arial"/>
                <w:szCs w:val="24"/>
              </w:rPr>
            </w:pPr>
            <w:r>
              <w:rPr>
                <w:rFonts w:ascii="Arial" w:hAnsi="Arial" w:cs="Arial"/>
                <w:szCs w:val="24"/>
              </w:rPr>
              <w:t>Witham</w:t>
            </w:r>
          </w:p>
          <w:p w:rsidR="00103362" w:rsidRDefault="00103362" w:rsidP="00567D0D">
            <w:pPr>
              <w:rPr>
                <w:rFonts w:ascii="Arial" w:hAnsi="Arial" w:cs="Arial"/>
                <w:szCs w:val="24"/>
              </w:rPr>
            </w:pPr>
            <w:r w:rsidRPr="00103362">
              <w:rPr>
                <w:rFonts w:ascii="Arial" w:hAnsi="Arial" w:cs="Arial"/>
                <w:szCs w:val="24"/>
              </w:rPr>
              <w:t>Essex</w:t>
            </w:r>
          </w:p>
          <w:p w:rsidR="00103362" w:rsidRPr="00111C5F" w:rsidRDefault="00103362" w:rsidP="00B160C7">
            <w:pPr>
              <w:rPr>
                <w:rFonts w:ascii="Arial" w:hAnsi="Arial" w:cs="Arial"/>
                <w:szCs w:val="24"/>
              </w:rPr>
            </w:pPr>
            <w:r>
              <w:rPr>
                <w:rFonts w:ascii="Arial" w:hAnsi="Arial" w:cs="Arial"/>
                <w:szCs w:val="24"/>
              </w:rPr>
              <w:t>CM</w:t>
            </w:r>
            <w:r w:rsidR="00B160C7">
              <w:rPr>
                <w:rFonts w:ascii="Arial" w:hAnsi="Arial" w:cs="Arial"/>
                <w:szCs w:val="24"/>
              </w:rPr>
              <w:t>8</w:t>
            </w:r>
            <w:r>
              <w:rPr>
                <w:rFonts w:ascii="Arial" w:hAnsi="Arial" w:cs="Arial"/>
                <w:szCs w:val="24"/>
              </w:rPr>
              <w:t xml:space="preserve"> </w:t>
            </w:r>
            <w:r w:rsidR="00B160C7">
              <w:rPr>
                <w:rFonts w:ascii="Arial" w:hAnsi="Arial" w:cs="Arial"/>
                <w:szCs w:val="24"/>
              </w:rPr>
              <w:t>3HB</w:t>
            </w:r>
          </w:p>
        </w:tc>
        <w:tc>
          <w:tcPr>
            <w:tcW w:w="4860" w:type="dxa"/>
          </w:tcPr>
          <w:p w:rsidR="00EA0A41" w:rsidRDefault="00EA0A41" w:rsidP="007206D6">
            <w:pPr>
              <w:ind w:left="729"/>
              <w:rPr>
                <w:rFonts w:ascii="Arial" w:hAnsi="Arial" w:cs="Arial"/>
                <w:szCs w:val="24"/>
              </w:rPr>
            </w:pPr>
          </w:p>
          <w:p w:rsidR="00531CCE" w:rsidRDefault="00567D0D" w:rsidP="00AC63CF">
            <w:pPr>
              <w:tabs>
                <w:tab w:val="left" w:pos="729"/>
              </w:tabs>
              <w:rPr>
                <w:rFonts w:ascii="Arial" w:hAnsi="Arial" w:cs="Arial"/>
                <w:szCs w:val="24"/>
              </w:rPr>
            </w:pPr>
            <w:r>
              <w:rPr>
                <w:rFonts w:ascii="Arial" w:hAnsi="Arial" w:cs="Arial"/>
                <w:szCs w:val="24"/>
              </w:rPr>
              <w:tab/>
            </w:r>
          </w:p>
          <w:p w:rsidR="00B160C7" w:rsidRDefault="00B160C7" w:rsidP="00531CCE">
            <w:pPr>
              <w:tabs>
                <w:tab w:val="left" w:pos="729"/>
              </w:tabs>
              <w:ind w:left="729"/>
              <w:rPr>
                <w:rFonts w:ascii="Arial" w:hAnsi="Arial" w:cs="Arial"/>
                <w:szCs w:val="24"/>
              </w:rPr>
            </w:pPr>
            <w:bookmarkStart w:id="0" w:name="_GoBack"/>
            <w:bookmarkEnd w:id="0"/>
          </w:p>
          <w:p w:rsidR="00B160C7" w:rsidRDefault="00B160C7" w:rsidP="00531CCE">
            <w:pPr>
              <w:tabs>
                <w:tab w:val="left" w:pos="729"/>
              </w:tabs>
              <w:ind w:left="729"/>
              <w:rPr>
                <w:rFonts w:ascii="Arial" w:hAnsi="Arial" w:cs="Arial"/>
                <w:szCs w:val="24"/>
              </w:rPr>
            </w:pPr>
          </w:p>
          <w:p w:rsidR="00B160C7" w:rsidRDefault="00B160C7" w:rsidP="00531CCE">
            <w:pPr>
              <w:tabs>
                <w:tab w:val="left" w:pos="729"/>
              </w:tabs>
              <w:ind w:left="729"/>
              <w:rPr>
                <w:rFonts w:ascii="Arial" w:hAnsi="Arial" w:cs="Arial"/>
                <w:szCs w:val="24"/>
              </w:rPr>
            </w:pPr>
          </w:p>
          <w:p w:rsidR="00EA0A41" w:rsidRPr="00111C5F" w:rsidRDefault="00BE01F9" w:rsidP="00B160C7">
            <w:pPr>
              <w:tabs>
                <w:tab w:val="left" w:pos="729"/>
              </w:tabs>
              <w:ind w:left="729"/>
              <w:rPr>
                <w:rFonts w:ascii="Arial" w:hAnsi="Arial" w:cs="Arial"/>
                <w:szCs w:val="24"/>
              </w:rPr>
            </w:pPr>
            <w:r>
              <w:rPr>
                <w:rFonts w:ascii="Arial" w:hAnsi="Arial" w:cs="Arial"/>
                <w:szCs w:val="24"/>
              </w:rPr>
              <w:t>11</w:t>
            </w:r>
            <w:r w:rsidR="00110B8C">
              <w:rPr>
                <w:rFonts w:ascii="Arial" w:hAnsi="Arial" w:cs="Arial"/>
                <w:szCs w:val="24"/>
              </w:rPr>
              <w:t xml:space="preserve"> </w:t>
            </w:r>
            <w:r w:rsidR="00531CCE">
              <w:rPr>
                <w:rFonts w:ascii="Arial" w:hAnsi="Arial" w:cs="Arial"/>
                <w:szCs w:val="24"/>
              </w:rPr>
              <w:t>January 201</w:t>
            </w:r>
            <w:r w:rsidR="00B160C7">
              <w:rPr>
                <w:rFonts w:ascii="Arial" w:hAnsi="Arial" w:cs="Arial"/>
                <w:szCs w:val="24"/>
              </w:rPr>
              <w:t>8</w:t>
            </w:r>
          </w:p>
        </w:tc>
      </w:tr>
    </w:tbl>
    <w:p w:rsidR="00EA0A41" w:rsidRPr="00111C5F" w:rsidRDefault="00EA0A41" w:rsidP="00EA0A41">
      <w:pPr>
        <w:rPr>
          <w:rFonts w:ascii="Arial" w:hAnsi="Arial" w:cs="Arial"/>
          <w:szCs w:val="24"/>
        </w:rPr>
      </w:pPr>
    </w:p>
    <w:p w:rsidR="00EA0A41" w:rsidRPr="00111C5F" w:rsidRDefault="00EA0A41" w:rsidP="00EA0A41">
      <w:pPr>
        <w:rPr>
          <w:rFonts w:ascii="Arial" w:hAnsi="Arial" w:cs="Arial"/>
          <w:szCs w:val="24"/>
        </w:rPr>
      </w:pPr>
    </w:p>
    <w:p w:rsidR="003C252B" w:rsidRDefault="003C252B" w:rsidP="00AC63CF">
      <w:pPr>
        <w:rPr>
          <w:rFonts w:ascii="Arial" w:hAnsi="Arial" w:cs="Arial"/>
          <w:szCs w:val="24"/>
        </w:rPr>
      </w:pPr>
    </w:p>
    <w:p w:rsidR="00AC63CF" w:rsidRDefault="00AC63CF" w:rsidP="00AC63CF">
      <w:pPr>
        <w:rPr>
          <w:rFonts w:ascii="Arial" w:hAnsi="Arial" w:cs="Arial"/>
          <w:szCs w:val="24"/>
        </w:rPr>
      </w:pPr>
      <w:r w:rsidRPr="00ED4D45">
        <w:rPr>
          <w:rFonts w:ascii="Arial" w:hAnsi="Arial" w:cs="Arial"/>
          <w:szCs w:val="24"/>
        </w:rPr>
        <w:t>Dear Commissioner,</w:t>
      </w:r>
    </w:p>
    <w:p w:rsidR="00110B8C" w:rsidRDefault="00110B8C" w:rsidP="00AC63CF">
      <w:pPr>
        <w:rPr>
          <w:rFonts w:ascii="Arial" w:hAnsi="Arial" w:cs="Arial"/>
          <w:szCs w:val="24"/>
        </w:rPr>
      </w:pPr>
    </w:p>
    <w:p w:rsidR="005A0D9A" w:rsidRDefault="005A0D9A" w:rsidP="005A0D9A">
      <w:pPr>
        <w:jc w:val="both"/>
        <w:rPr>
          <w:rFonts w:ascii="Arial" w:hAnsi="Arial" w:cs="Arial"/>
          <w:szCs w:val="24"/>
        </w:rPr>
      </w:pPr>
      <w:r>
        <w:rPr>
          <w:rFonts w:ascii="Arial" w:hAnsi="Arial" w:cs="Arial"/>
          <w:szCs w:val="24"/>
        </w:rPr>
        <w:t>I wrote to you on 18</w:t>
      </w:r>
      <w:r w:rsidRPr="001E6141">
        <w:rPr>
          <w:rFonts w:ascii="Arial" w:hAnsi="Arial" w:cs="Arial"/>
          <w:szCs w:val="24"/>
          <w:vertAlign w:val="superscript"/>
        </w:rPr>
        <w:t>th</w:t>
      </w:r>
      <w:r>
        <w:rPr>
          <w:rFonts w:ascii="Arial" w:hAnsi="Arial" w:cs="Arial"/>
          <w:szCs w:val="24"/>
        </w:rPr>
        <w:t xml:space="preserve"> December </w:t>
      </w:r>
      <w:r w:rsidR="00240146">
        <w:rPr>
          <w:rFonts w:ascii="Arial" w:hAnsi="Arial" w:cs="Arial"/>
          <w:szCs w:val="24"/>
        </w:rPr>
        <w:t xml:space="preserve">2017 </w:t>
      </w:r>
      <w:r>
        <w:rPr>
          <w:rFonts w:ascii="Arial" w:hAnsi="Arial" w:cs="Arial"/>
          <w:szCs w:val="24"/>
        </w:rPr>
        <w:t xml:space="preserve">prior to the Home Office announcement stating that I believed an increase in the council tax precept for 2018/19 is essential if together we are to continue to deliver our public safety ambitions for Essex. </w:t>
      </w:r>
    </w:p>
    <w:p w:rsidR="00381BF8" w:rsidRDefault="00381BF8" w:rsidP="005A0D9A">
      <w:pPr>
        <w:jc w:val="both"/>
        <w:rPr>
          <w:rFonts w:ascii="Arial" w:hAnsi="Arial" w:cs="Arial"/>
          <w:szCs w:val="24"/>
        </w:rPr>
      </w:pPr>
    </w:p>
    <w:p w:rsidR="00381BF8" w:rsidRDefault="00381BF8" w:rsidP="005A0D9A">
      <w:pPr>
        <w:jc w:val="both"/>
        <w:rPr>
          <w:rFonts w:ascii="Arial" w:hAnsi="Arial" w:cs="Arial"/>
          <w:szCs w:val="24"/>
        </w:rPr>
      </w:pPr>
      <w:r>
        <w:rPr>
          <w:rFonts w:ascii="Arial" w:hAnsi="Arial" w:cs="Arial"/>
          <w:szCs w:val="24"/>
        </w:rPr>
        <w:t xml:space="preserve">Your published Police and Crime Plan clearly sets out the need to maintain local, visible and accessible community policing, respond to the growth in high harm and emerging crimes as well as investing in long term infrastructure, technology and skills base. </w:t>
      </w:r>
    </w:p>
    <w:p w:rsidR="005A0D9A" w:rsidRDefault="005A0D9A" w:rsidP="005A0D9A">
      <w:pPr>
        <w:jc w:val="both"/>
        <w:rPr>
          <w:rFonts w:ascii="Arial" w:hAnsi="Arial" w:cs="Arial"/>
          <w:szCs w:val="24"/>
        </w:rPr>
      </w:pPr>
    </w:p>
    <w:p w:rsidR="005A0D9A" w:rsidRDefault="005A0D9A" w:rsidP="005A0D9A">
      <w:pPr>
        <w:jc w:val="both"/>
        <w:rPr>
          <w:rFonts w:ascii="Arial" w:hAnsi="Arial" w:cs="Arial"/>
          <w:szCs w:val="24"/>
        </w:rPr>
      </w:pPr>
      <w:r>
        <w:rPr>
          <w:rFonts w:ascii="Arial" w:hAnsi="Arial" w:cs="Arial"/>
          <w:szCs w:val="24"/>
        </w:rPr>
        <w:t xml:space="preserve">This </w:t>
      </w:r>
      <w:r w:rsidR="00002D9E">
        <w:rPr>
          <w:rFonts w:ascii="Arial" w:hAnsi="Arial" w:cs="Arial"/>
          <w:szCs w:val="24"/>
        </w:rPr>
        <w:t>letter sets out my proposals following the</w:t>
      </w:r>
      <w:r w:rsidR="00640272">
        <w:rPr>
          <w:rFonts w:ascii="Arial" w:hAnsi="Arial" w:cs="Arial"/>
          <w:szCs w:val="24"/>
        </w:rPr>
        <w:t xml:space="preserve"> recent</w:t>
      </w:r>
      <w:r w:rsidR="00002D9E">
        <w:rPr>
          <w:rFonts w:ascii="Arial" w:hAnsi="Arial" w:cs="Arial"/>
          <w:szCs w:val="24"/>
        </w:rPr>
        <w:t xml:space="preserve"> Home Office announcement and </w:t>
      </w:r>
      <w:r w:rsidR="00640272">
        <w:rPr>
          <w:rFonts w:ascii="Arial" w:hAnsi="Arial" w:cs="Arial"/>
          <w:szCs w:val="24"/>
        </w:rPr>
        <w:t>the maximum additional funding</w:t>
      </w:r>
      <w:r w:rsidR="00240146">
        <w:rPr>
          <w:rFonts w:ascii="Arial" w:hAnsi="Arial" w:cs="Arial"/>
          <w:szCs w:val="24"/>
        </w:rPr>
        <w:t xml:space="preserve"> </w:t>
      </w:r>
      <w:r w:rsidR="00C731D7">
        <w:rPr>
          <w:rFonts w:ascii="Arial" w:hAnsi="Arial" w:cs="Arial"/>
          <w:szCs w:val="24"/>
        </w:rPr>
        <w:t>available</w:t>
      </w:r>
      <w:r w:rsidR="00640272">
        <w:rPr>
          <w:rFonts w:ascii="Arial" w:hAnsi="Arial" w:cs="Arial"/>
          <w:szCs w:val="24"/>
        </w:rPr>
        <w:t xml:space="preserve"> </w:t>
      </w:r>
      <w:r w:rsidR="00002D9E">
        <w:rPr>
          <w:rFonts w:ascii="Arial" w:hAnsi="Arial" w:cs="Arial"/>
          <w:szCs w:val="24"/>
        </w:rPr>
        <w:t>as a result o</w:t>
      </w:r>
      <w:r w:rsidR="00640272">
        <w:rPr>
          <w:rFonts w:ascii="Arial" w:hAnsi="Arial" w:cs="Arial"/>
          <w:szCs w:val="24"/>
        </w:rPr>
        <w:t xml:space="preserve">f: </w:t>
      </w:r>
      <w:r w:rsidR="00002D9E">
        <w:rPr>
          <w:rFonts w:ascii="Arial" w:hAnsi="Arial" w:cs="Arial"/>
          <w:szCs w:val="24"/>
        </w:rPr>
        <w:t>structural changes to force funding made by central government</w:t>
      </w:r>
      <w:r w:rsidR="0036448E">
        <w:rPr>
          <w:rFonts w:ascii="Arial" w:hAnsi="Arial" w:cs="Arial"/>
          <w:szCs w:val="24"/>
        </w:rPr>
        <w:t xml:space="preserve"> (an additional </w:t>
      </w:r>
      <w:r w:rsidR="0036448E" w:rsidRPr="00F56CDE">
        <w:rPr>
          <w:rFonts w:ascii="Arial" w:hAnsi="Arial" w:cs="Arial"/>
          <w:szCs w:val="24"/>
        </w:rPr>
        <w:t>£2.19</w:t>
      </w:r>
      <w:r w:rsidR="00002D9E" w:rsidRPr="00F56CDE">
        <w:rPr>
          <w:rFonts w:ascii="Arial" w:hAnsi="Arial" w:cs="Arial"/>
          <w:szCs w:val="24"/>
        </w:rPr>
        <w:t>2m)</w:t>
      </w:r>
      <w:r w:rsidR="00002D9E" w:rsidRPr="00F56CDE">
        <w:rPr>
          <w:rStyle w:val="FootnoteReference"/>
          <w:rFonts w:ascii="Arial" w:hAnsi="Arial" w:cs="Arial"/>
          <w:szCs w:val="24"/>
        </w:rPr>
        <w:footnoteReference w:id="1"/>
      </w:r>
      <w:r w:rsidR="00640272" w:rsidRPr="00F56CDE">
        <w:rPr>
          <w:rFonts w:ascii="Arial" w:hAnsi="Arial" w:cs="Arial"/>
          <w:szCs w:val="24"/>
        </w:rPr>
        <w:t>;</w:t>
      </w:r>
      <w:r w:rsidR="00002D9E">
        <w:rPr>
          <w:rFonts w:ascii="Arial" w:hAnsi="Arial" w:cs="Arial"/>
          <w:szCs w:val="24"/>
        </w:rPr>
        <w:t xml:space="preserve"> the maximum </w:t>
      </w:r>
      <w:r w:rsidR="00640272">
        <w:rPr>
          <w:rFonts w:ascii="Arial" w:hAnsi="Arial" w:cs="Arial"/>
          <w:szCs w:val="24"/>
        </w:rPr>
        <w:t xml:space="preserve">amount </w:t>
      </w:r>
      <w:r w:rsidR="00002D9E">
        <w:rPr>
          <w:rFonts w:ascii="Arial" w:hAnsi="Arial" w:cs="Arial"/>
          <w:szCs w:val="24"/>
        </w:rPr>
        <w:t xml:space="preserve">by which the precept </w:t>
      </w:r>
      <w:r w:rsidR="00640272">
        <w:rPr>
          <w:rFonts w:ascii="Arial" w:hAnsi="Arial" w:cs="Arial"/>
          <w:szCs w:val="24"/>
        </w:rPr>
        <w:t>could be raised</w:t>
      </w:r>
      <w:r w:rsidR="004C2D1E">
        <w:rPr>
          <w:rFonts w:ascii="Arial" w:hAnsi="Arial" w:cs="Arial"/>
          <w:szCs w:val="24"/>
        </w:rPr>
        <w:t xml:space="preserve"> without a referendum</w:t>
      </w:r>
      <w:r w:rsidR="002F1248">
        <w:rPr>
          <w:rFonts w:ascii="Arial" w:hAnsi="Arial" w:cs="Arial"/>
          <w:szCs w:val="24"/>
        </w:rPr>
        <w:t xml:space="preserve"> (£7.55</w:t>
      </w:r>
      <w:r w:rsidR="00002D9E">
        <w:rPr>
          <w:rFonts w:ascii="Arial" w:hAnsi="Arial" w:cs="Arial"/>
          <w:szCs w:val="24"/>
        </w:rPr>
        <w:t>7m)</w:t>
      </w:r>
      <w:r w:rsidR="00640272">
        <w:rPr>
          <w:rFonts w:ascii="Arial" w:hAnsi="Arial" w:cs="Arial"/>
          <w:szCs w:val="24"/>
        </w:rPr>
        <w:t>;</w:t>
      </w:r>
      <w:r w:rsidR="00002D9E">
        <w:rPr>
          <w:rFonts w:ascii="Arial" w:hAnsi="Arial" w:cs="Arial"/>
          <w:szCs w:val="24"/>
        </w:rPr>
        <w:t xml:space="preserve"> and the precept collection fu</w:t>
      </w:r>
      <w:r w:rsidR="00640272">
        <w:rPr>
          <w:rFonts w:ascii="Arial" w:hAnsi="Arial" w:cs="Arial"/>
          <w:szCs w:val="24"/>
        </w:rPr>
        <w:t>nd</w:t>
      </w:r>
      <w:r w:rsidR="00002D9E">
        <w:rPr>
          <w:rFonts w:ascii="Arial" w:hAnsi="Arial" w:cs="Arial"/>
          <w:szCs w:val="24"/>
        </w:rPr>
        <w:t xml:space="preserve"> surplus </w:t>
      </w:r>
      <w:r w:rsidR="00640272">
        <w:rPr>
          <w:rFonts w:ascii="Arial" w:hAnsi="Arial" w:cs="Arial"/>
          <w:szCs w:val="24"/>
        </w:rPr>
        <w:t>which has only recently been confirmed</w:t>
      </w:r>
      <w:r w:rsidR="00423D9F">
        <w:rPr>
          <w:rFonts w:ascii="Arial" w:hAnsi="Arial" w:cs="Arial"/>
          <w:szCs w:val="24"/>
        </w:rPr>
        <w:t xml:space="preserve"> (£0.252m)</w:t>
      </w:r>
      <w:r w:rsidR="00640272">
        <w:rPr>
          <w:rFonts w:ascii="Arial" w:hAnsi="Arial" w:cs="Arial"/>
          <w:szCs w:val="24"/>
        </w:rPr>
        <w:t>. In total, this represents maximum additional funding of £10.001m</w:t>
      </w:r>
      <w:r w:rsidR="007972DE">
        <w:rPr>
          <w:rFonts w:ascii="Arial" w:hAnsi="Arial" w:cs="Arial"/>
          <w:szCs w:val="24"/>
        </w:rPr>
        <w:t xml:space="preserve"> in 2018/19</w:t>
      </w:r>
      <w:r w:rsidR="00803B13">
        <w:rPr>
          <w:rFonts w:ascii="Arial" w:hAnsi="Arial" w:cs="Arial"/>
          <w:szCs w:val="24"/>
        </w:rPr>
        <w:t xml:space="preserve"> compared to our anticipated budget as </w:t>
      </w:r>
      <w:r w:rsidR="008966DA">
        <w:rPr>
          <w:rFonts w:ascii="Arial" w:hAnsi="Arial" w:cs="Arial"/>
          <w:szCs w:val="24"/>
        </w:rPr>
        <w:t xml:space="preserve">presented </w:t>
      </w:r>
      <w:r w:rsidR="00803B13">
        <w:rPr>
          <w:rFonts w:ascii="Arial" w:hAnsi="Arial" w:cs="Arial"/>
          <w:szCs w:val="24"/>
        </w:rPr>
        <w:t xml:space="preserve">at the Strategic Board on </w:t>
      </w:r>
      <w:r w:rsidR="00FF0EB7">
        <w:rPr>
          <w:rFonts w:ascii="Arial" w:hAnsi="Arial" w:cs="Arial"/>
          <w:szCs w:val="24"/>
        </w:rPr>
        <w:t>19</w:t>
      </w:r>
      <w:r w:rsidR="00381BF8">
        <w:rPr>
          <w:rFonts w:ascii="Arial" w:hAnsi="Arial" w:cs="Arial"/>
          <w:szCs w:val="24"/>
        </w:rPr>
        <w:t xml:space="preserve"> December (Table A).</w:t>
      </w:r>
    </w:p>
    <w:p w:rsidR="003C252B" w:rsidRDefault="003C252B" w:rsidP="00015EF7">
      <w:pPr>
        <w:rPr>
          <w:rFonts w:ascii="Arial" w:hAnsi="Arial" w:cs="Arial"/>
          <w:b/>
          <w:sz w:val="22"/>
          <w:szCs w:val="22"/>
        </w:rPr>
      </w:pPr>
    </w:p>
    <w:p w:rsidR="00C72603" w:rsidRDefault="00C72603" w:rsidP="00015EF7">
      <w:pPr>
        <w:rPr>
          <w:rFonts w:ascii="Arial" w:hAnsi="Arial" w:cs="Arial"/>
          <w:b/>
          <w:sz w:val="22"/>
          <w:szCs w:val="22"/>
        </w:rPr>
      </w:pPr>
    </w:p>
    <w:p w:rsidR="00C72603" w:rsidRDefault="00C72603" w:rsidP="00015EF7">
      <w:pPr>
        <w:rPr>
          <w:rFonts w:ascii="Arial" w:hAnsi="Arial" w:cs="Arial"/>
          <w:b/>
          <w:sz w:val="22"/>
          <w:szCs w:val="22"/>
        </w:rPr>
      </w:pPr>
    </w:p>
    <w:p w:rsidR="00015EF7" w:rsidRPr="004E79A3" w:rsidRDefault="00015EF7" w:rsidP="00015EF7">
      <w:pPr>
        <w:rPr>
          <w:rFonts w:ascii="Arial" w:hAnsi="Arial" w:cs="Arial"/>
          <w:b/>
          <w:sz w:val="22"/>
          <w:szCs w:val="22"/>
        </w:rPr>
      </w:pPr>
      <w:r w:rsidRPr="004E79A3">
        <w:rPr>
          <w:rFonts w:ascii="Arial" w:hAnsi="Arial" w:cs="Arial"/>
          <w:b/>
          <w:sz w:val="22"/>
          <w:szCs w:val="22"/>
        </w:rPr>
        <w:t>Table A: Maximum additional funding available 2018/19</w:t>
      </w:r>
    </w:p>
    <w:tbl>
      <w:tblPr>
        <w:tblStyle w:val="TableGrid"/>
        <w:tblW w:w="0" w:type="auto"/>
        <w:tblLook w:val="04A0" w:firstRow="1" w:lastRow="0" w:firstColumn="1" w:lastColumn="0" w:noHBand="0" w:noVBand="1"/>
      </w:tblPr>
      <w:tblGrid>
        <w:gridCol w:w="3081"/>
        <w:gridCol w:w="3082"/>
        <w:gridCol w:w="3082"/>
      </w:tblGrid>
      <w:tr w:rsidR="00015EF7" w:rsidTr="000655F2">
        <w:tc>
          <w:tcPr>
            <w:tcW w:w="3081" w:type="dxa"/>
          </w:tcPr>
          <w:p w:rsidR="00015EF7" w:rsidRPr="004E79A3" w:rsidRDefault="00015EF7" w:rsidP="000655F2">
            <w:pPr>
              <w:rPr>
                <w:rFonts w:ascii="Arial" w:hAnsi="Arial" w:cs="Arial"/>
                <w:b/>
                <w:szCs w:val="24"/>
              </w:rPr>
            </w:pPr>
            <w:r w:rsidRPr="004E79A3">
              <w:rPr>
                <w:rFonts w:ascii="Arial" w:hAnsi="Arial" w:cs="Arial"/>
                <w:b/>
                <w:szCs w:val="24"/>
              </w:rPr>
              <w:t>Funding source</w:t>
            </w:r>
          </w:p>
        </w:tc>
        <w:tc>
          <w:tcPr>
            <w:tcW w:w="3082" w:type="dxa"/>
          </w:tcPr>
          <w:p w:rsidR="00015EF7" w:rsidRPr="004E79A3" w:rsidRDefault="00015EF7" w:rsidP="000655F2">
            <w:pPr>
              <w:rPr>
                <w:rFonts w:ascii="Arial" w:hAnsi="Arial" w:cs="Arial"/>
                <w:b/>
                <w:szCs w:val="24"/>
              </w:rPr>
            </w:pPr>
            <w:r w:rsidRPr="004E79A3">
              <w:rPr>
                <w:rFonts w:ascii="Arial" w:hAnsi="Arial" w:cs="Arial"/>
                <w:b/>
                <w:szCs w:val="24"/>
              </w:rPr>
              <w:t>Funding 2018/19 (£m)</w:t>
            </w:r>
          </w:p>
        </w:tc>
        <w:tc>
          <w:tcPr>
            <w:tcW w:w="3082" w:type="dxa"/>
          </w:tcPr>
          <w:p w:rsidR="00015EF7" w:rsidRPr="004E79A3" w:rsidRDefault="00015EF7" w:rsidP="000655F2">
            <w:pPr>
              <w:rPr>
                <w:rFonts w:ascii="Arial" w:hAnsi="Arial" w:cs="Arial"/>
                <w:b/>
                <w:szCs w:val="24"/>
              </w:rPr>
            </w:pPr>
            <w:r w:rsidRPr="004E79A3">
              <w:rPr>
                <w:rFonts w:ascii="Arial" w:hAnsi="Arial" w:cs="Arial"/>
                <w:b/>
                <w:szCs w:val="24"/>
              </w:rPr>
              <w:t>Increase/decrease (£m)</w:t>
            </w:r>
            <w:r>
              <w:rPr>
                <w:rFonts w:ascii="Arial" w:hAnsi="Arial" w:cs="Arial"/>
                <w:b/>
                <w:szCs w:val="24"/>
              </w:rPr>
              <w:t>*</w:t>
            </w:r>
          </w:p>
        </w:tc>
      </w:tr>
      <w:tr w:rsidR="00015EF7" w:rsidTr="000655F2">
        <w:tc>
          <w:tcPr>
            <w:tcW w:w="3081" w:type="dxa"/>
          </w:tcPr>
          <w:p w:rsidR="00015EF7" w:rsidRDefault="00015EF7" w:rsidP="000655F2">
            <w:pPr>
              <w:rPr>
                <w:rFonts w:ascii="Arial" w:hAnsi="Arial" w:cs="Arial"/>
                <w:szCs w:val="24"/>
              </w:rPr>
            </w:pPr>
            <w:r>
              <w:rPr>
                <w:rFonts w:ascii="Arial" w:hAnsi="Arial" w:cs="Arial"/>
                <w:szCs w:val="24"/>
              </w:rPr>
              <w:t>Home Office core grant</w:t>
            </w:r>
          </w:p>
        </w:tc>
        <w:tc>
          <w:tcPr>
            <w:tcW w:w="3082" w:type="dxa"/>
          </w:tcPr>
          <w:p w:rsidR="00015EF7" w:rsidRDefault="00015EF7" w:rsidP="000655F2">
            <w:pPr>
              <w:jc w:val="center"/>
              <w:rPr>
                <w:rFonts w:ascii="Arial" w:hAnsi="Arial" w:cs="Arial"/>
                <w:szCs w:val="24"/>
              </w:rPr>
            </w:pPr>
            <w:r>
              <w:rPr>
                <w:rFonts w:ascii="Arial" w:hAnsi="Arial" w:cs="Arial"/>
                <w:szCs w:val="24"/>
              </w:rPr>
              <w:t>101.347</w:t>
            </w:r>
          </w:p>
        </w:tc>
        <w:tc>
          <w:tcPr>
            <w:tcW w:w="3082" w:type="dxa"/>
          </w:tcPr>
          <w:p w:rsidR="00015EF7" w:rsidRDefault="00015EF7" w:rsidP="000655F2">
            <w:pPr>
              <w:jc w:val="center"/>
              <w:rPr>
                <w:rFonts w:ascii="Arial" w:hAnsi="Arial" w:cs="Arial"/>
                <w:szCs w:val="24"/>
              </w:rPr>
            </w:pPr>
            <w:r>
              <w:rPr>
                <w:rFonts w:ascii="Arial" w:hAnsi="Arial" w:cs="Arial"/>
                <w:szCs w:val="24"/>
              </w:rPr>
              <w:t>+1.42</w:t>
            </w:r>
          </w:p>
        </w:tc>
      </w:tr>
      <w:tr w:rsidR="00015EF7" w:rsidTr="000655F2">
        <w:tc>
          <w:tcPr>
            <w:tcW w:w="3081" w:type="dxa"/>
          </w:tcPr>
          <w:p w:rsidR="00015EF7" w:rsidRDefault="00015EF7" w:rsidP="000655F2">
            <w:pPr>
              <w:rPr>
                <w:rFonts w:ascii="Arial" w:hAnsi="Arial" w:cs="Arial"/>
                <w:szCs w:val="24"/>
              </w:rPr>
            </w:pPr>
            <w:r>
              <w:rPr>
                <w:rFonts w:ascii="Arial" w:hAnsi="Arial" w:cs="Arial"/>
                <w:szCs w:val="24"/>
              </w:rPr>
              <w:t>Home Office formula</w:t>
            </w:r>
          </w:p>
        </w:tc>
        <w:tc>
          <w:tcPr>
            <w:tcW w:w="3082" w:type="dxa"/>
          </w:tcPr>
          <w:p w:rsidR="00015EF7" w:rsidRDefault="00015EF7" w:rsidP="000655F2">
            <w:pPr>
              <w:jc w:val="center"/>
              <w:rPr>
                <w:rFonts w:ascii="Arial" w:hAnsi="Arial" w:cs="Arial"/>
                <w:szCs w:val="24"/>
              </w:rPr>
            </w:pPr>
            <w:r>
              <w:rPr>
                <w:rFonts w:ascii="Arial" w:hAnsi="Arial" w:cs="Arial"/>
                <w:szCs w:val="24"/>
              </w:rPr>
              <w:t>55.149</w:t>
            </w:r>
          </w:p>
        </w:tc>
        <w:tc>
          <w:tcPr>
            <w:tcW w:w="3082" w:type="dxa"/>
          </w:tcPr>
          <w:p w:rsidR="00015EF7" w:rsidRDefault="00015EF7" w:rsidP="000655F2">
            <w:pPr>
              <w:jc w:val="center"/>
              <w:rPr>
                <w:rFonts w:ascii="Arial" w:hAnsi="Arial" w:cs="Arial"/>
                <w:szCs w:val="24"/>
              </w:rPr>
            </w:pPr>
            <w:r>
              <w:rPr>
                <w:rFonts w:ascii="Arial" w:hAnsi="Arial" w:cs="Arial"/>
                <w:szCs w:val="24"/>
              </w:rPr>
              <w:t>+0.772</w:t>
            </w:r>
          </w:p>
        </w:tc>
      </w:tr>
      <w:tr w:rsidR="00015EF7" w:rsidTr="000655F2">
        <w:tc>
          <w:tcPr>
            <w:tcW w:w="3081" w:type="dxa"/>
          </w:tcPr>
          <w:p w:rsidR="00015EF7" w:rsidRDefault="00015EF7" w:rsidP="000655F2">
            <w:pPr>
              <w:rPr>
                <w:rFonts w:ascii="Arial" w:hAnsi="Arial" w:cs="Arial"/>
                <w:szCs w:val="24"/>
              </w:rPr>
            </w:pPr>
            <w:r>
              <w:rPr>
                <w:rFonts w:ascii="Arial" w:hAnsi="Arial" w:cs="Arial"/>
                <w:szCs w:val="24"/>
              </w:rPr>
              <w:t>Council tax freeze</w:t>
            </w:r>
          </w:p>
        </w:tc>
        <w:tc>
          <w:tcPr>
            <w:tcW w:w="3082" w:type="dxa"/>
          </w:tcPr>
          <w:p w:rsidR="00015EF7" w:rsidRDefault="00015EF7" w:rsidP="000655F2">
            <w:pPr>
              <w:jc w:val="center"/>
              <w:rPr>
                <w:rFonts w:ascii="Arial" w:hAnsi="Arial" w:cs="Arial"/>
                <w:szCs w:val="24"/>
              </w:rPr>
            </w:pPr>
            <w:r>
              <w:rPr>
                <w:rFonts w:ascii="Arial" w:hAnsi="Arial" w:cs="Arial"/>
                <w:szCs w:val="24"/>
              </w:rPr>
              <w:t>2.133</w:t>
            </w:r>
          </w:p>
        </w:tc>
        <w:tc>
          <w:tcPr>
            <w:tcW w:w="3082" w:type="dxa"/>
          </w:tcPr>
          <w:p w:rsidR="00015EF7" w:rsidRDefault="00015EF7" w:rsidP="000655F2">
            <w:pPr>
              <w:jc w:val="center"/>
              <w:rPr>
                <w:rFonts w:ascii="Arial" w:hAnsi="Arial" w:cs="Arial"/>
                <w:szCs w:val="24"/>
              </w:rPr>
            </w:pPr>
            <w:r>
              <w:rPr>
                <w:rFonts w:ascii="Arial" w:hAnsi="Arial" w:cs="Arial"/>
                <w:szCs w:val="24"/>
              </w:rPr>
              <w:t>No change</w:t>
            </w:r>
          </w:p>
        </w:tc>
      </w:tr>
      <w:tr w:rsidR="00015EF7" w:rsidTr="000655F2">
        <w:tc>
          <w:tcPr>
            <w:tcW w:w="3081" w:type="dxa"/>
          </w:tcPr>
          <w:p w:rsidR="00015EF7" w:rsidRDefault="00015EF7" w:rsidP="000655F2">
            <w:pPr>
              <w:rPr>
                <w:rFonts w:ascii="Arial" w:hAnsi="Arial" w:cs="Arial"/>
                <w:szCs w:val="24"/>
              </w:rPr>
            </w:pPr>
            <w:r>
              <w:rPr>
                <w:rFonts w:ascii="Arial" w:hAnsi="Arial" w:cs="Arial"/>
                <w:szCs w:val="24"/>
              </w:rPr>
              <w:t>Council tax support</w:t>
            </w:r>
          </w:p>
        </w:tc>
        <w:tc>
          <w:tcPr>
            <w:tcW w:w="3082" w:type="dxa"/>
          </w:tcPr>
          <w:p w:rsidR="00015EF7" w:rsidRDefault="00015EF7" w:rsidP="000655F2">
            <w:pPr>
              <w:jc w:val="center"/>
              <w:rPr>
                <w:rFonts w:ascii="Arial" w:hAnsi="Arial" w:cs="Arial"/>
                <w:szCs w:val="24"/>
              </w:rPr>
            </w:pPr>
            <w:r>
              <w:rPr>
                <w:rFonts w:ascii="Arial" w:hAnsi="Arial" w:cs="Arial"/>
                <w:szCs w:val="24"/>
              </w:rPr>
              <w:t>10.992</w:t>
            </w:r>
          </w:p>
        </w:tc>
        <w:tc>
          <w:tcPr>
            <w:tcW w:w="3082" w:type="dxa"/>
          </w:tcPr>
          <w:p w:rsidR="00015EF7" w:rsidRDefault="00015EF7" w:rsidP="000655F2">
            <w:pPr>
              <w:jc w:val="center"/>
              <w:rPr>
                <w:rFonts w:ascii="Arial" w:hAnsi="Arial" w:cs="Arial"/>
                <w:szCs w:val="24"/>
              </w:rPr>
            </w:pPr>
            <w:r>
              <w:rPr>
                <w:rFonts w:ascii="Arial" w:hAnsi="Arial" w:cs="Arial"/>
                <w:szCs w:val="24"/>
              </w:rPr>
              <w:t>No change</w:t>
            </w:r>
          </w:p>
        </w:tc>
      </w:tr>
      <w:tr w:rsidR="00015EF7" w:rsidTr="000655F2">
        <w:tc>
          <w:tcPr>
            <w:tcW w:w="3081" w:type="dxa"/>
          </w:tcPr>
          <w:p w:rsidR="00015EF7" w:rsidRDefault="00015EF7" w:rsidP="000655F2">
            <w:pPr>
              <w:rPr>
                <w:rFonts w:ascii="Arial" w:hAnsi="Arial" w:cs="Arial"/>
                <w:szCs w:val="24"/>
              </w:rPr>
            </w:pPr>
            <w:r>
              <w:rPr>
                <w:rFonts w:ascii="Arial" w:hAnsi="Arial" w:cs="Arial"/>
                <w:szCs w:val="24"/>
              </w:rPr>
              <w:t>Maximum Precept</w:t>
            </w:r>
          </w:p>
        </w:tc>
        <w:tc>
          <w:tcPr>
            <w:tcW w:w="3082" w:type="dxa"/>
          </w:tcPr>
          <w:p w:rsidR="00015EF7" w:rsidRDefault="00015EF7" w:rsidP="000655F2">
            <w:pPr>
              <w:jc w:val="center"/>
              <w:rPr>
                <w:rFonts w:ascii="Arial" w:hAnsi="Arial" w:cs="Arial"/>
                <w:szCs w:val="24"/>
              </w:rPr>
            </w:pPr>
            <w:r>
              <w:rPr>
                <w:rFonts w:ascii="Arial" w:hAnsi="Arial" w:cs="Arial"/>
                <w:szCs w:val="24"/>
              </w:rPr>
              <w:t>106.246</w:t>
            </w:r>
          </w:p>
        </w:tc>
        <w:tc>
          <w:tcPr>
            <w:tcW w:w="3082" w:type="dxa"/>
          </w:tcPr>
          <w:p w:rsidR="00015EF7" w:rsidRDefault="00015EF7" w:rsidP="000655F2">
            <w:pPr>
              <w:jc w:val="center"/>
              <w:rPr>
                <w:rFonts w:ascii="Arial" w:hAnsi="Arial" w:cs="Arial"/>
                <w:szCs w:val="24"/>
              </w:rPr>
            </w:pPr>
            <w:r>
              <w:rPr>
                <w:rFonts w:ascii="Arial" w:hAnsi="Arial" w:cs="Arial"/>
                <w:szCs w:val="24"/>
              </w:rPr>
              <w:t>+7.557</w:t>
            </w:r>
          </w:p>
        </w:tc>
      </w:tr>
      <w:tr w:rsidR="00015EF7" w:rsidTr="000655F2">
        <w:tc>
          <w:tcPr>
            <w:tcW w:w="3081" w:type="dxa"/>
          </w:tcPr>
          <w:p w:rsidR="00015EF7" w:rsidRDefault="00015EF7" w:rsidP="000655F2">
            <w:pPr>
              <w:rPr>
                <w:rFonts w:ascii="Arial" w:hAnsi="Arial" w:cs="Arial"/>
                <w:szCs w:val="24"/>
              </w:rPr>
            </w:pPr>
            <w:r>
              <w:rPr>
                <w:rFonts w:ascii="Arial" w:hAnsi="Arial" w:cs="Arial"/>
                <w:szCs w:val="24"/>
              </w:rPr>
              <w:t>LA collection fund surplus</w:t>
            </w:r>
          </w:p>
        </w:tc>
        <w:tc>
          <w:tcPr>
            <w:tcW w:w="3082" w:type="dxa"/>
          </w:tcPr>
          <w:p w:rsidR="00015EF7" w:rsidRDefault="00015EF7" w:rsidP="000655F2">
            <w:pPr>
              <w:jc w:val="center"/>
              <w:rPr>
                <w:rFonts w:ascii="Arial" w:hAnsi="Arial" w:cs="Arial"/>
                <w:szCs w:val="24"/>
              </w:rPr>
            </w:pPr>
            <w:r>
              <w:rPr>
                <w:rFonts w:ascii="Arial" w:hAnsi="Arial" w:cs="Arial"/>
                <w:szCs w:val="24"/>
              </w:rPr>
              <w:t>1.562</w:t>
            </w:r>
          </w:p>
        </w:tc>
        <w:tc>
          <w:tcPr>
            <w:tcW w:w="3082" w:type="dxa"/>
          </w:tcPr>
          <w:p w:rsidR="00015EF7" w:rsidRDefault="00015EF7" w:rsidP="000655F2">
            <w:pPr>
              <w:jc w:val="center"/>
              <w:rPr>
                <w:rFonts w:ascii="Arial" w:hAnsi="Arial" w:cs="Arial"/>
                <w:szCs w:val="24"/>
              </w:rPr>
            </w:pPr>
            <w:r>
              <w:rPr>
                <w:rFonts w:ascii="Arial" w:hAnsi="Arial" w:cs="Arial"/>
                <w:szCs w:val="24"/>
              </w:rPr>
              <w:t>+0.252</w:t>
            </w:r>
          </w:p>
        </w:tc>
      </w:tr>
      <w:tr w:rsidR="00015EF7" w:rsidRPr="004E79A3" w:rsidTr="000655F2">
        <w:tc>
          <w:tcPr>
            <w:tcW w:w="3081" w:type="dxa"/>
          </w:tcPr>
          <w:p w:rsidR="00015EF7" w:rsidRPr="004E79A3" w:rsidRDefault="00015EF7" w:rsidP="000655F2">
            <w:pPr>
              <w:rPr>
                <w:rFonts w:ascii="Arial" w:hAnsi="Arial" w:cs="Arial"/>
                <w:b/>
                <w:i/>
                <w:szCs w:val="24"/>
              </w:rPr>
            </w:pPr>
            <w:r w:rsidRPr="004E79A3">
              <w:rPr>
                <w:rFonts w:ascii="Arial" w:hAnsi="Arial" w:cs="Arial"/>
                <w:b/>
                <w:i/>
                <w:szCs w:val="24"/>
              </w:rPr>
              <w:t>Total</w:t>
            </w:r>
          </w:p>
        </w:tc>
        <w:tc>
          <w:tcPr>
            <w:tcW w:w="3082" w:type="dxa"/>
          </w:tcPr>
          <w:p w:rsidR="00015EF7" w:rsidRPr="004E79A3" w:rsidRDefault="00015EF7" w:rsidP="000655F2">
            <w:pPr>
              <w:jc w:val="center"/>
              <w:rPr>
                <w:rFonts w:ascii="Arial" w:hAnsi="Arial" w:cs="Arial"/>
                <w:b/>
                <w:i/>
                <w:szCs w:val="24"/>
              </w:rPr>
            </w:pPr>
            <w:r w:rsidRPr="004E79A3">
              <w:rPr>
                <w:rFonts w:ascii="Arial" w:hAnsi="Arial" w:cs="Arial"/>
                <w:b/>
                <w:i/>
                <w:szCs w:val="24"/>
              </w:rPr>
              <w:t>277.429</w:t>
            </w:r>
          </w:p>
        </w:tc>
        <w:tc>
          <w:tcPr>
            <w:tcW w:w="3082" w:type="dxa"/>
          </w:tcPr>
          <w:p w:rsidR="00015EF7" w:rsidRPr="004E79A3" w:rsidRDefault="00015EF7" w:rsidP="000655F2">
            <w:pPr>
              <w:jc w:val="center"/>
              <w:rPr>
                <w:rFonts w:ascii="Arial" w:hAnsi="Arial" w:cs="Arial"/>
                <w:b/>
                <w:i/>
                <w:szCs w:val="24"/>
              </w:rPr>
            </w:pPr>
            <w:r w:rsidRPr="004E79A3">
              <w:rPr>
                <w:rFonts w:ascii="Arial" w:hAnsi="Arial" w:cs="Arial"/>
                <w:b/>
                <w:i/>
                <w:szCs w:val="24"/>
              </w:rPr>
              <w:t>+10.001</w:t>
            </w:r>
          </w:p>
        </w:tc>
      </w:tr>
    </w:tbl>
    <w:p w:rsidR="00015EF7" w:rsidRPr="004E79A3" w:rsidRDefault="00015EF7" w:rsidP="00015EF7">
      <w:pPr>
        <w:rPr>
          <w:rFonts w:ascii="Arial" w:hAnsi="Arial" w:cs="Arial"/>
          <w:b/>
          <w:i/>
          <w:szCs w:val="24"/>
        </w:rPr>
      </w:pPr>
    </w:p>
    <w:p w:rsidR="00015EF7" w:rsidRPr="00450468" w:rsidRDefault="00015EF7" w:rsidP="00015EF7">
      <w:pPr>
        <w:jc w:val="both"/>
        <w:rPr>
          <w:rFonts w:ascii="Arial" w:hAnsi="Arial" w:cs="Arial"/>
          <w:sz w:val="22"/>
          <w:szCs w:val="22"/>
        </w:rPr>
      </w:pPr>
      <w:r w:rsidRPr="0036448E">
        <w:rPr>
          <w:rFonts w:ascii="Arial" w:hAnsi="Arial" w:cs="Arial"/>
          <w:sz w:val="22"/>
          <w:szCs w:val="22"/>
        </w:rPr>
        <w:t>*Change c</w:t>
      </w:r>
      <w:r>
        <w:rPr>
          <w:rFonts w:ascii="Arial" w:hAnsi="Arial" w:cs="Arial"/>
          <w:sz w:val="22"/>
          <w:szCs w:val="22"/>
        </w:rPr>
        <w:t>alculates</w:t>
      </w:r>
      <w:r w:rsidRPr="0036448E">
        <w:rPr>
          <w:rFonts w:ascii="Arial" w:hAnsi="Arial" w:cs="Arial"/>
          <w:sz w:val="22"/>
          <w:szCs w:val="22"/>
        </w:rPr>
        <w:t xml:space="preserve"> the increase</w:t>
      </w:r>
      <w:r>
        <w:rPr>
          <w:rFonts w:ascii="Arial" w:hAnsi="Arial" w:cs="Arial"/>
          <w:sz w:val="22"/>
          <w:szCs w:val="22"/>
        </w:rPr>
        <w:t>/decrease</w:t>
      </w:r>
      <w:r w:rsidRPr="0036448E">
        <w:rPr>
          <w:rFonts w:ascii="Arial" w:hAnsi="Arial" w:cs="Arial"/>
          <w:sz w:val="22"/>
          <w:szCs w:val="22"/>
        </w:rPr>
        <w:t xml:space="preserve"> against the anticipated budget settlement prior to the new Home Office announcement.</w:t>
      </w:r>
    </w:p>
    <w:p w:rsidR="00015EF7" w:rsidRPr="003C252B" w:rsidRDefault="00015EF7" w:rsidP="00015EF7">
      <w:pPr>
        <w:jc w:val="both"/>
        <w:rPr>
          <w:rFonts w:ascii="Arial" w:hAnsi="Arial" w:cs="Arial"/>
          <w:b/>
          <w:sz w:val="20"/>
        </w:rPr>
      </w:pPr>
    </w:p>
    <w:p w:rsidR="00015EF7" w:rsidRPr="003C252B" w:rsidRDefault="00015EF7" w:rsidP="00FA2F7A">
      <w:pPr>
        <w:jc w:val="both"/>
        <w:rPr>
          <w:rFonts w:ascii="Arial" w:hAnsi="Arial" w:cs="Arial"/>
          <w:b/>
          <w:sz w:val="20"/>
        </w:rPr>
      </w:pPr>
    </w:p>
    <w:p w:rsidR="00C72603" w:rsidRDefault="00C72603" w:rsidP="00FA2F7A">
      <w:pPr>
        <w:jc w:val="both"/>
        <w:rPr>
          <w:rFonts w:ascii="Arial" w:hAnsi="Arial" w:cs="Arial"/>
          <w:b/>
        </w:rPr>
      </w:pPr>
    </w:p>
    <w:p w:rsidR="003F399B" w:rsidRPr="007972DE" w:rsidRDefault="003F399B" w:rsidP="00FA2F7A">
      <w:pPr>
        <w:jc w:val="both"/>
        <w:rPr>
          <w:rFonts w:ascii="Arial" w:hAnsi="Arial" w:cs="Arial"/>
          <w:b/>
        </w:rPr>
      </w:pPr>
      <w:r w:rsidRPr="007972DE">
        <w:rPr>
          <w:rFonts w:ascii="Arial" w:hAnsi="Arial" w:cs="Arial"/>
          <w:b/>
        </w:rPr>
        <w:t>2018/19 budget deficit</w:t>
      </w:r>
    </w:p>
    <w:p w:rsidR="003F399B" w:rsidRPr="003C252B" w:rsidRDefault="003F399B" w:rsidP="00FA2F7A">
      <w:pPr>
        <w:jc w:val="both"/>
        <w:rPr>
          <w:rFonts w:ascii="Arial" w:hAnsi="Arial" w:cs="Arial"/>
          <w:sz w:val="20"/>
        </w:rPr>
      </w:pPr>
    </w:p>
    <w:p w:rsidR="00F556C9" w:rsidRPr="003C252B" w:rsidRDefault="00F556C9" w:rsidP="00FA2F7A">
      <w:pPr>
        <w:jc w:val="both"/>
        <w:rPr>
          <w:rFonts w:ascii="Arial" w:hAnsi="Arial" w:cs="Arial"/>
          <w:sz w:val="20"/>
        </w:rPr>
      </w:pPr>
    </w:p>
    <w:p w:rsidR="00C72603" w:rsidRDefault="00C72603" w:rsidP="00FA2F7A">
      <w:pPr>
        <w:jc w:val="both"/>
        <w:rPr>
          <w:rFonts w:ascii="Arial" w:hAnsi="Arial" w:cs="Arial"/>
          <w:szCs w:val="24"/>
        </w:rPr>
      </w:pPr>
    </w:p>
    <w:p w:rsidR="00BE01F9" w:rsidRPr="00955674" w:rsidRDefault="003F399B" w:rsidP="00FA2F7A">
      <w:pPr>
        <w:jc w:val="both"/>
        <w:rPr>
          <w:rFonts w:ascii="Arial" w:hAnsi="Arial" w:cs="Arial"/>
        </w:rPr>
      </w:pPr>
      <w:r w:rsidRPr="00955674">
        <w:rPr>
          <w:rFonts w:ascii="Arial" w:hAnsi="Arial" w:cs="Arial"/>
          <w:szCs w:val="24"/>
        </w:rPr>
        <w:t>Prior to the Home Office announcement the force had not managed to produce a balanced budget for 2018/19</w:t>
      </w:r>
      <w:r w:rsidR="009071DE" w:rsidRPr="00955674">
        <w:rPr>
          <w:rFonts w:ascii="Arial" w:hAnsi="Arial" w:cs="Arial"/>
          <w:szCs w:val="24"/>
        </w:rPr>
        <w:t xml:space="preserve"> despite a rigorous process of challenging cost pressures and ident</w:t>
      </w:r>
      <w:r w:rsidR="00F556C9" w:rsidRPr="00955674">
        <w:rPr>
          <w:rFonts w:ascii="Arial" w:hAnsi="Arial" w:cs="Arial"/>
          <w:szCs w:val="24"/>
        </w:rPr>
        <w:t>i</w:t>
      </w:r>
      <w:r w:rsidR="009071DE" w:rsidRPr="00955674">
        <w:rPr>
          <w:rFonts w:ascii="Arial" w:hAnsi="Arial" w:cs="Arial"/>
          <w:szCs w:val="24"/>
        </w:rPr>
        <w:t>fying efficiencies.</w:t>
      </w:r>
      <w:r w:rsidRPr="00955674">
        <w:rPr>
          <w:rFonts w:ascii="Arial" w:hAnsi="Arial" w:cs="Arial"/>
          <w:szCs w:val="24"/>
        </w:rPr>
        <w:t xml:space="preserve"> </w:t>
      </w:r>
      <w:r w:rsidR="00BE01F9" w:rsidRPr="00955674">
        <w:rPr>
          <w:rFonts w:ascii="Arial" w:hAnsi="Arial" w:cs="Arial"/>
          <w:szCs w:val="24"/>
        </w:rPr>
        <w:t>The full details were set out to your office a</w:t>
      </w:r>
      <w:r w:rsidRPr="00955674">
        <w:rPr>
          <w:rFonts w:ascii="Arial" w:hAnsi="Arial" w:cs="Arial"/>
          <w:szCs w:val="24"/>
        </w:rPr>
        <w:t xml:space="preserve">t the Strategic Board </w:t>
      </w:r>
      <w:r w:rsidR="008966DA" w:rsidRPr="00955674">
        <w:rPr>
          <w:rFonts w:ascii="Arial" w:hAnsi="Arial" w:cs="Arial"/>
          <w:szCs w:val="24"/>
        </w:rPr>
        <w:t>(mentioned above)</w:t>
      </w:r>
      <w:r w:rsidR="00640272" w:rsidRPr="00955674">
        <w:rPr>
          <w:rFonts w:ascii="Arial" w:hAnsi="Arial" w:cs="Arial"/>
        </w:rPr>
        <w:t xml:space="preserve">. </w:t>
      </w:r>
    </w:p>
    <w:p w:rsidR="00BE01F9" w:rsidRDefault="00BE01F9" w:rsidP="00FA2F7A">
      <w:pPr>
        <w:jc w:val="both"/>
        <w:rPr>
          <w:rFonts w:ascii="Arial" w:hAnsi="Arial" w:cs="Arial"/>
        </w:rPr>
      </w:pPr>
    </w:p>
    <w:p w:rsidR="00D61597" w:rsidRDefault="00D61597" w:rsidP="00D61597">
      <w:pPr>
        <w:jc w:val="both"/>
        <w:rPr>
          <w:rFonts w:ascii="Arial" w:hAnsi="Arial" w:cs="Arial"/>
        </w:rPr>
      </w:pPr>
      <w:r w:rsidRPr="0026034A">
        <w:rPr>
          <w:rFonts w:ascii="Arial" w:hAnsi="Arial" w:cs="Arial"/>
        </w:rPr>
        <w:t xml:space="preserve">The deficit </w:t>
      </w:r>
      <w:r>
        <w:rPr>
          <w:rFonts w:ascii="Arial" w:hAnsi="Arial" w:cs="Arial"/>
        </w:rPr>
        <w:t>presented at</w:t>
      </w:r>
      <w:r w:rsidRPr="0026034A">
        <w:rPr>
          <w:rFonts w:ascii="Arial" w:hAnsi="Arial" w:cs="Arial"/>
        </w:rPr>
        <w:t xml:space="preserve"> the Strategic B</w:t>
      </w:r>
      <w:r>
        <w:rPr>
          <w:rFonts w:ascii="Arial" w:hAnsi="Arial" w:cs="Arial"/>
        </w:rPr>
        <w:t>oard was £9.736</w:t>
      </w:r>
      <w:r w:rsidRPr="0026034A">
        <w:rPr>
          <w:rFonts w:ascii="Arial" w:hAnsi="Arial" w:cs="Arial"/>
        </w:rPr>
        <w:t xml:space="preserve">m </w:t>
      </w:r>
      <w:r>
        <w:rPr>
          <w:rFonts w:ascii="Arial" w:hAnsi="Arial" w:cs="Arial"/>
        </w:rPr>
        <w:t>but this included</w:t>
      </w:r>
      <w:r w:rsidRPr="0026034A">
        <w:rPr>
          <w:rFonts w:ascii="Arial" w:hAnsi="Arial" w:cs="Arial"/>
        </w:rPr>
        <w:t xml:space="preserve"> </w:t>
      </w:r>
      <w:r>
        <w:rPr>
          <w:rFonts w:ascii="Arial" w:hAnsi="Arial" w:cs="Arial"/>
        </w:rPr>
        <w:t>£1m of revenue into capital and £1.378m to support the additional officer forecast as a result of running in excess of the previously agreed establishment of 2,850 officers (Table B).</w:t>
      </w:r>
    </w:p>
    <w:p w:rsidR="00D61597" w:rsidRPr="00955674" w:rsidRDefault="00D61597" w:rsidP="00FA2F7A">
      <w:pPr>
        <w:jc w:val="both"/>
        <w:rPr>
          <w:rFonts w:ascii="Arial" w:hAnsi="Arial" w:cs="Arial"/>
        </w:rPr>
      </w:pPr>
    </w:p>
    <w:p w:rsidR="00322C73" w:rsidRDefault="00B63C3B" w:rsidP="00FA2F7A">
      <w:pPr>
        <w:jc w:val="both"/>
        <w:rPr>
          <w:rFonts w:ascii="Arial" w:hAnsi="Arial" w:cs="Arial"/>
        </w:rPr>
      </w:pPr>
      <w:r>
        <w:rPr>
          <w:rFonts w:ascii="Arial" w:hAnsi="Arial" w:cs="Arial"/>
        </w:rPr>
        <w:t>In summary and p</w:t>
      </w:r>
      <w:r w:rsidR="007972DE" w:rsidRPr="00955674">
        <w:rPr>
          <w:rFonts w:ascii="Arial" w:hAnsi="Arial" w:cs="Arial"/>
        </w:rPr>
        <w:t xml:space="preserve">rior to any </w:t>
      </w:r>
      <w:r w:rsidR="0068665D">
        <w:rPr>
          <w:rFonts w:ascii="Arial" w:hAnsi="Arial" w:cs="Arial"/>
        </w:rPr>
        <w:t xml:space="preserve">new </w:t>
      </w:r>
      <w:r w:rsidR="007972DE" w:rsidRPr="00955674">
        <w:rPr>
          <w:rFonts w:ascii="Arial" w:hAnsi="Arial" w:cs="Arial"/>
        </w:rPr>
        <w:t>investment</w:t>
      </w:r>
      <w:r w:rsidR="004C2D1E" w:rsidRPr="00955674">
        <w:rPr>
          <w:rFonts w:ascii="Arial" w:hAnsi="Arial" w:cs="Arial"/>
        </w:rPr>
        <w:t>,</w:t>
      </w:r>
      <w:r w:rsidR="007972DE" w:rsidRPr="00955674">
        <w:rPr>
          <w:rFonts w:ascii="Arial" w:hAnsi="Arial" w:cs="Arial"/>
        </w:rPr>
        <w:t xml:space="preserve"> th</w:t>
      </w:r>
      <w:r w:rsidR="00313686" w:rsidRPr="00955674">
        <w:rPr>
          <w:rFonts w:ascii="Arial" w:hAnsi="Arial" w:cs="Arial"/>
        </w:rPr>
        <w:t>e</w:t>
      </w:r>
      <w:r w:rsidR="007972DE" w:rsidRPr="00955674">
        <w:rPr>
          <w:rFonts w:ascii="Arial" w:hAnsi="Arial" w:cs="Arial"/>
        </w:rPr>
        <w:t xml:space="preserve"> </w:t>
      </w:r>
      <w:r w:rsidR="00313686" w:rsidRPr="00955674">
        <w:rPr>
          <w:rFonts w:ascii="Arial" w:hAnsi="Arial" w:cs="Arial"/>
        </w:rPr>
        <w:t>initial deficit for 2018/19 was</w:t>
      </w:r>
      <w:r w:rsidR="007972DE" w:rsidRPr="00955674">
        <w:rPr>
          <w:rFonts w:ascii="Arial" w:hAnsi="Arial" w:cs="Arial"/>
        </w:rPr>
        <w:t xml:space="preserve"> </w:t>
      </w:r>
      <w:r w:rsidR="00E56811" w:rsidRPr="00955674">
        <w:rPr>
          <w:rFonts w:ascii="Arial" w:hAnsi="Arial" w:cs="Arial"/>
        </w:rPr>
        <w:t>£</w:t>
      </w:r>
      <w:r w:rsidR="00C26657" w:rsidRPr="00955674">
        <w:rPr>
          <w:rFonts w:ascii="Arial" w:hAnsi="Arial" w:cs="Arial"/>
        </w:rPr>
        <w:t>7.358</w:t>
      </w:r>
      <w:r w:rsidR="00313686" w:rsidRPr="00955674">
        <w:rPr>
          <w:rFonts w:ascii="Arial" w:hAnsi="Arial" w:cs="Arial"/>
        </w:rPr>
        <w:t>m</w:t>
      </w:r>
      <w:r w:rsidR="00EC5811">
        <w:rPr>
          <w:rFonts w:ascii="Arial" w:hAnsi="Arial" w:cs="Arial"/>
        </w:rPr>
        <w:t>.</w:t>
      </w:r>
      <w:r>
        <w:rPr>
          <w:rFonts w:ascii="Arial" w:hAnsi="Arial" w:cs="Arial"/>
        </w:rPr>
        <w:t xml:space="preserve"> </w:t>
      </w:r>
      <w:r w:rsidR="00D95C01">
        <w:rPr>
          <w:rFonts w:ascii="Arial" w:hAnsi="Arial" w:cs="Arial"/>
        </w:rPr>
        <w:t>This comprised of £1.762m of unavoidable inflation and c</w:t>
      </w:r>
      <w:r w:rsidR="00176603">
        <w:rPr>
          <w:rFonts w:ascii="Arial" w:hAnsi="Arial" w:cs="Arial"/>
        </w:rPr>
        <w:t>ost pressures</w:t>
      </w:r>
      <w:r w:rsidR="0068665D">
        <w:rPr>
          <w:rFonts w:ascii="Arial" w:hAnsi="Arial" w:cs="Arial"/>
        </w:rPr>
        <w:t>,</w:t>
      </w:r>
      <w:r w:rsidR="00176603">
        <w:rPr>
          <w:rFonts w:ascii="Arial" w:hAnsi="Arial" w:cs="Arial"/>
        </w:rPr>
        <w:t xml:space="preserve"> and £5.813m of previously approved</w:t>
      </w:r>
      <w:r w:rsidR="00D95C01">
        <w:rPr>
          <w:rFonts w:ascii="Arial" w:hAnsi="Arial" w:cs="Arial"/>
        </w:rPr>
        <w:t xml:space="preserve"> investment. </w:t>
      </w:r>
      <w:r w:rsidR="00176603">
        <w:rPr>
          <w:rFonts w:ascii="Arial" w:hAnsi="Arial" w:cs="Arial"/>
        </w:rPr>
        <w:t>(This is detailed in r</w:t>
      </w:r>
      <w:r w:rsidR="00867EFA">
        <w:rPr>
          <w:rFonts w:ascii="Arial" w:hAnsi="Arial" w:cs="Arial"/>
        </w:rPr>
        <w:t xml:space="preserve">ows 14 to 24 </w:t>
      </w:r>
      <w:r w:rsidR="00176603">
        <w:rPr>
          <w:rFonts w:ascii="Arial" w:hAnsi="Arial" w:cs="Arial"/>
        </w:rPr>
        <w:t>of Appendix A</w:t>
      </w:r>
      <w:r w:rsidR="00094D00">
        <w:rPr>
          <w:rFonts w:ascii="Arial" w:hAnsi="Arial" w:cs="Arial"/>
        </w:rPr>
        <w:t xml:space="preserve"> and includes</w:t>
      </w:r>
      <w:r w:rsidR="0068665D">
        <w:rPr>
          <w:rFonts w:ascii="Arial" w:hAnsi="Arial" w:cs="Arial"/>
        </w:rPr>
        <w:t xml:space="preserve"> the</w:t>
      </w:r>
      <w:r w:rsidR="00094D00">
        <w:rPr>
          <w:rFonts w:ascii="Arial" w:hAnsi="Arial" w:cs="Arial"/>
        </w:rPr>
        <w:t xml:space="preserve"> £2.378m detailed above.) </w:t>
      </w:r>
      <w:r>
        <w:rPr>
          <w:rFonts w:ascii="Arial" w:hAnsi="Arial" w:cs="Arial"/>
        </w:rPr>
        <w:t xml:space="preserve">This </w:t>
      </w:r>
      <w:r w:rsidRPr="00955674">
        <w:rPr>
          <w:rFonts w:ascii="Arial" w:hAnsi="Arial" w:cs="Arial"/>
        </w:rPr>
        <w:t xml:space="preserve">reduced to £3.814m </w:t>
      </w:r>
      <w:r w:rsidRPr="00955674">
        <w:rPr>
          <w:rFonts w:ascii="Arial" w:hAnsi="Arial" w:cs="Arial"/>
          <w:szCs w:val="24"/>
        </w:rPr>
        <w:t xml:space="preserve">as a result of planned efficiencies for 2018/19 totalling £3.544m. The budget papers submitted to the Strategic Board </w:t>
      </w:r>
      <w:r w:rsidR="00A850EA">
        <w:rPr>
          <w:rFonts w:ascii="Arial" w:hAnsi="Arial" w:cs="Arial"/>
          <w:szCs w:val="24"/>
        </w:rPr>
        <w:t xml:space="preserve">include </w:t>
      </w:r>
      <w:r w:rsidR="003C252B">
        <w:rPr>
          <w:rFonts w:ascii="Arial" w:hAnsi="Arial" w:cs="Arial"/>
          <w:szCs w:val="24"/>
        </w:rPr>
        <w:t xml:space="preserve">details of the cost pressures and investments </w:t>
      </w:r>
      <w:r w:rsidR="00BC1B54">
        <w:rPr>
          <w:rFonts w:ascii="Arial" w:hAnsi="Arial" w:cs="Arial"/>
          <w:szCs w:val="24"/>
        </w:rPr>
        <w:t xml:space="preserve">and </w:t>
      </w:r>
      <w:r w:rsidRPr="00955674">
        <w:rPr>
          <w:rFonts w:ascii="Arial" w:hAnsi="Arial" w:cs="Arial"/>
          <w:szCs w:val="24"/>
        </w:rPr>
        <w:t>are at Appendix A.</w:t>
      </w:r>
    </w:p>
    <w:p w:rsidR="00C72603" w:rsidRPr="00C72603" w:rsidRDefault="00C72603" w:rsidP="00FA2F7A">
      <w:pPr>
        <w:jc w:val="both"/>
        <w:rPr>
          <w:rFonts w:ascii="Arial" w:hAnsi="Arial" w:cs="Arial"/>
        </w:rPr>
      </w:pPr>
    </w:p>
    <w:p w:rsidR="00C72603" w:rsidRDefault="00C72603">
      <w:pPr>
        <w:rPr>
          <w:rFonts w:ascii="Arial" w:hAnsi="Arial" w:cs="Arial"/>
          <w:b/>
          <w:sz w:val="22"/>
          <w:szCs w:val="22"/>
        </w:rPr>
      </w:pPr>
      <w:r>
        <w:rPr>
          <w:rFonts w:ascii="Arial" w:hAnsi="Arial" w:cs="Arial"/>
          <w:b/>
          <w:sz w:val="22"/>
          <w:szCs w:val="22"/>
        </w:rPr>
        <w:br w:type="page"/>
      </w:r>
    </w:p>
    <w:p w:rsidR="00B63C3B" w:rsidRPr="00322C73" w:rsidRDefault="00B63C3B" w:rsidP="00B63C3B">
      <w:pPr>
        <w:jc w:val="both"/>
        <w:rPr>
          <w:rFonts w:ascii="Arial" w:hAnsi="Arial" w:cs="Arial"/>
          <w:b/>
          <w:sz w:val="22"/>
          <w:szCs w:val="22"/>
        </w:rPr>
      </w:pPr>
      <w:r w:rsidRPr="00322C73">
        <w:rPr>
          <w:rFonts w:ascii="Arial" w:hAnsi="Arial" w:cs="Arial"/>
          <w:b/>
          <w:sz w:val="22"/>
          <w:szCs w:val="22"/>
        </w:rPr>
        <w:lastRenderedPageBreak/>
        <w:t>Table B: Deficit calculations</w:t>
      </w:r>
    </w:p>
    <w:tbl>
      <w:tblPr>
        <w:tblW w:w="5969" w:type="dxa"/>
        <w:tblInd w:w="93" w:type="dxa"/>
        <w:tblLook w:val="04A0" w:firstRow="1" w:lastRow="0" w:firstColumn="1" w:lastColumn="0" w:noHBand="0" w:noVBand="1"/>
      </w:tblPr>
      <w:tblGrid>
        <w:gridCol w:w="3920"/>
        <w:gridCol w:w="2049"/>
      </w:tblGrid>
      <w:tr w:rsidR="00B63C3B" w:rsidRPr="00015EF7" w:rsidTr="00322C73">
        <w:trPr>
          <w:trHeight w:val="288"/>
        </w:trPr>
        <w:tc>
          <w:tcPr>
            <w:tcW w:w="3920" w:type="dxa"/>
            <w:tcBorders>
              <w:top w:val="single" w:sz="4" w:space="0" w:color="auto"/>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b/>
                <w:bCs/>
                <w:color w:val="000000"/>
                <w:sz w:val="22"/>
                <w:szCs w:val="22"/>
                <w:lang w:eastAsia="en-GB"/>
              </w:rPr>
            </w:pPr>
            <w:r w:rsidRPr="00015EF7">
              <w:rPr>
                <w:rFonts w:ascii="Arial" w:hAnsi="Arial" w:cs="Arial"/>
                <w:b/>
                <w:bCs/>
                <w:color w:val="000000"/>
                <w:sz w:val="22"/>
                <w:szCs w:val="22"/>
                <w:lang w:eastAsia="en-GB"/>
              </w:rPr>
              <w:t>2018/19 Budget Deficit</w:t>
            </w:r>
          </w:p>
        </w:tc>
        <w:tc>
          <w:tcPr>
            <w:tcW w:w="2049" w:type="dxa"/>
            <w:tcBorders>
              <w:top w:val="single" w:sz="4" w:space="0" w:color="auto"/>
              <w:left w:val="nil"/>
              <w:bottom w:val="nil"/>
              <w:right w:val="single" w:sz="4" w:space="0" w:color="auto"/>
            </w:tcBorders>
            <w:shd w:val="clear" w:color="auto" w:fill="auto"/>
            <w:noWrap/>
            <w:vAlign w:val="bottom"/>
            <w:hideMark/>
          </w:tcPr>
          <w:p w:rsidR="00B63C3B" w:rsidRPr="00015EF7" w:rsidRDefault="00B63C3B" w:rsidP="000655F2">
            <w:pPr>
              <w:rPr>
                <w:rFonts w:ascii="Arial" w:hAnsi="Arial" w:cs="Arial"/>
                <w:b/>
                <w:color w:val="000000"/>
                <w:sz w:val="22"/>
                <w:szCs w:val="22"/>
                <w:lang w:eastAsia="en-GB"/>
              </w:rPr>
            </w:pPr>
            <w:r w:rsidRPr="00015EF7">
              <w:rPr>
                <w:rFonts w:ascii="Arial" w:hAnsi="Arial" w:cs="Arial"/>
                <w:b/>
                <w:color w:val="000000"/>
                <w:sz w:val="22"/>
                <w:szCs w:val="22"/>
                <w:lang w:eastAsia="en-GB"/>
              </w:rPr>
              <w:t> </w:t>
            </w:r>
          </w:p>
        </w:tc>
      </w:tr>
      <w:tr w:rsidR="00B63C3B" w:rsidRPr="00015EF7" w:rsidTr="00322C73">
        <w:trPr>
          <w:trHeight w:val="290"/>
        </w:trPr>
        <w:tc>
          <w:tcPr>
            <w:tcW w:w="3920" w:type="dxa"/>
            <w:tcBorders>
              <w:top w:val="nil"/>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b/>
                <w:color w:val="000000"/>
                <w:sz w:val="22"/>
                <w:szCs w:val="22"/>
                <w:lang w:eastAsia="en-GB"/>
              </w:rPr>
            </w:pPr>
            <w:r w:rsidRPr="00015EF7">
              <w:rPr>
                <w:rFonts w:ascii="Arial" w:hAnsi="Arial" w:cs="Arial"/>
                <w:b/>
                <w:color w:val="000000"/>
                <w:sz w:val="22"/>
                <w:szCs w:val="22"/>
                <w:lang w:eastAsia="en-GB"/>
              </w:rPr>
              <w:t> </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b/>
                <w:color w:val="000000"/>
                <w:sz w:val="22"/>
                <w:szCs w:val="22"/>
                <w:lang w:eastAsia="en-GB"/>
              </w:rPr>
            </w:pPr>
            <w:r w:rsidRPr="00015EF7">
              <w:rPr>
                <w:rFonts w:ascii="Arial" w:hAnsi="Arial" w:cs="Arial"/>
                <w:b/>
                <w:color w:val="000000"/>
                <w:sz w:val="22"/>
                <w:szCs w:val="22"/>
                <w:lang w:eastAsia="en-GB"/>
              </w:rPr>
              <w:t>£m</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bCs/>
                <w:color w:val="000000"/>
                <w:sz w:val="22"/>
                <w:szCs w:val="22"/>
                <w:lang w:eastAsia="en-GB"/>
              </w:rPr>
            </w:pPr>
            <w:r w:rsidRPr="00015EF7">
              <w:rPr>
                <w:rFonts w:ascii="Arial" w:hAnsi="Arial" w:cs="Arial"/>
                <w:bCs/>
                <w:color w:val="000000"/>
                <w:sz w:val="22"/>
                <w:szCs w:val="22"/>
                <w:lang w:eastAsia="en-GB"/>
              </w:rPr>
              <w:t>Opening Budget</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bCs/>
                <w:color w:val="000000"/>
                <w:sz w:val="22"/>
                <w:szCs w:val="22"/>
                <w:lang w:eastAsia="en-GB"/>
              </w:rPr>
            </w:pPr>
            <w:r w:rsidRPr="00015EF7">
              <w:rPr>
                <w:rFonts w:ascii="Arial" w:hAnsi="Arial" w:cs="Arial"/>
                <w:bCs/>
                <w:color w:val="000000"/>
                <w:sz w:val="22"/>
                <w:szCs w:val="22"/>
                <w:lang w:eastAsia="en-GB"/>
              </w:rPr>
              <w:t xml:space="preserve">269.589 </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b/>
                <w:color w:val="000000"/>
                <w:sz w:val="22"/>
                <w:szCs w:val="22"/>
                <w:lang w:eastAsia="en-GB"/>
              </w:rPr>
            </w:pPr>
            <w:r w:rsidRPr="00015EF7">
              <w:rPr>
                <w:rFonts w:ascii="Arial" w:hAnsi="Arial" w:cs="Arial"/>
                <w:b/>
                <w:color w:val="000000"/>
                <w:sz w:val="22"/>
                <w:szCs w:val="22"/>
                <w:lang w:eastAsia="en-GB"/>
              </w:rPr>
              <w:t>Inflation &amp; Cost Pressures</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b/>
                <w:color w:val="000000"/>
                <w:sz w:val="22"/>
                <w:szCs w:val="22"/>
                <w:lang w:eastAsia="en-GB"/>
              </w:rPr>
            </w:pPr>
            <w:r w:rsidRPr="00015EF7">
              <w:rPr>
                <w:rFonts w:ascii="Arial" w:hAnsi="Arial" w:cs="Arial"/>
                <w:b/>
                <w:color w:val="000000"/>
                <w:sz w:val="22"/>
                <w:szCs w:val="22"/>
                <w:lang w:eastAsia="en-GB"/>
              </w:rPr>
              <w:t xml:space="preserve">1.762 </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601BAF" w:rsidP="000655F2">
            <w:pPr>
              <w:rPr>
                <w:rFonts w:ascii="Arial" w:hAnsi="Arial" w:cs="Arial"/>
                <w:color w:val="000000"/>
                <w:sz w:val="22"/>
                <w:szCs w:val="22"/>
                <w:lang w:eastAsia="en-GB"/>
              </w:rPr>
            </w:pPr>
            <w:r>
              <w:rPr>
                <w:rFonts w:ascii="Arial" w:hAnsi="Arial" w:cs="Arial"/>
                <w:color w:val="000000"/>
                <w:sz w:val="22"/>
                <w:szCs w:val="22"/>
                <w:lang w:eastAsia="en-GB"/>
              </w:rPr>
              <w:t>Previously approved i</w:t>
            </w:r>
            <w:r w:rsidR="00B63C3B" w:rsidRPr="00015EF7">
              <w:rPr>
                <w:rFonts w:ascii="Arial" w:hAnsi="Arial" w:cs="Arial"/>
                <w:color w:val="000000"/>
                <w:sz w:val="22"/>
                <w:szCs w:val="22"/>
                <w:lang w:eastAsia="en-GB"/>
              </w:rPr>
              <w:t>nvestment</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color w:val="000000"/>
                <w:sz w:val="22"/>
                <w:szCs w:val="22"/>
                <w:lang w:eastAsia="en-GB"/>
              </w:rPr>
            </w:pPr>
            <w:r w:rsidRPr="00015EF7">
              <w:rPr>
                <w:rFonts w:ascii="Arial" w:hAnsi="Arial" w:cs="Arial"/>
                <w:color w:val="000000"/>
                <w:sz w:val="22"/>
                <w:szCs w:val="22"/>
                <w:lang w:eastAsia="en-GB"/>
              </w:rPr>
              <w:t xml:space="preserve">5.813 </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bCs/>
                <w:color w:val="000000"/>
                <w:sz w:val="22"/>
                <w:szCs w:val="22"/>
                <w:lang w:eastAsia="en-GB"/>
              </w:rPr>
            </w:pPr>
            <w:r w:rsidRPr="00015EF7">
              <w:rPr>
                <w:rFonts w:ascii="Arial" w:hAnsi="Arial" w:cs="Arial"/>
                <w:bCs/>
                <w:color w:val="000000"/>
                <w:sz w:val="22"/>
                <w:szCs w:val="22"/>
                <w:lang w:eastAsia="en-GB"/>
              </w:rPr>
              <w:t>Budget Requirement pre announcement</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bCs/>
                <w:color w:val="000000"/>
                <w:sz w:val="22"/>
                <w:szCs w:val="22"/>
                <w:lang w:eastAsia="en-GB"/>
              </w:rPr>
            </w:pPr>
            <w:r w:rsidRPr="00015EF7">
              <w:rPr>
                <w:rFonts w:ascii="Arial" w:hAnsi="Arial" w:cs="Arial"/>
                <w:bCs/>
                <w:color w:val="000000"/>
                <w:sz w:val="22"/>
                <w:szCs w:val="22"/>
                <w:lang w:eastAsia="en-GB"/>
              </w:rPr>
              <w:t xml:space="preserve">277.164 </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b/>
                <w:bCs/>
                <w:color w:val="5B9BD5"/>
                <w:sz w:val="22"/>
                <w:szCs w:val="22"/>
                <w:lang w:eastAsia="en-GB"/>
              </w:rPr>
            </w:pPr>
            <w:r w:rsidRPr="00015EF7">
              <w:rPr>
                <w:rFonts w:ascii="Arial" w:hAnsi="Arial" w:cs="Arial"/>
                <w:b/>
                <w:bCs/>
                <w:color w:val="5B9BD5"/>
                <w:sz w:val="22"/>
                <w:szCs w:val="22"/>
                <w:lang w:eastAsia="en-GB"/>
              </w:rPr>
              <w:t>Forecast Funding</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b/>
                <w:color w:val="5B9BD5"/>
                <w:sz w:val="22"/>
                <w:szCs w:val="22"/>
                <w:lang w:eastAsia="en-GB"/>
              </w:rPr>
            </w:pPr>
            <w:r w:rsidRPr="00015EF7">
              <w:rPr>
                <w:rFonts w:ascii="Arial" w:hAnsi="Arial" w:cs="Arial"/>
                <w:b/>
                <w:color w:val="5B9BD5"/>
                <w:sz w:val="22"/>
                <w:szCs w:val="22"/>
                <w:lang w:eastAsia="en-GB"/>
              </w:rPr>
              <w:t xml:space="preserve">267.428 </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b/>
                <w:bCs/>
                <w:color w:val="000000"/>
                <w:sz w:val="22"/>
                <w:szCs w:val="22"/>
                <w:lang w:eastAsia="en-GB"/>
              </w:rPr>
            </w:pPr>
            <w:r w:rsidRPr="00015EF7">
              <w:rPr>
                <w:rFonts w:ascii="Arial" w:hAnsi="Arial" w:cs="Arial"/>
                <w:b/>
                <w:bCs/>
                <w:color w:val="000000"/>
                <w:sz w:val="22"/>
                <w:szCs w:val="22"/>
                <w:lang w:eastAsia="en-GB"/>
              </w:rPr>
              <w:t>Deficit</w:t>
            </w:r>
            <w:r w:rsidR="00322C73">
              <w:rPr>
                <w:rFonts w:ascii="Arial" w:hAnsi="Arial" w:cs="Arial"/>
                <w:b/>
                <w:bCs/>
                <w:color w:val="000000"/>
                <w:sz w:val="22"/>
                <w:szCs w:val="22"/>
                <w:lang w:eastAsia="en-GB"/>
              </w:rPr>
              <w:t xml:space="preserve"> as presented at Strategic Board</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b/>
                <w:bCs/>
                <w:color w:val="000000"/>
                <w:sz w:val="22"/>
                <w:szCs w:val="22"/>
                <w:lang w:eastAsia="en-GB"/>
              </w:rPr>
            </w:pPr>
            <w:r w:rsidRPr="00015EF7">
              <w:rPr>
                <w:rFonts w:ascii="Arial" w:hAnsi="Arial" w:cs="Arial"/>
                <w:b/>
                <w:bCs/>
                <w:color w:val="000000"/>
                <w:sz w:val="22"/>
                <w:szCs w:val="22"/>
                <w:lang w:eastAsia="en-GB"/>
              </w:rPr>
              <w:t xml:space="preserve">9.736 </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68665D" w:rsidP="000655F2">
            <w:pPr>
              <w:rPr>
                <w:rFonts w:ascii="Arial" w:hAnsi="Arial" w:cs="Arial"/>
                <w:color w:val="000000"/>
                <w:sz w:val="22"/>
                <w:szCs w:val="22"/>
                <w:lang w:eastAsia="en-GB"/>
              </w:rPr>
            </w:pPr>
            <w:r>
              <w:rPr>
                <w:rFonts w:ascii="Arial" w:hAnsi="Arial" w:cs="Arial"/>
                <w:color w:val="000000"/>
                <w:sz w:val="22"/>
                <w:szCs w:val="22"/>
                <w:lang w:eastAsia="en-GB"/>
              </w:rPr>
              <w:t xml:space="preserve">Remove </w:t>
            </w:r>
            <w:r w:rsidR="00601BAF">
              <w:rPr>
                <w:rFonts w:ascii="Arial" w:hAnsi="Arial" w:cs="Arial"/>
                <w:color w:val="000000"/>
                <w:sz w:val="22"/>
                <w:szCs w:val="22"/>
                <w:lang w:eastAsia="en-GB"/>
              </w:rPr>
              <w:t xml:space="preserve">new </w:t>
            </w:r>
            <w:r w:rsidR="00B63C3B" w:rsidRPr="00015EF7">
              <w:rPr>
                <w:rFonts w:ascii="Arial" w:hAnsi="Arial" w:cs="Arial"/>
                <w:color w:val="000000"/>
                <w:sz w:val="22"/>
                <w:szCs w:val="22"/>
                <w:lang w:eastAsia="en-GB"/>
              </w:rPr>
              <w:t xml:space="preserve"> investment</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color w:val="000000"/>
                <w:sz w:val="22"/>
                <w:szCs w:val="22"/>
                <w:lang w:eastAsia="en-GB"/>
              </w:rPr>
            </w:pPr>
            <w:r w:rsidRPr="00015EF7">
              <w:rPr>
                <w:rFonts w:ascii="Arial" w:hAnsi="Arial" w:cs="Arial"/>
                <w:color w:val="000000"/>
                <w:sz w:val="22"/>
                <w:szCs w:val="22"/>
                <w:lang w:eastAsia="en-GB"/>
              </w:rPr>
              <w:t xml:space="preserve">(2.378) </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b/>
                <w:bCs/>
                <w:color w:val="000000"/>
                <w:sz w:val="22"/>
                <w:szCs w:val="22"/>
                <w:lang w:eastAsia="en-GB"/>
              </w:rPr>
            </w:pPr>
            <w:r w:rsidRPr="00015EF7">
              <w:rPr>
                <w:rFonts w:ascii="Arial" w:hAnsi="Arial" w:cs="Arial"/>
                <w:b/>
                <w:bCs/>
                <w:color w:val="000000"/>
                <w:sz w:val="22"/>
                <w:szCs w:val="22"/>
                <w:lang w:eastAsia="en-GB"/>
              </w:rPr>
              <w:t>Initial Deficit</w:t>
            </w:r>
            <w:r w:rsidR="00601BAF">
              <w:rPr>
                <w:rFonts w:ascii="Arial" w:hAnsi="Arial" w:cs="Arial"/>
                <w:b/>
                <w:bCs/>
                <w:color w:val="000000"/>
                <w:sz w:val="22"/>
                <w:szCs w:val="22"/>
                <w:lang w:eastAsia="en-GB"/>
              </w:rPr>
              <w:t xml:space="preserve"> prior to new investment</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b/>
                <w:bCs/>
                <w:color w:val="000000"/>
                <w:sz w:val="22"/>
                <w:szCs w:val="22"/>
                <w:lang w:eastAsia="en-GB"/>
              </w:rPr>
            </w:pPr>
            <w:r w:rsidRPr="00015EF7">
              <w:rPr>
                <w:rFonts w:ascii="Arial" w:hAnsi="Arial" w:cs="Arial"/>
                <w:b/>
                <w:bCs/>
                <w:color w:val="000000"/>
                <w:sz w:val="22"/>
                <w:szCs w:val="22"/>
                <w:lang w:eastAsia="en-GB"/>
              </w:rPr>
              <w:t xml:space="preserve">7.358 </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color w:val="000000"/>
                <w:sz w:val="22"/>
                <w:szCs w:val="22"/>
                <w:lang w:eastAsia="en-GB"/>
              </w:rPr>
            </w:pPr>
            <w:r w:rsidRPr="00015EF7">
              <w:rPr>
                <w:rFonts w:ascii="Arial" w:hAnsi="Arial" w:cs="Arial"/>
                <w:color w:val="000000"/>
                <w:sz w:val="22"/>
                <w:szCs w:val="22"/>
                <w:lang w:eastAsia="en-GB"/>
              </w:rPr>
              <w:t>Planned Efficiencies</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color w:val="000000"/>
                <w:sz w:val="22"/>
                <w:szCs w:val="22"/>
                <w:lang w:eastAsia="en-GB"/>
              </w:rPr>
            </w:pPr>
            <w:r w:rsidRPr="00015EF7">
              <w:rPr>
                <w:rFonts w:ascii="Arial" w:hAnsi="Arial" w:cs="Arial"/>
                <w:color w:val="000000"/>
                <w:sz w:val="22"/>
                <w:szCs w:val="22"/>
                <w:lang w:eastAsia="en-GB"/>
              </w:rPr>
              <w:t xml:space="preserve">3.544 </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b/>
                <w:bCs/>
                <w:color w:val="000000"/>
                <w:sz w:val="22"/>
                <w:szCs w:val="22"/>
                <w:lang w:eastAsia="en-GB"/>
              </w:rPr>
            </w:pPr>
            <w:r w:rsidRPr="00015EF7">
              <w:rPr>
                <w:rFonts w:ascii="Arial" w:hAnsi="Arial" w:cs="Arial"/>
                <w:b/>
                <w:bCs/>
                <w:color w:val="000000"/>
                <w:sz w:val="22"/>
                <w:szCs w:val="22"/>
                <w:lang w:eastAsia="en-GB"/>
              </w:rPr>
              <w:t xml:space="preserve">Revised </w:t>
            </w:r>
            <w:r w:rsidRPr="00CB61DD">
              <w:rPr>
                <w:rFonts w:ascii="Arial" w:hAnsi="Arial" w:cs="Arial"/>
                <w:b/>
                <w:bCs/>
                <w:color w:val="000000"/>
                <w:sz w:val="22"/>
                <w:szCs w:val="22"/>
                <w:lang w:eastAsia="en-GB"/>
              </w:rPr>
              <w:t>Deficit</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b/>
                <w:bCs/>
                <w:color w:val="000000"/>
                <w:sz w:val="22"/>
                <w:szCs w:val="22"/>
                <w:lang w:eastAsia="en-GB"/>
              </w:rPr>
            </w:pPr>
            <w:r w:rsidRPr="00015EF7">
              <w:rPr>
                <w:rFonts w:ascii="Arial" w:hAnsi="Arial" w:cs="Arial"/>
                <w:b/>
                <w:bCs/>
                <w:color w:val="000000"/>
                <w:sz w:val="22"/>
                <w:szCs w:val="22"/>
                <w:lang w:eastAsia="en-GB"/>
              </w:rPr>
              <w:t xml:space="preserve">3.814 </w:t>
            </w:r>
          </w:p>
        </w:tc>
      </w:tr>
      <w:tr w:rsidR="00B63C3B" w:rsidRPr="00015EF7" w:rsidTr="00322C73">
        <w:trPr>
          <w:trHeight w:val="288"/>
        </w:trPr>
        <w:tc>
          <w:tcPr>
            <w:tcW w:w="3920" w:type="dxa"/>
            <w:tcBorders>
              <w:top w:val="nil"/>
              <w:left w:val="single" w:sz="4" w:space="0" w:color="auto"/>
              <w:bottom w:val="nil"/>
              <w:right w:val="nil"/>
            </w:tcBorders>
            <w:shd w:val="clear" w:color="auto" w:fill="auto"/>
            <w:noWrap/>
            <w:vAlign w:val="bottom"/>
            <w:hideMark/>
          </w:tcPr>
          <w:p w:rsidR="00B63C3B" w:rsidRPr="00015EF7" w:rsidRDefault="00B63C3B" w:rsidP="000655F2">
            <w:pPr>
              <w:rPr>
                <w:rFonts w:ascii="Arial" w:hAnsi="Arial" w:cs="Arial"/>
                <w:color w:val="000000"/>
                <w:sz w:val="22"/>
                <w:szCs w:val="22"/>
                <w:lang w:eastAsia="en-GB"/>
              </w:rPr>
            </w:pPr>
            <w:r w:rsidRPr="00015EF7">
              <w:rPr>
                <w:rFonts w:ascii="Arial" w:hAnsi="Arial" w:cs="Arial"/>
                <w:color w:val="000000"/>
                <w:sz w:val="22"/>
                <w:szCs w:val="22"/>
                <w:lang w:eastAsia="en-GB"/>
              </w:rPr>
              <w:t>Changes to costings post announcement</w:t>
            </w:r>
          </w:p>
        </w:tc>
        <w:tc>
          <w:tcPr>
            <w:tcW w:w="2049" w:type="dxa"/>
            <w:tcBorders>
              <w:top w:val="nil"/>
              <w:left w:val="nil"/>
              <w:bottom w:val="nil"/>
              <w:right w:val="single" w:sz="4" w:space="0" w:color="auto"/>
            </w:tcBorders>
            <w:shd w:val="clear" w:color="auto" w:fill="auto"/>
            <w:noWrap/>
            <w:vAlign w:val="bottom"/>
            <w:hideMark/>
          </w:tcPr>
          <w:p w:rsidR="00B63C3B" w:rsidRPr="00015EF7" w:rsidRDefault="00B63C3B" w:rsidP="000655F2">
            <w:pPr>
              <w:jc w:val="right"/>
              <w:rPr>
                <w:rFonts w:ascii="Arial" w:hAnsi="Arial" w:cs="Arial"/>
                <w:sz w:val="22"/>
                <w:szCs w:val="22"/>
                <w:lang w:eastAsia="en-GB"/>
              </w:rPr>
            </w:pPr>
            <w:r w:rsidRPr="00015EF7">
              <w:rPr>
                <w:rFonts w:ascii="Arial" w:hAnsi="Arial" w:cs="Arial"/>
                <w:sz w:val="22"/>
                <w:szCs w:val="22"/>
                <w:lang w:eastAsia="en-GB"/>
              </w:rPr>
              <w:t xml:space="preserve">(0.247) </w:t>
            </w:r>
          </w:p>
        </w:tc>
      </w:tr>
      <w:tr w:rsidR="00B63C3B" w:rsidRPr="00015EF7" w:rsidTr="00322C73">
        <w:trPr>
          <w:trHeight w:val="288"/>
        </w:trPr>
        <w:tc>
          <w:tcPr>
            <w:tcW w:w="3920" w:type="dxa"/>
            <w:tcBorders>
              <w:top w:val="nil"/>
              <w:left w:val="single" w:sz="4" w:space="0" w:color="auto"/>
              <w:bottom w:val="single" w:sz="4" w:space="0" w:color="auto"/>
              <w:right w:val="nil"/>
            </w:tcBorders>
            <w:shd w:val="clear" w:color="auto" w:fill="auto"/>
            <w:noWrap/>
            <w:vAlign w:val="bottom"/>
            <w:hideMark/>
          </w:tcPr>
          <w:p w:rsidR="00B63C3B" w:rsidRPr="00015EF7" w:rsidRDefault="00B63C3B" w:rsidP="000655F2">
            <w:pPr>
              <w:rPr>
                <w:rFonts w:ascii="Arial" w:hAnsi="Arial" w:cs="Arial"/>
                <w:b/>
                <w:bCs/>
                <w:color w:val="000000"/>
                <w:sz w:val="22"/>
                <w:szCs w:val="22"/>
                <w:lang w:eastAsia="en-GB"/>
              </w:rPr>
            </w:pPr>
            <w:r w:rsidRPr="00015EF7">
              <w:rPr>
                <w:rFonts w:ascii="Arial" w:hAnsi="Arial" w:cs="Arial"/>
                <w:b/>
                <w:bCs/>
                <w:color w:val="000000"/>
                <w:sz w:val="22"/>
                <w:szCs w:val="22"/>
                <w:lang w:eastAsia="en-GB"/>
              </w:rPr>
              <w:t>Deficit</w:t>
            </w:r>
          </w:p>
        </w:tc>
        <w:tc>
          <w:tcPr>
            <w:tcW w:w="2049" w:type="dxa"/>
            <w:tcBorders>
              <w:top w:val="nil"/>
              <w:left w:val="nil"/>
              <w:bottom w:val="single" w:sz="4" w:space="0" w:color="auto"/>
              <w:right w:val="single" w:sz="4" w:space="0" w:color="auto"/>
            </w:tcBorders>
            <w:shd w:val="clear" w:color="auto" w:fill="auto"/>
            <w:noWrap/>
            <w:vAlign w:val="bottom"/>
            <w:hideMark/>
          </w:tcPr>
          <w:p w:rsidR="00B63C3B" w:rsidRPr="00015EF7" w:rsidRDefault="00B63C3B" w:rsidP="000655F2">
            <w:pPr>
              <w:jc w:val="right"/>
              <w:rPr>
                <w:rFonts w:ascii="Arial" w:hAnsi="Arial" w:cs="Arial"/>
                <w:b/>
                <w:bCs/>
                <w:color w:val="000000"/>
                <w:sz w:val="22"/>
                <w:szCs w:val="22"/>
                <w:lang w:eastAsia="en-GB"/>
              </w:rPr>
            </w:pPr>
            <w:r w:rsidRPr="00015EF7">
              <w:rPr>
                <w:rFonts w:ascii="Arial" w:hAnsi="Arial" w:cs="Arial"/>
                <w:b/>
                <w:bCs/>
                <w:color w:val="000000"/>
                <w:sz w:val="22"/>
                <w:szCs w:val="22"/>
                <w:lang w:eastAsia="en-GB"/>
              </w:rPr>
              <w:t xml:space="preserve">3.567 </w:t>
            </w:r>
          </w:p>
        </w:tc>
      </w:tr>
    </w:tbl>
    <w:p w:rsidR="00C72603" w:rsidRDefault="00C72603" w:rsidP="00FA2F7A">
      <w:pPr>
        <w:jc w:val="both"/>
        <w:rPr>
          <w:rFonts w:ascii="Arial" w:hAnsi="Arial" w:cs="Arial"/>
          <w:szCs w:val="24"/>
        </w:rPr>
      </w:pPr>
    </w:p>
    <w:p w:rsidR="00C72603" w:rsidRDefault="00C72603" w:rsidP="00FA2F7A">
      <w:pPr>
        <w:jc w:val="both"/>
        <w:rPr>
          <w:rFonts w:ascii="Arial" w:hAnsi="Arial" w:cs="Arial"/>
          <w:szCs w:val="24"/>
        </w:rPr>
      </w:pPr>
    </w:p>
    <w:p w:rsidR="00955674" w:rsidRDefault="002E4067" w:rsidP="00FA2F7A">
      <w:pPr>
        <w:jc w:val="both"/>
        <w:rPr>
          <w:rFonts w:ascii="Arial" w:hAnsi="Arial" w:cs="Arial"/>
          <w:szCs w:val="24"/>
        </w:rPr>
      </w:pPr>
      <w:r w:rsidRPr="00955674">
        <w:rPr>
          <w:rFonts w:ascii="Arial" w:hAnsi="Arial" w:cs="Arial"/>
          <w:szCs w:val="24"/>
        </w:rPr>
        <w:t>Since</w:t>
      </w:r>
      <w:r w:rsidR="00313686" w:rsidRPr="00955674">
        <w:rPr>
          <w:rFonts w:ascii="Arial" w:hAnsi="Arial" w:cs="Arial"/>
          <w:szCs w:val="24"/>
        </w:rPr>
        <w:t xml:space="preserve"> </w:t>
      </w:r>
      <w:r w:rsidR="007972DE" w:rsidRPr="00955674">
        <w:rPr>
          <w:rFonts w:ascii="Arial" w:hAnsi="Arial" w:cs="Arial"/>
          <w:szCs w:val="24"/>
        </w:rPr>
        <w:t>the</w:t>
      </w:r>
      <w:r w:rsidR="00313686" w:rsidRPr="00955674">
        <w:rPr>
          <w:rFonts w:ascii="Arial" w:hAnsi="Arial" w:cs="Arial"/>
          <w:szCs w:val="24"/>
        </w:rPr>
        <w:t xml:space="preserve"> Strategic Board </w:t>
      </w:r>
      <w:r w:rsidRPr="00955674">
        <w:rPr>
          <w:rFonts w:ascii="Arial" w:hAnsi="Arial" w:cs="Arial"/>
          <w:szCs w:val="24"/>
        </w:rPr>
        <w:t xml:space="preserve">and not </w:t>
      </w:r>
      <w:r w:rsidR="008211E1" w:rsidRPr="00955674">
        <w:rPr>
          <w:rFonts w:ascii="Arial" w:hAnsi="Arial" w:cs="Arial"/>
          <w:szCs w:val="24"/>
        </w:rPr>
        <w:t>including</w:t>
      </w:r>
      <w:r w:rsidRPr="00955674">
        <w:rPr>
          <w:rFonts w:ascii="Arial" w:hAnsi="Arial" w:cs="Arial"/>
          <w:szCs w:val="24"/>
        </w:rPr>
        <w:t xml:space="preserve"> any </w:t>
      </w:r>
      <w:r w:rsidR="00D61597">
        <w:rPr>
          <w:rFonts w:ascii="Arial" w:hAnsi="Arial" w:cs="Arial"/>
          <w:szCs w:val="24"/>
        </w:rPr>
        <w:t xml:space="preserve">new </w:t>
      </w:r>
      <w:r w:rsidRPr="00955674">
        <w:rPr>
          <w:rFonts w:ascii="Arial" w:hAnsi="Arial" w:cs="Arial"/>
          <w:szCs w:val="24"/>
        </w:rPr>
        <w:t xml:space="preserve">investment decisions, </w:t>
      </w:r>
      <w:r w:rsidR="00313686" w:rsidRPr="00955674">
        <w:rPr>
          <w:rFonts w:ascii="Arial" w:hAnsi="Arial" w:cs="Arial"/>
          <w:szCs w:val="24"/>
        </w:rPr>
        <w:t xml:space="preserve">the final deficit </w:t>
      </w:r>
      <w:r w:rsidRPr="00955674">
        <w:rPr>
          <w:rFonts w:ascii="Arial" w:hAnsi="Arial" w:cs="Arial"/>
          <w:szCs w:val="24"/>
        </w:rPr>
        <w:t xml:space="preserve">for 2018/19 </w:t>
      </w:r>
      <w:r w:rsidR="00313686" w:rsidRPr="00955674">
        <w:rPr>
          <w:rFonts w:ascii="Arial" w:hAnsi="Arial" w:cs="Arial"/>
          <w:szCs w:val="24"/>
        </w:rPr>
        <w:t xml:space="preserve">has </w:t>
      </w:r>
      <w:r w:rsidRPr="00955674">
        <w:rPr>
          <w:rFonts w:ascii="Arial" w:hAnsi="Arial" w:cs="Arial"/>
          <w:szCs w:val="24"/>
        </w:rPr>
        <w:t>been adjusted to take account of</w:t>
      </w:r>
      <w:r w:rsidR="009071DE" w:rsidRPr="00955674">
        <w:rPr>
          <w:rFonts w:ascii="Arial" w:hAnsi="Arial" w:cs="Arial"/>
          <w:szCs w:val="24"/>
        </w:rPr>
        <w:t xml:space="preserve"> </w:t>
      </w:r>
      <w:r w:rsidRPr="00955674">
        <w:rPr>
          <w:rFonts w:ascii="Arial" w:hAnsi="Arial" w:cs="Arial"/>
          <w:szCs w:val="24"/>
        </w:rPr>
        <w:t xml:space="preserve"> </w:t>
      </w:r>
      <w:r w:rsidR="00803B13" w:rsidRPr="00955674">
        <w:rPr>
          <w:rFonts w:ascii="Arial" w:hAnsi="Arial" w:cs="Arial"/>
          <w:szCs w:val="24"/>
        </w:rPr>
        <w:t xml:space="preserve">the finalised figures </w:t>
      </w:r>
      <w:r w:rsidR="00A529C5" w:rsidRPr="00955674">
        <w:rPr>
          <w:rFonts w:ascii="Arial" w:hAnsi="Arial" w:cs="Arial"/>
          <w:szCs w:val="24"/>
        </w:rPr>
        <w:t xml:space="preserve">which </w:t>
      </w:r>
      <w:r w:rsidR="00803B13" w:rsidRPr="00955674">
        <w:rPr>
          <w:rFonts w:ascii="Arial" w:hAnsi="Arial" w:cs="Arial"/>
          <w:szCs w:val="24"/>
        </w:rPr>
        <w:t xml:space="preserve">show </w:t>
      </w:r>
      <w:r w:rsidRPr="00955674">
        <w:rPr>
          <w:rFonts w:ascii="Arial" w:hAnsi="Arial" w:cs="Arial"/>
          <w:szCs w:val="24"/>
        </w:rPr>
        <w:t xml:space="preserve">a </w:t>
      </w:r>
      <w:r w:rsidR="00240146" w:rsidRPr="00955674">
        <w:rPr>
          <w:rFonts w:ascii="Arial" w:hAnsi="Arial" w:cs="Arial"/>
          <w:szCs w:val="24"/>
        </w:rPr>
        <w:t>reduction in force efficiencies</w:t>
      </w:r>
      <w:r w:rsidR="00BE01F9" w:rsidRPr="00955674">
        <w:rPr>
          <w:rFonts w:ascii="Arial" w:hAnsi="Arial" w:cs="Arial"/>
          <w:szCs w:val="24"/>
        </w:rPr>
        <w:t xml:space="preserve"> due to </w:t>
      </w:r>
      <w:r w:rsidR="00E56811" w:rsidRPr="00955674">
        <w:rPr>
          <w:rFonts w:ascii="Arial" w:hAnsi="Arial" w:cs="Arial"/>
          <w:szCs w:val="24"/>
        </w:rPr>
        <w:t xml:space="preserve">revised efficiency profile </w:t>
      </w:r>
      <w:r w:rsidR="00240146" w:rsidRPr="00955674">
        <w:rPr>
          <w:rFonts w:ascii="Arial" w:hAnsi="Arial" w:cs="Arial"/>
          <w:szCs w:val="24"/>
        </w:rPr>
        <w:t>(+£0.</w:t>
      </w:r>
      <w:r w:rsidR="00C26657" w:rsidRPr="00955674">
        <w:rPr>
          <w:rFonts w:ascii="Arial" w:hAnsi="Arial" w:cs="Arial"/>
          <w:szCs w:val="24"/>
        </w:rPr>
        <w:t>0</w:t>
      </w:r>
      <w:r w:rsidR="00240146" w:rsidRPr="00955674">
        <w:rPr>
          <w:rFonts w:ascii="Arial" w:hAnsi="Arial" w:cs="Arial"/>
          <w:szCs w:val="24"/>
        </w:rPr>
        <w:t>47</w:t>
      </w:r>
      <w:r w:rsidRPr="00955674">
        <w:rPr>
          <w:rFonts w:ascii="Arial" w:hAnsi="Arial" w:cs="Arial"/>
          <w:szCs w:val="24"/>
        </w:rPr>
        <w:t xml:space="preserve">m); </w:t>
      </w:r>
      <w:r w:rsidR="00AB1D93" w:rsidRPr="00955674">
        <w:rPr>
          <w:rFonts w:ascii="Arial" w:hAnsi="Arial" w:cs="Arial"/>
          <w:szCs w:val="24"/>
        </w:rPr>
        <w:t>the change in pay costings</w:t>
      </w:r>
      <w:r w:rsidR="00A529C5" w:rsidRPr="00955674">
        <w:rPr>
          <w:rFonts w:ascii="Arial" w:hAnsi="Arial" w:cs="Arial"/>
          <w:szCs w:val="24"/>
        </w:rPr>
        <w:t xml:space="preserve"> (-</w:t>
      </w:r>
      <w:r w:rsidR="00E56811" w:rsidRPr="00955674">
        <w:rPr>
          <w:rFonts w:ascii="Arial" w:hAnsi="Arial" w:cs="Arial"/>
          <w:szCs w:val="24"/>
        </w:rPr>
        <w:t>£0.</w:t>
      </w:r>
      <w:r w:rsidR="00C26657" w:rsidRPr="00955674">
        <w:rPr>
          <w:rFonts w:ascii="Arial" w:hAnsi="Arial" w:cs="Arial"/>
          <w:szCs w:val="24"/>
        </w:rPr>
        <w:t>0</w:t>
      </w:r>
      <w:r w:rsidR="00E56811" w:rsidRPr="00955674">
        <w:rPr>
          <w:rFonts w:ascii="Arial" w:hAnsi="Arial" w:cs="Arial"/>
          <w:szCs w:val="24"/>
        </w:rPr>
        <w:t>9</w:t>
      </w:r>
      <w:r w:rsidRPr="00955674">
        <w:rPr>
          <w:rFonts w:ascii="Arial" w:hAnsi="Arial" w:cs="Arial"/>
          <w:szCs w:val="24"/>
        </w:rPr>
        <w:t>4m)</w:t>
      </w:r>
      <w:r w:rsidR="00AB1D93" w:rsidRPr="00955674">
        <w:rPr>
          <w:rStyle w:val="FootnoteReference"/>
          <w:rFonts w:ascii="Arial" w:hAnsi="Arial" w:cs="Arial"/>
          <w:szCs w:val="24"/>
        </w:rPr>
        <w:footnoteReference w:id="2"/>
      </w:r>
      <w:r w:rsidR="00E56811" w:rsidRPr="00955674">
        <w:rPr>
          <w:rFonts w:ascii="Arial" w:hAnsi="Arial" w:cs="Arial"/>
          <w:szCs w:val="24"/>
        </w:rPr>
        <w:t xml:space="preserve">, and recharges relating to fire collaboration </w:t>
      </w:r>
    </w:p>
    <w:p w:rsidR="002E4067" w:rsidRDefault="00E56811" w:rsidP="00FA2F7A">
      <w:pPr>
        <w:jc w:val="both"/>
        <w:rPr>
          <w:rFonts w:ascii="Arial" w:hAnsi="Arial" w:cs="Arial"/>
          <w:szCs w:val="24"/>
        </w:rPr>
      </w:pPr>
      <w:r w:rsidRPr="00955674">
        <w:rPr>
          <w:rFonts w:ascii="Arial" w:hAnsi="Arial" w:cs="Arial"/>
          <w:szCs w:val="24"/>
        </w:rPr>
        <w:t>(-£0.2</w:t>
      </w:r>
      <w:r w:rsidR="008966DA" w:rsidRPr="00955674">
        <w:rPr>
          <w:rFonts w:ascii="Arial" w:hAnsi="Arial" w:cs="Arial"/>
          <w:szCs w:val="24"/>
        </w:rPr>
        <w:t>m</w:t>
      </w:r>
      <w:r w:rsidRPr="00955674">
        <w:rPr>
          <w:rFonts w:ascii="Arial" w:hAnsi="Arial" w:cs="Arial"/>
          <w:szCs w:val="24"/>
        </w:rPr>
        <w:t xml:space="preserve">). </w:t>
      </w:r>
      <w:r w:rsidR="002E4067" w:rsidRPr="00955674">
        <w:rPr>
          <w:rFonts w:ascii="Arial" w:hAnsi="Arial" w:cs="Arial"/>
          <w:szCs w:val="24"/>
        </w:rPr>
        <w:t xml:space="preserve"> </w:t>
      </w:r>
      <w:r w:rsidR="00803B13" w:rsidRPr="00955674">
        <w:rPr>
          <w:rFonts w:ascii="Arial" w:hAnsi="Arial" w:cs="Arial"/>
          <w:szCs w:val="24"/>
        </w:rPr>
        <w:t>I am therefore pleased to inform you the de</w:t>
      </w:r>
      <w:r w:rsidRPr="00955674">
        <w:rPr>
          <w:rFonts w:ascii="Arial" w:hAnsi="Arial" w:cs="Arial"/>
          <w:szCs w:val="24"/>
        </w:rPr>
        <w:t>ficit has reduced to £3.567</w:t>
      </w:r>
      <w:r w:rsidR="00BE01F9" w:rsidRPr="00955674">
        <w:rPr>
          <w:rFonts w:ascii="Arial" w:hAnsi="Arial" w:cs="Arial"/>
          <w:szCs w:val="24"/>
        </w:rPr>
        <w:t>m.</w:t>
      </w:r>
      <w:r w:rsidR="00BE01F9">
        <w:rPr>
          <w:rFonts w:ascii="Arial" w:hAnsi="Arial" w:cs="Arial"/>
          <w:szCs w:val="24"/>
        </w:rPr>
        <w:t xml:space="preserve"> </w:t>
      </w:r>
    </w:p>
    <w:p w:rsidR="002E4067" w:rsidRDefault="002E4067" w:rsidP="00FA2F7A">
      <w:pPr>
        <w:jc w:val="both"/>
        <w:rPr>
          <w:rFonts w:ascii="Arial" w:hAnsi="Arial" w:cs="Arial"/>
          <w:szCs w:val="24"/>
        </w:rPr>
      </w:pPr>
    </w:p>
    <w:p w:rsidR="00F556C9" w:rsidRDefault="00F556C9" w:rsidP="00FA2F7A">
      <w:pPr>
        <w:jc w:val="both"/>
        <w:rPr>
          <w:rFonts w:ascii="Arial" w:hAnsi="Arial" w:cs="Arial"/>
          <w:b/>
          <w:szCs w:val="24"/>
        </w:rPr>
      </w:pPr>
    </w:p>
    <w:p w:rsidR="002E4067" w:rsidRPr="008211E1" w:rsidRDefault="002E4067" w:rsidP="00FA2F7A">
      <w:pPr>
        <w:jc w:val="both"/>
        <w:rPr>
          <w:rFonts w:ascii="Arial" w:hAnsi="Arial" w:cs="Arial"/>
          <w:b/>
          <w:szCs w:val="24"/>
        </w:rPr>
      </w:pPr>
      <w:r w:rsidRPr="008211E1">
        <w:rPr>
          <w:rFonts w:ascii="Arial" w:hAnsi="Arial" w:cs="Arial"/>
          <w:b/>
          <w:szCs w:val="24"/>
        </w:rPr>
        <w:t xml:space="preserve">Home Office </w:t>
      </w:r>
      <w:r w:rsidR="008211E1" w:rsidRPr="008211E1">
        <w:rPr>
          <w:rFonts w:ascii="Arial" w:hAnsi="Arial" w:cs="Arial"/>
          <w:b/>
          <w:szCs w:val="24"/>
        </w:rPr>
        <w:t>announc</w:t>
      </w:r>
      <w:r w:rsidR="008211E1">
        <w:rPr>
          <w:rFonts w:ascii="Arial" w:hAnsi="Arial" w:cs="Arial"/>
          <w:b/>
          <w:szCs w:val="24"/>
        </w:rPr>
        <w:t>e</w:t>
      </w:r>
      <w:r w:rsidR="008211E1" w:rsidRPr="008211E1">
        <w:rPr>
          <w:rFonts w:ascii="Arial" w:hAnsi="Arial" w:cs="Arial"/>
          <w:b/>
          <w:szCs w:val="24"/>
        </w:rPr>
        <w:t>ment</w:t>
      </w:r>
      <w:r w:rsidR="00423D9F">
        <w:rPr>
          <w:rFonts w:ascii="Arial" w:hAnsi="Arial" w:cs="Arial"/>
          <w:b/>
          <w:szCs w:val="24"/>
        </w:rPr>
        <w:t>: O</w:t>
      </w:r>
      <w:r w:rsidR="008211E1">
        <w:rPr>
          <w:rFonts w:ascii="Arial" w:hAnsi="Arial" w:cs="Arial"/>
          <w:b/>
          <w:szCs w:val="24"/>
        </w:rPr>
        <w:t>ffsetting the deficit</w:t>
      </w:r>
    </w:p>
    <w:p w:rsidR="008211E1" w:rsidRDefault="008211E1" w:rsidP="00FA2F7A">
      <w:pPr>
        <w:jc w:val="both"/>
        <w:rPr>
          <w:rFonts w:ascii="Arial" w:hAnsi="Arial" w:cs="Arial"/>
          <w:szCs w:val="24"/>
        </w:rPr>
      </w:pPr>
    </w:p>
    <w:p w:rsidR="00F556C9" w:rsidRDefault="00F556C9" w:rsidP="00FA2F7A">
      <w:pPr>
        <w:jc w:val="both"/>
        <w:rPr>
          <w:rFonts w:ascii="Arial" w:hAnsi="Arial" w:cs="Arial"/>
          <w:szCs w:val="24"/>
        </w:rPr>
      </w:pPr>
    </w:p>
    <w:p w:rsidR="008211E1" w:rsidRDefault="008211E1" w:rsidP="00FA2F7A">
      <w:pPr>
        <w:jc w:val="both"/>
        <w:rPr>
          <w:rFonts w:ascii="Arial" w:hAnsi="Arial" w:cs="Arial"/>
          <w:szCs w:val="24"/>
        </w:rPr>
      </w:pPr>
      <w:r>
        <w:rPr>
          <w:rFonts w:ascii="Arial" w:hAnsi="Arial" w:cs="Arial"/>
          <w:szCs w:val="24"/>
        </w:rPr>
        <w:t xml:space="preserve">The maximum additional </w:t>
      </w:r>
      <w:r w:rsidR="000663AF">
        <w:rPr>
          <w:rFonts w:ascii="Arial" w:hAnsi="Arial" w:cs="Arial"/>
          <w:szCs w:val="24"/>
        </w:rPr>
        <w:t>funding</w:t>
      </w:r>
      <w:r>
        <w:rPr>
          <w:rFonts w:ascii="Arial" w:hAnsi="Arial" w:cs="Arial"/>
          <w:szCs w:val="24"/>
        </w:rPr>
        <w:t xml:space="preserve"> that is available to the force following the Home Office announcement and subject to your decision</w:t>
      </w:r>
      <w:r w:rsidR="00423D9F">
        <w:rPr>
          <w:rFonts w:ascii="Arial" w:hAnsi="Arial" w:cs="Arial"/>
          <w:szCs w:val="24"/>
        </w:rPr>
        <w:t xml:space="preserve"> on the precept</w:t>
      </w:r>
      <w:r w:rsidR="000663AF">
        <w:rPr>
          <w:rFonts w:ascii="Arial" w:hAnsi="Arial" w:cs="Arial"/>
          <w:szCs w:val="24"/>
        </w:rPr>
        <w:t xml:space="preserve"> </w:t>
      </w:r>
      <w:r>
        <w:rPr>
          <w:rFonts w:ascii="Arial" w:hAnsi="Arial" w:cs="Arial"/>
          <w:szCs w:val="24"/>
        </w:rPr>
        <w:t xml:space="preserve">is £10.001m. </w:t>
      </w:r>
    </w:p>
    <w:p w:rsidR="00803B13" w:rsidRDefault="00803B13" w:rsidP="00FA2F7A">
      <w:pPr>
        <w:jc w:val="both"/>
        <w:rPr>
          <w:rFonts w:ascii="Arial" w:hAnsi="Arial" w:cs="Arial"/>
          <w:szCs w:val="24"/>
        </w:rPr>
      </w:pPr>
    </w:p>
    <w:p w:rsidR="00BE01F9" w:rsidRDefault="008211E1" w:rsidP="00FA2F7A">
      <w:pPr>
        <w:jc w:val="both"/>
        <w:rPr>
          <w:rFonts w:ascii="Arial" w:hAnsi="Arial" w:cs="Arial"/>
          <w:szCs w:val="24"/>
        </w:rPr>
      </w:pPr>
      <w:r>
        <w:rPr>
          <w:rFonts w:ascii="Arial" w:hAnsi="Arial" w:cs="Arial"/>
          <w:szCs w:val="24"/>
        </w:rPr>
        <w:t xml:space="preserve">The structural changes to the </w:t>
      </w:r>
      <w:r w:rsidR="00423D9F">
        <w:rPr>
          <w:rFonts w:ascii="Arial" w:hAnsi="Arial" w:cs="Arial"/>
          <w:szCs w:val="24"/>
        </w:rPr>
        <w:t xml:space="preserve">central government </w:t>
      </w:r>
      <w:r>
        <w:rPr>
          <w:rFonts w:ascii="Arial" w:hAnsi="Arial" w:cs="Arial"/>
          <w:szCs w:val="24"/>
        </w:rPr>
        <w:t xml:space="preserve">core grant and formula are to be welcomed and </w:t>
      </w:r>
      <w:r w:rsidR="00423D9F">
        <w:rPr>
          <w:rFonts w:ascii="Arial" w:hAnsi="Arial" w:cs="Arial"/>
          <w:szCs w:val="24"/>
        </w:rPr>
        <w:t>while they fail to redress the disparity in Essex Police funding</w:t>
      </w:r>
      <w:r w:rsidR="00C731D7">
        <w:rPr>
          <w:rFonts w:ascii="Arial" w:hAnsi="Arial" w:cs="Arial"/>
          <w:szCs w:val="24"/>
        </w:rPr>
        <w:t xml:space="preserve"> compared with other forces</w:t>
      </w:r>
      <w:r w:rsidR="004C2D1E">
        <w:rPr>
          <w:rFonts w:ascii="Arial" w:hAnsi="Arial" w:cs="Arial"/>
          <w:szCs w:val="24"/>
        </w:rPr>
        <w:t>,</w:t>
      </w:r>
      <w:r w:rsidR="00423D9F">
        <w:rPr>
          <w:rFonts w:ascii="Arial" w:hAnsi="Arial" w:cs="Arial"/>
          <w:szCs w:val="24"/>
        </w:rPr>
        <w:t xml:space="preserve"> they nevertheless </w:t>
      </w:r>
      <w:r w:rsidR="004C2D1E">
        <w:rPr>
          <w:rFonts w:ascii="Arial" w:hAnsi="Arial" w:cs="Arial"/>
          <w:szCs w:val="24"/>
        </w:rPr>
        <w:t>allow some</w:t>
      </w:r>
      <w:r w:rsidR="00423D9F">
        <w:rPr>
          <w:rFonts w:ascii="Arial" w:hAnsi="Arial" w:cs="Arial"/>
          <w:szCs w:val="24"/>
        </w:rPr>
        <w:t xml:space="preserve"> flexibility. </w:t>
      </w:r>
    </w:p>
    <w:p w:rsidR="00BE01F9" w:rsidRDefault="00BE01F9" w:rsidP="00FA2F7A">
      <w:pPr>
        <w:jc w:val="both"/>
        <w:rPr>
          <w:rFonts w:ascii="Arial" w:hAnsi="Arial" w:cs="Arial"/>
          <w:szCs w:val="24"/>
        </w:rPr>
      </w:pPr>
    </w:p>
    <w:p w:rsidR="00DA51FA" w:rsidRDefault="008211E1" w:rsidP="00FA2F7A">
      <w:pPr>
        <w:jc w:val="both"/>
        <w:rPr>
          <w:rFonts w:ascii="Arial" w:hAnsi="Arial" w:cs="Arial"/>
          <w:b/>
          <w:szCs w:val="24"/>
        </w:rPr>
      </w:pPr>
      <w:r>
        <w:rPr>
          <w:rFonts w:ascii="Arial" w:hAnsi="Arial" w:cs="Arial"/>
          <w:szCs w:val="24"/>
        </w:rPr>
        <w:t>My proposal is that</w:t>
      </w:r>
      <w:r w:rsidR="00381BF8">
        <w:rPr>
          <w:rFonts w:ascii="Arial" w:hAnsi="Arial" w:cs="Arial"/>
          <w:szCs w:val="24"/>
        </w:rPr>
        <w:t xml:space="preserve"> the structural changes from central government </w:t>
      </w:r>
      <w:r w:rsidR="00BE01F9">
        <w:rPr>
          <w:rFonts w:ascii="Arial" w:hAnsi="Arial" w:cs="Arial"/>
          <w:szCs w:val="24"/>
        </w:rPr>
        <w:t>together with the additionality fro</w:t>
      </w:r>
      <w:r w:rsidR="00381BF8">
        <w:rPr>
          <w:rFonts w:ascii="Arial" w:hAnsi="Arial" w:cs="Arial"/>
          <w:szCs w:val="24"/>
        </w:rPr>
        <w:t xml:space="preserve">m </w:t>
      </w:r>
      <w:r w:rsidR="00BE01F9">
        <w:rPr>
          <w:rFonts w:ascii="Arial" w:hAnsi="Arial" w:cs="Arial"/>
          <w:szCs w:val="24"/>
        </w:rPr>
        <w:t xml:space="preserve">local authority </w:t>
      </w:r>
      <w:r w:rsidR="0018276A">
        <w:rPr>
          <w:rFonts w:ascii="Arial" w:hAnsi="Arial" w:cs="Arial"/>
          <w:szCs w:val="24"/>
        </w:rPr>
        <w:t xml:space="preserve">precept collection funds are </w:t>
      </w:r>
      <w:r w:rsidR="00423D9F">
        <w:rPr>
          <w:rFonts w:ascii="Arial" w:hAnsi="Arial" w:cs="Arial"/>
          <w:szCs w:val="24"/>
        </w:rPr>
        <w:t xml:space="preserve">offset against the </w:t>
      </w:r>
      <w:r w:rsidR="00423D9F" w:rsidRPr="003C3BDE">
        <w:rPr>
          <w:rFonts w:ascii="Arial" w:hAnsi="Arial" w:cs="Arial"/>
          <w:szCs w:val="24"/>
        </w:rPr>
        <w:t xml:space="preserve">deficit to </w:t>
      </w:r>
      <w:r w:rsidR="00BE2E52" w:rsidRPr="003C3BDE">
        <w:rPr>
          <w:rFonts w:ascii="Arial" w:hAnsi="Arial" w:cs="Arial"/>
          <w:szCs w:val="24"/>
        </w:rPr>
        <w:t>reduce</w:t>
      </w:r>
      <w:r w:rsidR="00423D9F" w:rsidRPr="003C3BDE">
        <w:rPr>
          <w:rFonts w:ascii="Arial" w:hAnsi="Arial" w:cs="Arial"/>
          <w:szCs w:val="24"/>
        </w:rPr>
        <w:t xml:space="preserve"> the total</w:t>
      </w:r>
      <w:r w:rsidR="00BE2E52" w:rsidRPr="003C3BDE">
        <w:rPr>
          <w:rFonts w:ascii="Arial" w:hAnsi="Arial" w:cs="Arial"/>
          <w:szCs w:val="24"/>
        </w:rPr>
        <w:t xml:space="preserve"> </w:t>
      </w:r>
      <w:r w:rsidR="00423D9F" w:rsidRPr="003C3BDE">
        <w:rPr>
          <w:rFonts w:ascii="Arial" w:hAnsi="Arial" w:cs="Arial"/>
          <w:szCs w:val="24"/>
        </w:rPr>
        <w:t xml:space="preserve">deficit </w:t>
      </w:r>
      <w:r w:rsidR="003766A2" w:rsidRPr="003C3BDE">
        <w:rPr>
          <w:rFonts w:ascii="Arial" w:hAnsi="Arial" w:cs="Arial"/>
          <w:szCs w:val="24"/>
        </w:rPr>
        <w:t xml:space="preserve">to </w:t>
      </w:r>
      <w:r w:rsidR="003C3BDE" w:rsidRPr="00955674">
        <w:rPr>
          <w:rFonts w:ascii="Arial" w:hAnsi="Arial" w:cs="Arial"/>
          <w:szCs w:val="24"/>
        </w:rPr>
        <w:t>£1.123</w:t>
      </w:r>
      <w:r w:rsidR="008966DA" w:rsidRPr="00955674">
        <w:rPr>
          <w:rFonts w:ascii="Arial" w:hAnsi="Arial" w:cs="Arial"/>
          <w:szCs w:val="24"/>
        </w:rPr>
        <w:t>m</w:t>
      </w:r>
      <w:r w:rsidR="003C3BDE" w:rsidRPr="00955674">
        <w:rPr>
          <w:rFonts w:ascii="Arial" w:hAnsi="Arial" w:cs="Arial"/>
          <w:szCs w:val="24"/>
        </w:rPr>
        <w:t xml:space="preserve"> </w:t>
      </w:r>
      <w:r w:rsidR="003766A2" w:rsidRPr="00955674">
        <w:rPr>
          <w:rFonts w:ascii="Arial" w:hAnsi="Arial" w:cs="Arial"/>
          <w:szCs w:val="24"/>
        </w:rPr>
        <w:t>in 2018/19.</w:t>
      </w:r>
      <w:r w:rsidR="0018276A">
        <w:rPr>
          <w:rFonts w:ascii="Arial" w:hAnsi="Arial" w:cs="Arial"/>
          <w:b/>
          <w:szCs w:val="24"/>
        </w:rPr>
        <w:t xml:space="preserve">  </w:t>
      </w:r>
    </w:p>
    <w:p w:rsidR="00DA51FA" w:rsidRDefault="00DA51FA" w:rsidP="00FA2F7A">
      <w:pPr>
        <w:jc w:val="both"/>
        <w:rPr>
          <w:rFonts w:ascii="Arial" w:hAnsi="Arial" w:cs="Arial"/>
          <w:b/>
          <w:szCs w:val="24"/>
        </w:rPr>
      </w:pPr>
    </w:p>
    <w:p w:rsidR="005B5B27" w:rsidRPr="00DA51FA" w:rsidRDefault="00617869" w:rsidP="00FA2F7A">
      <w:pPr>
        <w:jc w:val="both"/>
        <w:rPr>
          <w:rFonts w:ascii="Arial" w:hAnsi="Arial" w:cs="Arial"/>
          <w:szCs w:val="24"/>
        </w:rPr>
      </w:pPr>
      <w:r>
        <w:rPr>
          <w:rFonts w:ascii="Arial" w:hAnsi="Arial" w:cs="Arial"/>
          <w:szCs w:val="24"/>
        </w:rPr>
        <w:t xml:space="preserve">It is with </w:t>
      </w:r>
      <w:r w:rsidR="00A529C5">
        <w:rPr>
          <w:rFonts w:ascii="Arial" w:hAnsi="Arial" w:cs="Arial"/>
          <w:szCs w:val="24"/>
        </w:rPr>
        <w:t xml:space="preserve">regret that it is necessary that a small part of the precept uplift is used to balance this remaining deficit. </w:t>
      </w:r>
      <w:r w:rsidR="005B5B27">
        <w:rPr>
          <w:rFonts w:ascii="Arial" w:hAnsi="Arial" w:cs="Arial"/>
          <w:szCs w:val="24"/>
        </w:rPr>
        <w:t>However, this allows us to fund the unconsolidated pay award (£1.546</w:t>
      </w:r>
      <w:r w:rsidR="008966DA">
        <w:rPr>
          <w:rFonts w:ascii="Arial" w:hAnsi="Arial" w:cs="Arial"/>
          <w:szCs w:val="24"/>
        </w:rPr>
        <w:t>m</w:t>
      </w:r>
      <w:r w:rsidR="005B5B27">
        <w:rPr>
          <w:rFonts w:ascii="Arial" w:hAnsi="Arial" w:cs="Arial"/>
          <w:szCs w:val="24"/>
        </w:rPr>
        <w:t xml:space="preserve">) as part of the core budget going forward </w:t>
      </w:r>
      <w:r w:rsidR="008966DA">
        <w:rPr>
          <w:rFonts w:ascii="Arial" w:hAnsi="Arial" w:cs="Arial"/>
          <w:szCs w:val="24"/>
        </w:rPr>
        <w:t xml:space="preserve">instead of </w:t>
      </w:r>
      <w:r w:rsidR="005B5B27">
        <w:rPr>
          <w:rFonts w:ascii="Arial" w:hAnsi="Arial" w:cs="Arial"/>
          <w:szCs w:val="24"/>
        </w:rPr>
        <w:t xml:space="preserve">a </w:t>
      </w:r>
      <w:r w:rsidR="008966DA">
        <w:rPr>
          <w:rFonts w:ascii="Arial" w:hAnsi="Arial" w:cs="Arial"/>
          <w:szCs w:val="24"/>
        </w:rPr>
        <w:t xml:space="preserve">proposed </w:t>
      </w:r>
      <w:r w:rsidR="005B5B27">
        <w:rPr>
          <w:rFonts w:ascii="Arial" w:hAnsi="Arial" w:cs="Arial"/>
          <w:szCs w:val="24"/>
        </w:rPr>
        <w:t>one off payment from reserves and an increase to the police staff vacancy factor</w:t>
      </w:r>
      <w:r w:rsidR="00891A23">
        <w:rPr>
          <w:rFonts w:ascii="Arial" w:hAnsi="Arial" w:cs="Arial"/>
          <w:szCs w:val="24"/>
        </w:rPr>
        <w:t>, n</w:t>
      </w:r>
      <w:r w:rsidR="00DA51FA">
        <w:rPr>
          <w:rFonts w:ascii="Arial" w:hAnsi="Arial" w:cs="Arial"/>
          <w:szCs w:val="24"/>
        </w:rPr>
        <w:t>either of which is a sustainable solution</w:t>
      </w:r>
      <w:r w:rsidR="009071DE">
        <w:rPr>
          <w:rFonts w:ascii="Arial" w:hAnsi="Arial" w:cs="Arial"/>
          <w:szCs w:val="24"/>
        </w:rPr>
        <w:t>.</w:t>
      </w:r>
      <w:r w:rsidR="00DA51FA">
        <w:rPr>
          <w:rFonts w:ascii="Arial" w:hAnsi="Arial" w:cs="Arial"/>
          <w:szCs w:val="24"/>
        </w:rPr>
        <w:t xml:space="preserve"> </w:t>
      </w:r>
    </w:p>
    <w:p w:rsidR="00423D9F" w:rsidRDefault="00423D9F" w:rsidP="00FA2F7A">
      <w:pPr>
        <w:jc w:val="both"/>
        <w:rPr>
          <w:rFonts w:ascii="Arial" w:hAnsi="Arial" w:cs="Arial"/>
          <w:szCs w:val="24"/>
        </w:rPr>
      </w:pPr>
    </w:p>
    <w:p w:rsidR="00B63C3B" w:rsidRDefault="00B63C3B" w:rsidP="00B63C3B">
      <w:pPr>
        <w:rPr>
          <w:rFonts w:ascii="Arial" w:hAnsi="Arial" w:cs="Arial"/>
          <w:b/>
          <w:szCs w:val="24"/>
        </w:rPr>
      </w:pPr>
    </w:p>
    <w:p w:rsidR="007972DE" w:rsidRPr="004E79A3" w:rsidRDefault="00240146" w:rsidP="00B63C3B">
      <w:pPr>
        <w:rPr>
          <w:rFonts w:ascii="Arial" w:hAnsi="Arial" w:cs="Arial"/>
          <w:b/>
          <w:szCs w:val="24"/>
        </w:rPr>
      </w:pPr>
      <w:r>
        <w:rPr>
          <w:rFonts w:ascii="Arial" w:hAnsi="Arial" w:cs="Arial"/>
          <w:b/>
          <w:szCs w:val="24"/>
        </w:rPr>
        <w:t>Precept increase</w:t>
      </w:r>
    </w:p>
    <w:p w:rsidR="00244DED" w:rsidRDefault="00244DED" w:rsidP="00FA2F7A">
      <w:pPr>
        <w:jc w:val="both"/>
        <w:rPr>
          <w:rFonts w:ascii="Arial" w:hAnsi="Arial" w:cs="Arial"/>
          <w:szCs w:val="24"/>
        </w:rPr>
      </w:pPr>
    </w:p>
    <w:p w:rsidR="00F556C9" w:rsidRDefault="00F556C9" w:rsidP="00FA2F7A">
      <w:pPr>
        <w:jc w:val="both"/>
        <w:rPr>
          <w:rFonts w:ascii="Arial" w:hAnsi="Arial" w:cs="Arial"/>
          <w:szCs w:val="24"/>
        </w:rPr>
      </w:pPr>
    </w:p>
    <w:p w:rsidR="00381BF8" w:rsidRPr="00955674" w:rsidRDefault="00244DED" w:rsidP="00FA2F7A">
      <w:pPr>
        <w:jc w:val="both"/>
        <w:rPr>
          <w:rFonts w:ascii="Arial" w:hAnsi="Arial" w:cs="Arial"/>
          <w:szCs w:val="24"/>
        </w:rPr>
      </w:pPr>
      <w:r w:rsidRPr="00955674">
        <w:rPr>
          <w:rFonts w:ascii="Arial" w:hAnsi="Arial" w:cs="Arial"/>
          <w:szCs w:val="24"/>
        </w:rPr>
        <w:t xml:space="preserve">As result of the leadership provided by you in your APCC role and the NPCC, there is a new and </w:t>
      </w:r>
      <w:r w:rsidR="000663AF" w:rsidRPr="00955674">
        <w:rPr>
          <w:rFonts w:ascii="Arial" w:hAnsi="Arial" w:cs="Arial"/>
          <w:szCs w:val="24"/>
        </w:rPr>
        <w:t>more favourable settlement</w:t>
      </w:r>
      <w:r w:rsidRPr="00955674">
        <w:rPr>
          <w:rFonts w:ascii="Arial" w:hAnsi="Arial" w:cs="Arial"/>
          <w:szCs w:val="24"/>
        </w:rPr>
        <w:t xml:space="preserve"> which</w:t>
      </w:r>
      <w:r w:rsidR="000663AF" w:rsidRPr="00955674">
        <w:rPr>
          <w:rFonts w:ascii="Arial" w:hAnsi="Arial" w:cs="Arial"/>
          <w:szCs w:val="24"/>
        </w:rPr>
        <w:t xml:space="preserve"> includes flat cash for the grants and the ability</w:t>
      </w:r>
      <w:r w:rsidRPr="00955674">
        <w:rPr>
          <w:rFonts w:ascii="Arial" w:hAnsi="Arial" w:cs="Arial"/>
          <w:szCs w:val="24"/>
        </w:rPr>
        <w:t xml:space="preserve"> to raise the precept up to £12. </w:t>
      </w:r>
      <w:r w:rsidR="000663AF" w:rsidRPr="00955674">
        <w:rPr>
          <w:rFonts w:ascii="Arial" w:hAnsi="Arial" w:cs="Arial"/>
          <w:szCs w:val="24"/>
        </w:rPr>
        <w:t xml:space="preserve"> I am now in a position to formally request that you raise the council tax by 7.62% which is the maximum allowable without a referendum, thereby having </w:t>
      </w:r>
      <w:r w:rsidR="00C731D7" w:rsidRPr="00955674">
        <w:rPr>
          <w:rFonts w:ascii="Arial" w:hAnsi="Arial" w:cs="Arial"/>
          <w:szCs w:val="24"/>
        </w:rPr>
        <w:t xml:space="preserve">a Council Tax Band D of £169.02. </w:t>
      </w:r>
    </w:p>
    <w:p w:rsidR="00381BF8" w:rsidRPr="00955674" w:rsidRDefault="00381BF8" w:rsidP="00FA2F7A">
      <w:pPr>
        <w:jc w:val="both"/>
        <w:rPr>
          <w:rFonts w:ascii="Arial" w:hAnsi="Arial" w:cs="Arial"/>
          <w:szCs w:val="24"/>
        </w:rPr>
      </w:pPr>
    </w:p>
    <w:p w:rsidR="000663AF" w:rsidRDefault="00C731D7" w:rsidP="00FA2F7A">
      <w:pPr>
        <w:jc w:val="both"/>
        <w:rPr>
          <w:rFonts w:ascii="Arial" w:hAnsi="Arial" w:cs="Arial"/>
          <w:szCs w:val="24"/>
        </w:rPr>
      </w:pPr>
      <w:r w:rsidRPr="00955674">
        <w:rPr>
          <w:rFonts w:ascii="Arial" w:hAnsi="Arial" w:cs="Arial"/>
          <w:szCs w:val="24"/>
        </w:rPr>
        <w:t>This will raise</w:t>
      </w:r>
      <w:r w:rsidR="000663AF" w:rsidRPr="00955674">
        <w:rPr>
          <w:rFonts w:ascii="Arial" w:hAnsi="Arial" w:cs="Arial"/>
          <w:szCs w:val="24"/>
        </w:rPr>
        <w:t xml:space="preserve"> an additional </w:t>
      </w:r>
      <w:r w:rsidR="00595020" w:rsidRPr="00955674">
        <w:rPr>
          <w:rFonts w:ascii="Arial" w:hAnsi="Arial" w:cs="Arial"/>
          <w:szCs w:val="24"/>
        </w:rPr>
        <w:t>£7.55</w:t>
      </w:r>
      <w:r w:rsidR="00FF77AE" w:rsidRPr="00955674">
        <w:rPr>
          <w:rFonts w:ascii="Arial" w:hAnsi="Arial" w:cs="Arial"/>
          <w:szCs w:val="24"/>
        </w:rPr>
        <w:t>7</w:t>
      </w:r>
      <w:r w:rsidR="000663AF" w:rsidRPr="00955674">
        <w:rPr>
          <w:rFonts w:ascii="Arial" w:hAnsi="Arial" w:cs="Arial"/>
          <w:szCs w:val="24"/>
        </w:rPr>
        <w:t>m</w:t>
      </w:r>
      <w:r w:rsidRPr="00955674">
        <w:rPr>
          <w:rFonts w:ascii="Arial" w:hAnsi="Arial" w:cs="Arial"/>
          <w:szCs w:val="24"/>
        </w:rPr>
        <w:t xml:space="preserve"> </w:t>
      </w:r>
      <w:r w:rsidR="000663AF" w:rsidRPr="00955674">
        <w:rPr>
          <w:rFonts w:ascii="Arial" w:hAnsi="Arial" w:cs="Arial"/>
          <w:szCs w:val="24"/>
        </w:rPr>
        <w:t>realising a 2018/19 budget of £277.429m.</w:t>
      </w:r>
      <w:r w:rsidR="000663AF">
        <w:rPr>
          <w:rFonts w:ascii="Arial" w:hAnsi="Arial" w:cs="Arial"/>
          <w:szCs w:val="24"/>
        </w:rPr>
        <w:t xml:space="preserve"> </w:t>
      </w:r>
    </w:p>
    <w:p w:rsidR="000663AF" w:rsidRDefault="000663AF" w:rsidP="00FA2F7A">
      <w:pPr>
        <w:jc w:val="both"/>
        <w:rPr>
          <w:rFonts w:ascii="Arial" w:hAnsi="Arial" w:cs="Arial"/>
          <w:szCs w:val="24"/>
        </w:rPr>
      </w:pPr>
    </w:p>
    <w:p w:rsidR="00381BF8" w:rsidRDefault="00D438AC" w:rsidP="00FA2F7A">
      <w:pPr>
        <w:jc w:val="both"/>
        <w:rPr>
          <w:rFonts w:ascii="Arial" w:hAnsi="Arial" w:cs="Arial"/>
          <w:szCs w:val="24"/>
        </w:rPr>
      </w:pPr>
      <w:r>
        <w:rPr>
          <w:rFonts w:ascii="Arial" w:hAnsi="Arial" w:cs="Arial"/>
          <w:szCs w:val="24"/>
        </w:rPr>
        <w:t>Her Majesty’s Inspectorate of Constabulary, Fire and Rescue Service (</w:t>
      </w:r>
      <w:r w:rsidR="00381BF8">
        <w:rPr>
          <w:rFonts w:ascii="Arial" w:hAnsi="Arial" w:cs="Arial"/>
          <w:szCs w:val="24"/>
        </w:rPr>
        <w:t>HMICFRS</w:t>
      </w:r>
      <w:r>
        <w:rPr>
          <w:rFonts w:ascii="Arial" w:hAnsi="Arial" w:cs="Arial"/>
          <w:szCs w:val="24"/>
        </w:rPr>
        <w:t>)</w:t>
      </w:r>
      <w:r w:rsidR="00381BF8">
        <w:rPr>
          <w:rFonts w:ascii="Arial" w:hAnsi="Arial" w:cs="Arial"/>
          <w:szCs w:val="24"/>
        </w:rPr>
        <w:t xml:space="preserve"> and PA</w:t>
      </w:r>
      <w:r>
        <w:rPr>
          <w:rFonts w:ascii="Arial" w:hAnsi="Arial" w:cs="Arial"/>
          <w:szCs w:val="24"/>
        </w:rPr>
        <w:t xml:space="preserve"> Consulting’s</w:t>
      </w:r>
      <w:r w:rsidR="00381BF8">
        <w:rPr>
          <w:rFonts w:ascii="Arial" w:hAnsi="Arial" w:cs="Arial"/>
          <w:szCs w:val="24"/>
        </w:rPr>
        <w:t xml:space="preserve"> Review together with pubic f</w:t>
      </w:r>
      <w:r>
        <w:rPr>
          <w:rFonts w:ascii="Arial" w:hAnsi="Arial" w:cs="Arial"/>
          <w:szCs w:val="24"/>
        </w:rPr>
        <w:t>eedback make clear the</w:t>
      </w:r>
      <w:r w:rsidR="008966DA">
        <w:rPr>
          <w:rFonts w:ascii="Arial" w:hAnsi="Arial" w:cs="Arial"/>
          <w:szCs w:val="24"/>
        </w:rPr>
        <w:t xml:space="preserve"> need to strengthen community and local</w:t>
      </w:r>
      <w:r>
        <w:rPr>
          <w:rFonts w:ascii="Arial" w:hAnsi="Arial" w:cs="Arial"/>
          <w:szCs w:val="24"/>
        </w:rPr>
        <w:t xml:space="preserve"> policing</w:t>
      </w:r>
      <w:r w:rsidR="00F556C9">
        <w:rPr>
          <w:rFonts w:ascii="Arial" w:hAnsi="Arial" w:cs="Arial"/>
          <w:szCs w:val="24"/>
        </w:rPr>
        <w:t xml:space="preserve"> </w:t>
      </w:r>
      <w:r w:rsidR="008966DA">
        <w:rPr>
          <w:rFonts w:ascii="Arial" w:hAnsi="Arial" w:cs="Arial"/>
          <w:szCs w:val="24"/>
        </w:rPr>
        <w:t>arrangements</w:t>
      </w:r>
      <w:r>
        <w:rPr>
          <w:rFonts w:ascii="Arial" w:hAnsi="Arial" w:cs="Arial"/>
          <w:szCs w:val="24"/>
        </w:rPr>
        <w:t xml:space="preserve">. </w:t>
      </w:r>
      <w:r w:rsidR="00381BF8">
        <w:rPr>
          <w:rFonts w:ascii="Arial" w:hAnsi="Arial" w:cs="Arial"/>
          <w:szCs w:val="24"/>
        </w:rPr>
        <w:t>Therefore my</w:t>
      </w:r>
      <w:r w:rsidR="000663AF">
        <w:rPr>
          <w:rFonts w:ascii="Arial" w:hAnsi="Arial" w:cs="Arial"/>
          <w:szCs w:val="24"/>
        </w:rPr>
        <w:t xml:space="preserve"> proposal is that the</w:t>
      </w:r>
      <w:r w:rsidR="00AD7F20">
        <w:rPr>
          <w:rFonts w:ascii="Arial" w:hAnsi="Arial" w:cs="Arial"/>
          <w:szCs w:val="24"/>
        </w:rPr>
        <w:t xml:space="preserve"> majority of </w:t>
      </w:r>
      <w:r w:rsidR="000663AF">
        <w:rPr>
          <w:rFonts w:ascii="Arial" w:hAnsi="Arial" w:cs="Arial"/>
          <w:szCs w:val="24"/>
        </w:rPr>
        <w:t>additional funding from the precept is invest</w:t>
      </w:r>
      <w:r w:rsidR="002300C4">
        <w:rPr>
          <w:rFonts w:ascii="Arial" w:hAnsi="Arial" w:cs="Arial"/>
          <w:szCs w:val="24"/>
        </w:rPr>
        <w:t>ed</w:t>
      </w:r>
      <w:r w:rsidR="000663AF">
        <w:rPr>
          <w:rFonts w:ascii="Arial" w:hAnsi="Arial" w:cs="Arial"/>
          <w:szCs w:val="24"/>
        </w:rPr>
        <w:t xml:space="preserve"> in 150 additional police office</w:t>
      </w:r>
      <w:r w:rsidR="00007850">
        <w:rPr>
          <w:rFonts w:ascii="Arial" w:hAnsi="Arial" w:cs="Arial"/>
          <w:szCs w:val="24"/>
        </w:rPr>
        <w:t>rs</w:t>
      </w:r>
      <w:r w:rsidR="00381BF8">
        <w:rPr>
          <w:rFonts w:ascii="Arial" w:hAnsi="Arial" w:cs="Arial"/>
          <w:szCs w:val="24"/>
        </w:rPr>
        <w:t xml:space="preserve"> who w</w:t>
      </w:r>
      <w:r w:rsidR="005B3981">
        <w:rPr>
          <w:rFonts w:ascii="Arial" w:hAnsi="Arial" w:cs="Arial"/>
          <w:szCs w:val="24"/>
        </w:rPr>
        <w:t>ill overwhelmingly be suppor</w:t>
      </w:r>
      <w:r w:rsidR="00381BF8">
        <w:rPr>
          <w:rFonts w:ascii="Arial" w:hAnsi="Arial" w:cs="Arial"/>
          <w:szCs w:val="24"/>
        </w:rPr>
        <w:t>t</w:t>
      </w:r>
      <w:r w:rsidR="005B3981">
        <w:rPr>
          <w:rFonts w:ascii="Arial" w:hAnsi="Arial" w:cs="Arial"/>
          <w:szCs w:val="24"/>
        </w:rPr>
        <w:t xml:space="preserve">ing local </w:t>
      </w:r>
      <w:r>
        <w:rPr>
          <w:rFonts w:ascii="Arial" w:hAnsi="Arial" w:cs="Arial"/>
          <w:szCs w:val="24"/>
        </w:rPr>
        <w:t>pol</w:t>
      </w:r>
      <w:r w:rsidR="00381BF8">
        <w:rPr>
          <w:rFonts w:ascii="Arial" w:hAnsi="Arial" w:cs="Arial"/>
          <w:szCs w:val="24"/>
        </w:rPr>
        <w:t>i</w:t>
      </w:r>
      <w:r>
        <w:rPr>
          <w:rFonts w:ascii="Arial" w:hAnsi="Arial" w:cs="Arial"/>
          <w:szCs w:val="24"/>
        </w:rPr>
        <w:t>ci</w:t>
      </w:r>
      <w:r w:rsidR="00381BF8">
        <w:rPr>
          <w:rFonts w:ascii="Arial" w:hAnsi="Arial" w:cs="Arial"/>
          <w:szCs w:val="24"/>
        </w:rPr>
        <w:t>n</w:t>
      </w:r>
      <w:r>
        <w:rPr>
          <w:rFonts w:ascii="Arial" w:hAnsi="Arial" w:cs="Arial"/>
          <w:szCs w:val="24"/>
        </w:rPr>
        <w:t>g</w:t>
      </w:r>
      <w:r w:rsidR="00381BF8">
        <w:rPr>
          <w:rFonts w:ascii="Arial" w:hAnsi="Arial" w:cs="Arial"/>
          <w:szCs w:val="24"/>
        </w:rPr>
        <w:t xml:space="preserve"> arrang</w:t>
      </w:r>
      <w:r>
        <w:rPr>
          <w:rFonts w:ascii="Arial" w:hAnsi="Arial" w:cs="Arial"/>
          <w:szCs w:val="24"/>
        </w:rPr>
        <w:t>e</w:t>
      </w:r>
      <w:r w:rsidR="00381BF8">
        <w:rPr>
          <w:rFonts w:ascii="Arial" w:hAnsi="Arial" w:cs="Arial"/>
          <w:szCs w:val="24"/>
        </w:rPr>
        <w:t>ments. This will meet</w:t>
      </w:r>
      <w:r w:rsidR="005B3981">
        <w:rPr>
          <w:rFonts w:ascii="Arial" w:hAnsi="Arial" w:cs="Arial"/>
          <w:szCs w:val="24"/>
        </w:rPr>
        <w:t xml:space="preserve"> </w:t>
      </w:r>
      <w:r w:rsidR="00381BF8">
        <w:rPr>
          <w:rFonts w:ascii="Arial" w:hAnsi="Arial" w:cs="Arial"/>
          <w:szCs w:val="24"/>
        </w:rPr>
        <w:t>our aspiratio</w:t>
      </w:r>
      <w:r w:rsidR="005B3981">
        <w:rPr>
          <w:rFonts w:ascii="Arial" w:hAnsi="Arial" w:cs="Arial"/>
          <w:szCs w:val="24"/>
        </w:rPr>
        <w:t xml:space="preserve">n </w:t>
      </w:r>
      <w:r w:rsidR="00381BF8">
        <w:rPr>
          <w:rFonts w:ascii="Arial" w:hAnsi="Arial" w:cs="Arial"/>
          <w:szCs w:val="24"/>
        </w:rPr>
        <w:t>of</w:t>
      </w:r>
      <w:r w:rsidR="005B3981">
        <w:rPr>
          <w:rFonts w:ascii="Arial" w:hAnsi="Arial" w:cs="Arial"/>
          <w:szCs w:val="24"/>
        </w:rPr>
        <w:t xml:space="preserve"> increasing E</w:t>
      </w:r>
      <w:r>
        <w:rPr>
          <w:rFonts w:ascii="Arial" w:hAnsi="Arial" w:cs="Arial"/>
          <w:szCs w:val="24"/>
        </w:rPr>
        <w:t xml:space="preserve">ssex </w:t>
      </w:r>
      <w:r w:rsidR="005B3981">
        <w:rPr>
          <w:rFonts w:ascii="Arial" w:hAnsi="Arial" w:cs="Arial"/>
          <w:szCs w:val="24"/>
        </w:rPr>
        <w:t>P</w:t>
      </w:r>
      <w:r>
        <w:rPr>
          <w:rFonts w:ascii="Arial" w:hAnsi="Arial" w:cs="Arial"/>
          <w:szCs w:val="24"/>
        </w:rPr>
        <w:t>olice</w:t>
      </w:r>
      <w:r w:rsidR="005B3981">
        <w:rPr>
          <w:rFonts w:ascii="Arial" w:hAnsi="Arial" w:cs="Arial"/>
          <w:szCs w:val="24"/>
        </w:rPr>
        <w:t xml:space="preserve"> establish</w:t>
      </w:r>
      <w:r w:rsidR="00381BF8">
        <w:rPr>
          <w:rFonts w:ascii="Arial" w:hAnsi="Arial" w:cs="Arial"/>
          <w:szCs w:val="24"/>
        </w:rPr>
        <w:t xml:space="preserve">ment to </w:t>
      </w:r>
      <w:r w:rsidR="00CC46D9">
        <w:rPr>
          <w:rFonts w:ascii="Arial" w:hAnsi="Arial" w:cs="Arial"/>
          <w:szCs w:val="24"/>
        </w:rPr>
        <w:t>at least</w:t>
      </w:r>
      <w:r w:rsidR="00AD7F20">
        <w:rPr>
          <w:rFonts w:ascii="Arial" w:hAnsi="Arial" w:cs="Arial"/>
          <w:szCs w:val="24"/>
        </w:rPr>
        <w:t xml:space="preserve"> </w:t>
      </w:r>
      <w:r w:rsidR="00007850">
        <w:rPr>
          <w:rFonts w:ascii="Arial" w:hAnsi="Arial" w:cs="Arial"/>
          <w:szCs w:val="24"/>
        </w:rPr>
        <w:t>3,000</w:t>
      </w:r>
      <w:r w:rsidR="002300C4">
        <w:rPr>
          <w:rFonts w:ascii="Arial" w:hAnsi="Arial" w:cs="Arial"/>
          <w:szCs w:val="24"/>
        </w:rPr>
        <w:t xml:space="preserve"> FTEs</w:t>
      </w:r>
      <w:r w:rsidR="00AD7F20">
        <w:rPr>
          <w:rFonts w:ascii="Arial" w:hAnsi="Arial" w:cs="Arial"/>
          <w:szCs w:val="24"/>
        </w:rPr>
        <w:t xml:space="preserve"> </w:t>
      </w:r>
      <w:r w:rsidR="00007850">
        <w:rPr>
          <w:rFonts w:ascii="Arial" w:hAnsi="Arial" w:cs="Arial"/>
          <w:szCs w:val="24"/>
        </w:rPr>
        <w:t xml:space="preserve">by March 2019. </w:t>
      </w:r>
    </w:p>
    <w:p w:rsidR="00381BF8" w:rsidRDefault="00381BF8" w:rsidP="00FA2F7A">
      <w:pPr>
        <w:jc w:val="both"/>
        <w:rPr>
          <w:rFonts w:ascii="Arial" w:hAnsi="Arial" w:cs="Arial"/>
          <w:szCs w:val="24"/>
        </w:rPr>
      </w:pPr>
    </w:p>
    <w:p w:rsidR="00075CD1" w:rsidRDefault="00617869" w:rsidP="00FA2F7A">
      <w:pPr>
        <w:jc w:val="both"/>
        <w:rPr>
          <w:rFonts w:ascii="Arial" w:hAnsi="Arial" w:cs="Arial"/>
          <w:szCs w:val="24"/>
        </w:rPr>
      </w:pPr>
      <w:r>
        <w:rPr>
          <w:rFonts w:ascii="Arial" w:hAnsi="Arial" w:cs="Arial"/>
          <w:szCs w:val="24"/>
        </w:rPr>
        <w:t>Both y</w:t>
      </w:r>
      <w:r w:rsidR="00BE2E52">
        <w:rPr>
          <w:rFonts w:ascii="Arial" w:hAnsi="Arial" w:cs="Arial"/>
          <w:szCs w:val="24"/>
        </w:rPr>
        <w:t>ou</w:t>
      </w:r>
      <w:r>
        <w:rPr>
          <w:rFonts w:ascii="Arial" w:hAnsi="Arial" w:cs="Arial"/>
          <w:szCs w:val="24"/>
        </w:rPr>
        <w:t xml:space="preserve"> and the Police and Crime Panel</w:t>
      </w:r>
      <w:r w:rsidR="00BE2E52">
        <w:rPr>
          <w:rFonts w:ascii="Arial" w:hAnsi="Arial" w:cs="Arial"/>
          <w:szCs w:val="24"/>
        </w:rPr>
        <w:t xml:space="preserve"> are already familiar with </w:t>
      </w:r>
      <w:r w:rsidR="00AD28A4">
        <w:rPr>
          <w:rFonts w:ascii="Arial" w:hAnsi="Arial" w:cs="Arial"/>
          <w:szCs w:val="24"/>
        </w:rPr>
        <w:t xml:space="preserve">the findings from PA Consulting’s </w:t>
      </w:r>
      <w:r w:rsidR="006E1573">
        <w:rPr>
          <w:rFonts w:ascii="Arial" w:hAnsi="Arial" w:cs="Arial"/>
          <w:szCs w:val="24"/>
        </w:rPr>
        <w:t>Demand R</w:t>
      </w:r>
      <w:r w:rsidR="00AD28A4">
        <w:rPr>
          <w:rFonts w:ascii="Arial" w:hAnsi="Arial" w:cs="Arial"/>
          <w:szCs w:val="24"/>
        </w:rPr>
        <w:t xml:space="preserve">eview as well as </w:t>
      </w:r>
      <w:r w:rsidR="00D438AC">
        <w:rPr>
          <w:rFonts w:ascii="Arial" w:hAnsi="Arial" w:cs="Arial"/>
          <w:szCs w:val="24"/>
        </w:rPr>
        <w:t xml:space="preserve">our proposals for a </w:t>
      </w:r>
      <w:r w:rsidR="005B3981">
        <w:rPr>
          <w:rFonts w:ascii="Arial" w:hAnsi="Arial" w:cs="Arial"/>
          <w:szCs w:val="24"/>
        </w:rPr>
        <w:t xml:space="preserve">new </w:t>
      </w:r>
      <w:r w:rsidR="00AD28A4">
        <w:rPr>
          <w:rFonts w:ascii="Arial" w:hAnsi="Arial" w:cs="Arial"/>
          <w:szCs w:val="24"/>
        </w:rPr>
        <w:t xml:space="preserve">police operating model as </w:t>
      </w:r>
      <w:r w:rsidR="006E1573">
        <w:rPr>
          <w:rFonts w:ascii="Arial" w:hAnsi="Arial" w:cs="Arial"/>
          <w:szCs w:val="24"/>
        </w:rPr>
        <w:t>presented</w:t>
      </w:r>
      <w:r w:rsidR="00AD28A4">
        <w:rPr>
          <w:rFonts w:ascii="Arial" w:hAnsi="Arial" w:cs="Arial"/>
          <w:szCs w:val="24"/>
        </w:rPr>
        <w:t xml:space="preserve"> at the Strategic Board </w:t>
      </w:r>
      <w:r w:rsidR="0089653E">
        <w:rPr>
          <w:rFonts w:ascii="Arial" w:hAnsi="Arial" w:cs="Arial"/>
          <w:szCs w:val="24"/>
        </w:rPr>
        <w:t>last November</w:t>
      </w:r>
      <w:r w:rsidR="005B3981">
        <w:rPr>
          <w:rFonts w:ascii="Arial" w:hAnsi="Arial" w:cs="Arial"/>
          <w:szCs w:val="24"/>
        </w:rPr>
        <w:t xml:space="preserve"> which focuses on increasing visibility and local policing arrangements</w:t>
      </w:r>
      <w:r w:rsidR="00BE2E52">
        <w:rPr>
          <w:rFonts w:ascii="Arial" w:hAnsi="Arial" w:cs="Arial"/>
          <w:szCs w:val="24"/>
        </w:rPr>
        <w:t xml:space="preserve">. In the next few months </w:t>
      </w:r>
      <w:r w:rsidR="005B3981">
        <w:rPr>
          <w:rFonts w:ascii="Arial" w:hAnsi="Arial" w:cs="Arial"/>
          <w:szCs w:val="24"/>
        </w:rPr>
        <w:t xml:space="preserve">Essex Police </w:t>
      </w:r>
      <w:r w:rsidR="00BE2E52">
        <w:rPr>
          <w:rFonts w:ascii="Arial" w:hAnsi="Arial" w:cs="Arial"/>
          <w:szCs w:val="24"/>
        </w:rPr>
        <w:t xml:space="preserve">will work up a more detailed evidence based plan for the deployment of these additional officers </w:t>
      </w:r>
      <w:r w:rsidR="005B3981">
        <w:rPr>
          <w:rFonts w:ascii="Arial" w:hAnsi="Arial" w:cs="Arial"/>
          <w:szCs w:val="24"/>
        </w:rPr>
        <w:t>in line with our shared ambitions</w:t>
      </w:r>
      <w:r w:rsidR="00BE2E52">
        <w:rPr>
          <w:rFonts w:ascii="Arial" w:hAnsi="Arial" w:cs="Arial"/>
          <w:szCs w:val="24"/>
        </w:rPr>
        <w:t xml:space="preserve">. </w:t>
      </w:r>
    </w:p>
    <w:p w:rsidR="00AD7F20" w:rsidRDefault="00AD7F20" w:rsidP="00FA2F7A">
      <w:pPr>
        <w:jc w:val="both"/>
        <w:rPr>
          <w:rFonts w:ascii="Arial" w:hAnsi="Arial" w:cs="Arial"/>
          <w:szCs w:val="24"/>
        </w:rPr>
      </w:pPr>
    </w:p>
    <w:p w:rsidR="004E4F55" w:rsidRDefault="00007850" w:rsidP="00FA2F7A">
      <w:pPr>
        <w:jc w:val="both"/>
        <w:rPr>
          <w:rFonts w:ascii="Arial" w:hAnsi="Arial" w:cs="Arial"/>
          <w:szCs w:val="24"/>
        </w:rPr>
      </w:pPr>
      <w:r>
        <w:rPr>
          <w:rFonts w:ascii="Arial" w:hAnsi="Arial" w:cs="Arial"/>
          <w:szCs w:val="24"/>
        </w:rPr>
        <w:t>Appendix B sets out the plan for</w:t>
      </w:r>
      <w:r w:rsidR="00AD7F20">
        <w:rPr>
          <w:rFonts w:ascii="Arial" w:hAnsi="Arial" w:cs="Arial"/>
          <w:szCs w:val="24"/>
        </w:rPr>
        <w:t xml:space="preserve"> </w:t>
      </w:r>
      <w:r w:rsidR="0089653E">
        <w:rPr>
          <w:rFonts w:ascii="Arial" w:hAnsi="Arial" w:cs="Arial"/>
          <w:szCs w:val="24"/>
        </w:rPr>
        <w:t>recruiting</w:t>
      </w:r>
      <w:r>
        <w:rPr>
          <w:rFonts w:ascii="Arial" w:hAnsi="Arial" w:cs="Arial"/>
          <w:szCs w:val="24"/>
        </w:rPr>
        <w:t xml:space="preserve"> </w:t>
      </w:r>
      <w:r w:rsidR="005B3981">
        <w:rPr>
          <w:rFonts w:ascii="Arial" w:hAnsi="Arial" w:cs="Arial"/>
          <w:szCs w:val="24"/>
        </w:rPr>
        <w:t xml:space="preserve">to at least </w:t>
      </w:r>
      <w:r>
        <w:rPr>
          <w:rFonts w:ascii="Arial" w:hAnsi="Arial" w:cs="Arial"/>
          <w:szCs w:val="24"/>
        </w:rPr>
        <w:t>3</w:t>
      </w:r>
      <w:r w:rsidR="00E9329C">
        <w:rPr>
          <w:rFonts w:ascii="Arial" w:hAnsi="Arial" w:cs="Arial"/>
          <w:szCs w:val="24"/>
        </w:rPr>
        <w:t>,</w:t>
      </w:r>
      <w:r>
        <w:rPr>
          <w:rFonts w:ascii="Arial" w:hAnsi="Arial" w:cs="Arial"/>
          <w:szCs w:val="24"/>
        </w:rPr>
        <w:t>000 officers by the end of the financial year at a</w:t>
      </w:r>
      <w:r w:rsidR="00E9329C">
        <w:rPr>
          <w:rFonts w:ascii="Arial" w:hAnsi="Arial" w:cs="Arial"/>
          <w:szCs w:val="24"/>
        </w:rPr>
        <w:t>n additional</w:t>
      </w:r>
      <w:r>
        <w:rPr>
          <w:rFonts w:ascii="Arial" w:hAnsi="Arial" w:cs="Arial"/>
          <w:szCs w:val="24"/>
        </w:rPr>
        <w:t xml:space="preserve"> cost of £5.006m</w:t>
      </w:r>
      <w:r w:rsidR="00AD7F20">
        <w:rPr>
          <w:rFonts w:ascii="Arial" w:hAnsi="Arial" w:cs="Arial"/>
          <w:szCs w:val="24"/>
        </w:rPr>
        <w:t xml:space="preserve"> in 2018/19</w:t>
      </w:r>
      <w:r>
        <w:rPr>
          <w:rFonts w:ascii="Arial" w:hAnsi="Arial" w:cs="Arial"/>
          <w:szCs w:val="24"/>
        </w:rPr>
        <w:t>.</w:t>
      </w:r>
      <w:r w:rsidR="006D2042">
        <w:rPr>
          <w:rStyle w:val="FootnoteReference"/>
          <w:rFonts w:ascii="Arial" w:hAnsi="Arial" w:cs="Arial"/>
          <w:szCs w:val="24"/>
        </w:rPr>
        <w:footnoteReference w:id="3"/>
      </w:r>
      <w:r w:rsidR="00AD7F20">
        <w:rPr>
          <w:rFonts w:ascii="Arial" w:hAnsi="Arial" w:cs="Arial"/>
          <w:szCs w:val="24"/>
        </w:rPr>
        <w:t xml:space="preserve"> The full year effect for 2019/20 is £5.906m</w:t>
      </w:r>
      <w:r w:rsidR="005B3981">
        <w:rPr>
          <w:rFonts w:ascii="Arial" w:hAnsi="Arial" w:cs="Arial"/>
          <w:szCs w:val="24"/>
        </w:rPr>
        <w:t>. This demonstrates that our decision to run over establishment has assisted in achieving 3,000 officers in a more timely way</w:t>
      </w:r>
      <w:r w:rsidR="009071DE">
        <w:rPr>
          <w:rFonts w:ascii="Arial" w:hAnsi="Arial" w:cs="Arial"/>
          <w:szCs w:val="24"/>
        </w:rPr>
        <w:t>.</w:t>
      </w:r>
    </w:p>
    <w:p w:rsidR="003E6422" w:rsidRDefault="003E6422">
      <w:pPr>
        <w:rPr>
          <w:rFonts w:ascii="Arial" w:hAnsi="Arial" w:cs="Arial"/>
          <w:szCs w:val="24"/>
        </w:rPr>
      </w:pPr>
    </w:p>
    <w:p w:rsidR="005A2EF5" w:rsidRDefault="00AD28A4" w:rsidP="00FA2F7A">
      <w:pPr>
        <w:jc w:val="both"/>
        <w:rPr>
          <w:rFonts w:ascii="Arial" w:hAnsi="Arial" w:cs="Arial"/>
          <w:szCs w:val="24"/>
        </w:rPr>
      </w:pPr>
      <w:r w:rsidRPr="00955674">
        <w:rPr>
          <w:rFonts w:ascii="Arial" w:hAnsi="Arial" w:cs="Arial"/>
          <w:szCs w:val="24"/>
        </w:rPr>
        <w:t>B</w:t>
      </w:r>
      <w:r w:rsidR="00E9329C" w:rsidRPr="00955674">
        <w:rPr>
          <w:rFonts w:ascii="Arial" w:hAnsi="Arial" w:cs="Arial"/>
          <w:szCs w:val="24"/>
        </w:rPr>
        <w:t>ased on the full year effect</w:t>
      </w:r>
      <w:r w:rsidR="00595020" w:rsidRPr="00955674">
        <w:rPr>
          <w:rFonts w:ascii="Arial" w:hAnsi="Arial" w:cs="Arial"/>
          <w:szCs w:val="24"/>
        </w:rPr>
        <w:t xml:space="preserve"> (£5.906m)</w:t>
      </w:r>
      <w:r w:rsidRPr="00955674">
        <w:rPr>
          <w:rFonts w:ascii="Arial" w:hAnsi="Arial" w:cs="Arial"/>
          <w:szCs w:val="24"/>
        </w:rPr>
        <w:t xml:space="preserve"> this proposal would allocate </w:t>
      </w:r>
      <w:r w:rsidR="00E9329C" w:rsidRPr="00955674">
        <w:rPr>
          <w:rFonts w:ascii="Arial" w:hAnsi="Arial" w:cs="Arial"/>
          <w:szCs w:val="24"/>
        </w:rPr>
        <w:t xml:space="preserve">more than three quarters (78%) of the total precept increase </w:t>
      </w:r>
      <w:r w:rsidR="004E4F55" w:rsidRPr="00955674">
        <w:rPr>
          <w:rFonts w:ascii="Arial" w:hAnsi="Arial" w:cs="Arial"/>
          <w:szCs w:val="24"/>
        </w:rPr>
        <w:t xml:space="preserve">to local policing. </w:t>
      </w:r>
      <w:r w:rsidR="00A97C16">
        <w:rPr>
          <w:rFonts w:ascii="Arial" w:hAnsi="Arial" w:cs="Arial"/>
          <w:szCs w:val="24"/>
        </w:rPr>
        <w:t>However, to be clear the in-year effect due to lead in times for the additional officers, the spend will be £5.006m or 66%.</w:t>
      </w:r>
    </w:p>
    <w:p w:rsidR="00A97C16" w:rsidRDefault="00A97C16" w:rsidP="00FA2F7A">
      <w:pPr>
        <w:jc w:val="both"/>
        <w:rPr>
          <w:rFonts w:ascii="Arial" w:hAnsi="Arial" w:cs="Arial"/>
          <w:szCs w:val="24"/>
        </w:rPr>
      </w:pPr>
    </w:p>
    <w:p w:rsidR="003C252B" w:rsidRDefault="003C252B" w:rsidP="00FA2F7A">
      <w:pPr>
        <w:jc w:val="both"/>
        <w:rPr>
          <w:rFonts w:ascii="Arial" w:hAnsi="Arial" w:cs="Arial"/>
          <w:b/>
          <w:szCs w:val="24"/>
        </w:rPr>
      </w:pPr>
    </w:p>
    <w:p w:rsidR="005A2EF5" w:rsidRPr="005A2EF5" w:rsidRDefault="005A2EF5" w:rsidP="00FA2F7A">
      <w:pPr>
        <w:jc w:val="both"/>
        <w:rPr>
          <w:rFonts w:ascii="Arial" w:hAnsi="Arial" w:cs="Arial"/>
          <w:b/>
          <w:szCs w:val="24"/>
        </w:rPr>
      </w:pPr>
      <w:r w:rsidRPr="005A2EF5">
        <w:rPr>
          <w:rFonts w:ascii="Arial" w:hAnsi="Arial" w:cs="Arial"/>
          <w:b/>
          <w:szCs w:val="24"/>
        </w:rPr>
        <w:t>Savings and efficiency plan</w:t>
      </w:r>
    </w:p>
    <w:p w:rsidR="000663AF" w:rsidRDefault="000663AF" w:rsidP="00FA2F7A">
      <w:pPr>
        <w:jc w:val="both"/>
        <w:rPr>
          <w:rFonts w:ascii="Arial" w:hAnsi="Arial" w:cs="Arial"/>
          <w:szCs w:val="24"/>
        </w:rPr>
      </w:pPr>
    </w:p>
    <w:p w:rsidR="00F556C9" w:rsidRDefault="00F556C9" w:rsidP="00FA2F7A">
      <w:pPr>
        <w:jc w:val="both"/>
        <w:rPr>
          <w:rFonts w:ascii="Arial" w:hAnsi="Arial" w:cs="Arial"/>
          <w:szCs w:val="24"/>
        </w:rPr>
      </w:pPr>
    </w:p>
    <w:p w:rsidR="005A2EF5" w:rsidRDefault="005A2EF5" w:rsidP="00FA2F7A">
      <w:pPr>
        <w:jc w:val="both"/>
        <w:rPr>
          <w:rFonts w:ascii="Arial" w:hAnsi="Arial" w:cs="Arial"/>
          <w:szCs w:val="24"/>
        </w:rPr>
      </w:pPr>
      <w:r>
        <w:rPr>
          <w:rFonts w:ascii="Arial" w:hAnsi="Arial" w:cs="Arial"/>
          <w:szCs w:val="24"/>
        </w:rPr>
        <w:t>While I have proposed that the structural central government increase in core grant and the formula are used to reduce the</w:t>
      </w:r>
      <w:r w:rsidR="005B3981">
        <w:rPr>
          <w:rFonts w:ascii="Arial" w:hAnsi="Arial" w:cs="Arial"/>
          <w:szCs w:val="24"/>
        </w:rPr>
        <w:t xml:space="preserve"> existing</w:t>
      </w:r>
      <w:r>
        <w:rPr>
          <w:rFonts w:ascii="Arial" w:hAnsi="Arial" w:cs="Arial"/>
          <w:szCs w:val="24"/>
        </w:rPr>
        <w:t xml:space="preserve"> deficit next financial year, this is not indicative of a reduced emphasis on</w:t>
      </w:r>
      <w:r w:rsidR="005B3981">
        <w:rPr>
          <w:rFonts w:ascii="Arial" w:hAnsi="Arial" w:cs="Arial"/>
          <w:szCs w:val="24"/>
        </w:rPr>
        <w:t xml:space="preserve"> the force</w:t>
      </w:r>
      <w:r>
        <w:rPr>
          <w:rFonts w:ascii="Arial" w:hAnsi="Arial" w:cs="Arial"/>
          <w:szCs w:val="24"/>
        </w:rPr>
        <w:t xml:space="preserve"> </w:t>
      </w:r>
      <w:r w:rsidR="005B3981">
        <w:rPr>
          <w:rFonts w:ascii="Arial" w:hAnsi="Arial" w:cs="Arial"/>
          <w:szCs w:val="24"/>
        </w:rPr>
        <w:t>identifying</w:t>
      </w:r>
      <w:r>
        <w:rPr>
          <w:rFonts w:ascii="Arial" w:hAnsi="Arial" w:cs="Arial"/>
          <w:szCs w:val="24"/>
        </w:rPr>
        <w:t xml:space="preserve"> savings and efficiencies. Essex Police </w:t>
      </w:r>
      <w:r w:rsidR="005B3981">
        <w:rPr>
          <w:rFonts w:ascii="Arial" w:hAnsi="Arial" w:cs="Arial"/>
          <w:szCs w:val="24"/>
        </w:rPr>
        <w:t>is committed</w:t>
      </w:r>
      <w:r>
        <w:rPr>
          <w:rFonts w:ascii="Arial" w:hAnsi="Arial" w:cs="Arial"/>
          <w:szCs w:val="24"/>
        </w:rPr>
        <w:t xml:space="preserve"> in its efforts to modernise and drive efficiency</w:t>
      </w:r>
      <w:r w:rsidR="005B3981">
        <w:rPr>
          <w:rFonts w:ascii="Arial" w:hAnsi="Arial" w:cs="Arial"/>
          <w:szCs w:val="24"/>
        </w:rPr>
        <w:t>.</w:t>
      </w:r>
      <w:r>
        <w:rPr>
          <w:rFonts w:ascii="Arial" w:hAnsi="Arial" w:cs="Arial"/>
          <w:szCs w:val="24"/>
        </w:rPr>
        <w:t xml:space="preserve"> </w:t>
      </w:r>
      <w:r w:rsidR="005B3981">
        <w:rPr>
          <w:rFonts w:ascii="Arial" w:hAnsi="Arial" w:cs="Arial"/>
          <w:szCs w:val="24"/>
        </w:rPr>
        <w:t>T</w:t>
      </w:r>
      <w:r>
        <w:rPr>
          <w:rFonts w:ascii="Arial" w:hAnsi="Arial" w:cs="Arial"/>
          <w:szCs w:val="24"/>
        </w:rPr>
        <w:t xml:space="preserve">he proposed change to funding will not </w:t>
      </w:r>
      <w:r w:rsidR="000861D9">
        <w:rPr>
          <w:rFonts w:ascii="Arial" w:hAnsi="Arial" w:cs="Arial"/>
          <w:szCs w:val="24"/>
        </w:rPr>
        <w:t>diminish</w:t>
      </w:r>
      <w:r>
        <w:rPr>
          <w:rFonts w:ascii="Arial" w:hAnsi="Arial" w:cs="Arial"/>
          <w:szCs w:val="24"/>
        </w:rPr>
        <w:t xml:space="preserve"> our commitment to find new, more efficient ways of working</w:t>
      </w:r>
      <w:r w:rsidR="008966DA">
        <w:rPr>
          <w:rFonts w:ascii="Arial" w:hAnsi="Arial" w:cs="Arial"/>
          <w:szCs w:val="24"/>
        </w:rPr>
        <w:t xml:space="preserve"> for the people and businesses of Essex</w:t>
      </w:r>
      <w:r>
        <w:rPr>
          <w:rFonts w:ascii="Arial" w:hAnsi="Arial" w:cs="Arial"/>
          <w:szCs w:val="24"/>
        </w:rPr>
        <w:t>.</w:t>
      </w:r>
      <w:r w:rsidR="009071DE">
        <w:rPr>
          <w:rFonts w:ascii="Arial" w:hAnsi="Arial" w:cs="Arial"/>
          <w:szCs w:val="24"/>
        </w:rPr>
        <w:t xml:space="preserve"> </w:t>
      </w:r>
    </w:p>
    <w:p w:rsidR="005A2EF5" w:rsidRDefault="005A2EF5" w:rsidP="00FA2F7A">
      <w:pPr>
        <w:jc w:val="both"/>
        <w:rPr>
          <w:rFonts w:ascii="Arial" w:hAnsi="Arial" w:cs="Arial"/>
          <w:szCs w:val="24"/>
        </w:rPr>
      </w:pPr>
    </w:p>
    <w:p w:rsidR="00C72603" w:rsidRDefault="00C72603" w:rsidP="00FA2F7A">
      <w:pPr>
        <w:jc w:val="both"/>
        <w:rPr>
          <w:rFonts w:ascii="Arial" w:hAnsi="Arial" w:cs="Arial"/>
          <w:szCs w:val="24"/>
        </w:rPr>
      </w:pPr>
    </w:p>
    <w:p w:rsidR="005A2EF5" w:rsidRPr="00067564" w:rsidRDefault="005A2EF5" w:rsidP="00FA2F7A">
      <w:pPr>
        <w:jc w:val="both"/>
        <w:rPr>
          <w:rFonts w:ascii="Arial" w:hAnsi="Arial" w:cs="Arial"/>
          <w:szCs w:val="24"/>
        </w:rPr>
      </w:pPr>
      <w:r w:rsidRPr="00955674">
        <w:rPr>
          <w:rFonts w:ascii="Arial" w:hAnsi="Arial" w:cs="Arial"/>
          <w:szCs w:val="24"/>
        </w:rPr>
        <w:t xml:space="preserve">The </w:t>
      </w:r>
      <w:r w:rsidR="00B95DA9" w:rsidRPr="00955674">
        <w:rPr>
          <w:rFonts w:ascii="Arial" w:hAnsi="Arial" w:cs="Arial"/>
          <w:szCs w:val="24"/>
        </w:rPr>
        <w:t>identified savings and efficiencies for the force in 2018/19 total</w:t>
      </w:r>
      <w:r w:rsidRPr="00955674">
        <w:rPr>
          <w:rFonts w:ascii="Arial" w:hAnsi="Arial" w:cs="Arial"/>
          <w:szCs w:val="24"/>
        </w:rPr>
        <w:t xml:space="preserve"> £3.497m, this is comprised of non-pay savings of £1.577m, police officer pay savings of £1.578m and police staff pay savings of £0.342m.</w:t>
      </w:r>
      <w:r>
        <w:rPr>
          <w:rFonts w:ascii="Arial" w:hAnsi="Arial" w:cs="Arial"/>
          <w:szCs w:val="24"/>
        </w:rPr>
        <w:t xml:space="preserve"> Non-pay savings include some significant </w:t>
      </w:r>
      <w:r w:rsidR="00B95DA9">
        <w:rPr>
          <w:rFonts w:ascii="Arial" w:hAnsi="Arial" w:cs="Arial"/>
          <w:szCs w:val="24"/>
        </w:rPr>
        <w:t>sums</w:t>
      </w:r>
      <w:r>
        <w:rPr>
          <w:rFonts w:ascii="Arial" w:hAnsi="Arial" w:cs="Arial"/>
          <w:szCs w:val="24"/>
        </w:rPr>
        <w:t xml:space="preserve"> </w:t>
      </w:r>
      <w:r w:rsidR="008966DA">
        <w:rPr>
          <w:rFonts w:ascii="Arial" w:hAnsi="Arial" w:cs="Arial"/>
          <w:szCs w:val="24"/>
        </w:rPr>
        <w:t>fr</w:t>
      </w:r>
      <w:r>
        <w:rPr>
          <w:rFonts w:ascii="Arial" w:hAnsi="Arial" w:cs="Arial"/>
          <w:szCs w:val="24"/>
        </w:rPr>
        <w:t>o</w:t>
      </w:r>
      <w:r w:rsidR="008966DA">
        <w:rPr>
          <w:rFonts w:ascii="Arial" w:hAnsi="Arial" w:cs="Arial"/>
          <w:szCs w:val="24"/>
        </w:rPr>
        <w:t>m</w:t>
      </w:r>
      <w:r>
        <w:rPr>
          <w:rFonts w:ascii="Arial" w:hAnsi="Arial" w:cs="Arial"/>
          <w:szCs w:val="24"/>
        </w:rPr>
        <w:t xml:space="preserve"> notable contracts including</w:t>
      </w:r>
      <w:r w:rsidR="00B95DA9">
        <w:rPr>
          <w:rFonts w:ascii="Arial" w:hAnsi="Arial" w:cs="Arial"/>
          <w:szCs w:val="24"/>
        </w:rPr>
        <w:t xml:space="preserve"> £0.324m</w:t>
      </w:r>
      <w:r>
        <w:rPr>
          <w:rFonts w:ascii="Arial" w:hAnsi="Arial" w:cs="Arial"/>
          <w:szCs w:val="24"/>
        </w:rPr>
        <w:t xml:space="preserve"> on the cleaning contract and £0.252</w:t>
      </w:r>
      <w:r w:rsidR="008966DA">
        <w:rPr>
          <w:rFonts w:ascii="Arial" w:hAnsi="Arial" w:cs="Arial"/>
          <w:szCs w:val="24"/>
        </w:rPr>
        <w:t>m</w:t>
      </w:r>
      <w:r w:rsidR="00617869">
        <w:rPr>
          <w:rFonts w:ascii="Arial" w:hAnsi="Arial" w:cs="Arial"/>
          <w:szCs w:val="24"/>
        </w:rPr>
        <w:t xml:space="preserve"> </w:t>
      </w:r>
      <w:r>
        <w:rPr>
          <w:rFonts w:ascii="Arial" w:hAnsi="Arial" w:cs="Arial"/>
          <w:szCs w:val="24"/>
        </w:rPr>
        <w:t xml:space="preserve">savings on the running costs from sold premises. The savings in officer pay total </w:t>
      </w:r>
      <w:r w:rsidRPr="007C0487">
        <w:rPr>
          <w:rFonts w:ascii="Arial" w:hAnsi="Arial" w:cs="Arial"/>
          <w:szCs w:val="24"/>
        </w:rPr>
        <w:t xml:space="preserve">£1.578m </w:t>
      </w:r>
      <w:r>
        <w:rPr>
          <w:rFonts w:ascii="Arial" w:hAnsi="Arial" w:cs="Arial"/>
          <w:szCs w:val="24"/>
        </w:rPr>
        <w:t xml:space="preserve">with the primary reduction being £1.2m in officer overtime. There is also a saving in police staff pay, which has the net reduction </w:t>
      </w:r>
      <w:r w:rsidR="00C42799">
        <w:rPr>
          <w:rFonts w:ascii="Arial" w:hAnsi="Arial" w:cs="Arial"/>
          <w:szCs w:val="24"/>
        </w:rPr>
        <w:t xml:space="preserve">of </w:t>
      </w:r>
      <w:r>
        <w:rPr>
          <w:rFonts w:ascii="Arial" w:hAnsi="Arial" w:cs="Arial"/>
          <w:szCs w:val="24"/>
        </w:rPr>
        <w:t xml:space="preserve">6.5 FTEs. </w:t>
      </w:r>
    </w:p>
    <w:p w:rsidR="005A2EF5" w:rsidRDefault="005A2EF5" w:rsidP="00FA2F7A">
      <w:pPr>
        <w:jc w:val="both"/>
        <w:rPr>
          <w:rFonts w:ascii="Arial" w:hAnsi="Arial" w:cs="Arial"/>
          <w:szCs w:val="24"/>
        </w:rPr>
      </w:pPr>
    </w:p>
    <w:p w:rsidR="008966DA" w:rsidRDefault="008966DA" w:rsidP="00FA2F7A">
      <w:pPr>
        <w:jc w:val="both"/>
        <w:rPr>
          <w:rFonts w:ascii="Arial" w:hAnsi="Arial" w:cs="Arial"/>
          <w:b/>
          <w:szCs w:val="24"/>
        </w:rPr>
      </w:pPr>
    </w:p>
    <w:p w:rsidR="00240146" w:rsidRDefault="00AD28A4" w:rsidP="00FA2F7A">
      <w:pPr>
        <w:jc w:val="both"/>
        <w:rPr>
          <w:rFonts w:ascii="Arial" w:hAnsi="Arial" w:cs="Arial"/>
          <w:b/>
          <w:szCs w:val="24"/>
        </w:rPr>
      </w:pPr>
      <w:r>
        <w:rPr>
          <w:rFonts w:ascii="Arial" w:hAnsi="Arial" w:cs="Arial"/>
          <w:b/>
          <w:szCs w:val="24"/>
        </w:rPr>
        <w:t xml:space="preserve">Allocation of </w:t>
      </w:r>
      <w:r w:rsidR="005A2EF5">
        <w:rPr>
          <w:rFonts w:ascii="Arial" w:hAnsi="Arial" w:cs="Arial"/>
          <w:b/>
          <w:szCs w:val="24"/>
        </w:rPr>
        <w:t xml:space="preserve">total </w:t>
      </w:r>
      <w:r w:rsidR="00240146" w:rsidRPr="00240146">
        <w:rPr>
          <w:rFonts w:ascii="Arial" w:hAnsi="Arial" w:cs="Arial"/>
          <w:b/>
          <w:szCs w:val="24"/>
        </w:rPr>
        <w:t>funding</w:t>
      </w:r>
      <w:r w:rsidR="005A2EF5">
        <w:rPr>
          <w:rFonts w:ascii="Arial" w:hAnsi="Arial" w:cs="Arial"/>
          <w:b/>
          <w:szCs w:val="24"/>
        </w:rPr>
        <w:t xml:space="preserve"> increase</w:t>
      </w:r>
      <w:r w:rsidR="0089653E">
        <w:rPr>
          <w:rFonts w:ascii="Arial" w:hAnsi="Arial" w:cs="Arial"/>
          <w:b/>
          <w:szCs w:val="24"/>
        </w:rPr>
        <w:t xml:space="preserve"> </w:t>
      </w:r>
      <w:r w:rsidR="005A2EF5">
        <w:rPr>
          <w:rFonts w:ascii="Arial" w:hAnsi="Arial" w:cs="Arial"/>
          <w:b/>
          <w:szCs w:val="24"/>
        </w:rPr>
        <w:t>(£10.001m)</w:t>
      </w:r>
    </w:p>
    <w:p w:rsidR="00AD28A4" w:rsidRDefault="00AD28A4" w:rsidP="00FA2F7A">
      <w:pPr>
        <w:jc w:val="both"/>
        <w:rPr>
          <w:rFonts w:ascii="Arial" w:hAnsi="Arial" w:cs="Arial"/>
          <w:b/>
          <w:szCs w:val="24"/>
        </w:rPr>
      </w:pPr>
    </w:p>
    <w:p w:rsidR="008966DA" w:rsidRDefault="008966DA" w:rsidP="00FA2F7A">
      <w:pPr>
        <w:jc w:val="both"/>
        <w:rPr>
          <w:rFonts w:ascii="Arial" w:hAnsi="Arial" w:cs="Arial"/>
          <w:szCs w:val="24"/>
        </w:rPr>
      </w:pPr>
    </w:p>
    <w:p w:rsidR="005A2EF5" w:rsidRDefault="005A2EF5" w:rsidP="00FA2F7A">
      <w:pPr>
        <w:jc w:val="both"/>
        <w:rPr>
          <w:rFonts w:ascii="Arial" w:hAnsi="Arial" w:cs="Arial"/>
          <w:szCs w:val="24"/>
        </w:rPr>
      </w:pPr>
      <w:r w:rsidRPr="001D1795">
        <w:rPr>
          <w:rFonts w:ascii="Arial" w:hAnsi="Arial" w:cs="Arial"/>
          <w:szCs w:val="24"/>
        </w:rPr>
        <w:t xml:space="preserve">I have set out above how </w:t>
      </w:r>
      <w:r>
        <w:rPr>
          <w:rFonts w:ascii="Arial" w:hAnsi="Arial" w:cs="Arial"/>
          <w:szCs w:val="24"/>
        </w:rPr>
        <w:t xml:space="preserve">the force intends to maximise </w:t>
      </w:r>
      <w:r w:rsidR="00B95DA9">
        <w:rPr>
          <w:rFonts w:ascii="Arial" w:hAnsi="Arial" w:cs="Arial"/>
          <w:szCs w:val="24"/>
        </w:rPr>
        <w:t xml:space="preserve">the benefits derived from </w:t>
      </w:r>
      <w:r>
        <w:rPr>
          <w:rFonts w:ascii="Arial" w:hAnsi="Arial" w:cs="Arial"/>
          <w:szCs w:val="24"/>
        </w:rPr>
        <w:t>any precept rise by taking an evidence based approach and in particular investing in local and community policing.</w:t>
      </w:r>
    </w:p>
    <w:p w:rsidR="00B95DA9" w:rsidRDefault="00B95DA9" w:rsidP="00FA2F7A">
      <w:pPr>
        <w:jc w:val="both"/>
        <w:rPr>
          <w:rFonts w:ascii="Arial" w:hAnsi="Arial" w:cs="Arial"/>
          <w:szCs w:val="24"/>
        </w:rPr>
      </w:pPr>
    </w:p>
    <w:p w:rsidR="00031032" w:rsidRDefault="00D208B0" w:rsidP="00FA2F7A">
      <w:pPr>
        <w:jc w:val="both"/>
        <w:rPr>
          <w:rFonts w:ascii="Arial" w:hAnsi="Arial" w:cs="Arial"/>
          <w:szCs w:val="24"/>
        </w:rPr>
      </w:pPr>
      <w:r>
        <w:rPr>
          <w:rFonts w:ascii="Arial" w:hAnsi="Arial" w:cs="Arial"/>
          <w:szCs w:val="24"/>
        </w:rPr>
        <w:t xml:space="preserve">Increasing the precept by the maximum allowable without a referendum (£12) </w:t>
      </w:r>
      <w:r w:rsidR="00891A23">
        <w:rPr>
          <w:rFonts w:ascii="Arial" w:hAnsi="Arial" w:cs="Arial"/>
          <w:szCs w:val="24"/>
        </w:rPr>
        <w:t>will make</w:t>
      </w:r>
      <w:r w:rsidR="00B95DA9">
        <w:rPr>
          <w:rFonts w:ascii="Arial" w:hAnsi="Arial" w:cs="Arial"/>
          <w:szCs w:val="24"/>
        </w:rPr>
        <w:t xml:space="preserve"> an overwhelming contribution to local visibility, improved prevention and delivering more effective community safety.</w:t>
      </w:r>
      <w:r w:rsidR="0089653E">
        <w:rPr>
          <w:rFonts w:ascii="Arial" w:hAnsi="Arial" w:cs="Arial"/>
          <w:szCs w:val="24"/>
        </w:rPr>
        <w:t xml:space="preserve"> </w:t>
      </w:r>
    </w:p>
    <w:p w:rsidR="00843B98" w:rsidRDefault="00A675A2" w:rsidP="00FA2F7A">
      <w:pPr>
        <w:jc w:val="both"/>
        <w:rPr>
          <w:rFonts w:ascii="Arial" w:hAnsi="Arial" w:cs="Arial"/>
          <w:szCs w:val="24"/>
        </w:rPr>
      </w:pPr>
      <w:r>
        <w:rPr>
          <w:rFonts w:ascii="Arial" w:hAnsi="Arial" w:cs="Arial"/>
          <w:szCs w:val="24"/>
        </w:rPr>
        <w:t xml:space="preserve">In addition, there are other areas of investment that we have identified at the Strategic Board that you are already familiar </w:t>
      </w:r>
      <w:r w:rsidR="00843B98">
        <w:rPr>
          <w:rFonts w:ascii="Arial" w:hAnsi="Arial" w:cs="Arial"/>
          <w:szCs w:val="24"/>
        </w:rPr>
        <w:t>with. These include collaboration</w:t>
      </w:r>
      <w:r>
        <w:rPr>
          <w:rFonts w:ascii="Arial" w:hAnsi="Arial" w:cs="Arial"/>
          <w:szCs w:val="24"/>
        </w:rPr>
        <w:t xml:space="preserve"> projects for example with Essex Fire and Rescue Services. Such projects offer potential to work more efficiently and effectively by sharing resources and assets and providing services to local communities in partnership.</w:t>
      </w:r>
    </w:p>
    <w:p w:rsidR="00031032" w:rsidRDefault="00031032" w:rsidP="00FA2F7A">
      <w:pPr>
        <w:jc w:val="both"/>
        <w:rPr>
          <w:rFonts w:ascii="Arial" w:hAnsi="Arial" w:cs="Arial"/>
          <w:szCs w:val="24"/>
        </w:rPr>
      </w:pPr>
    </w:p>
    <w:p w:rsidR="00031032" w:rsidRDefault="00031032" w:rsidP="00FA2F7A">
      <w:pPr>
        <w:keepLines/>
        <w:jc w:val="both"/>
        <w:rPr>
          <w:rFonts w:ascii="Arial" w:hAnsi="Arial" w:cs="Arial"/>
        </w:rPr>
      </w:pPr>
      <w:r>
        <w:rPr>
          <w:rFonts w:ascii="Arial" w:hAnsi="Arial" w:cs="Arial"/>
        </w:rPr>
        <w:t>T</w:t>
      </w:r>
      <w:r w:rsidRPr="007E1B0F">
        <w:rPr>
          <w:rFonts w:ascii="Arial" w:hAnsi="Arial" w:cs="Arial"/>
        </w:rPr>
        <w:t>he lack of capital reserves, capital grant and timing of capital receipts</w:t>
      </w:r>
      <w:r w:rsidR="00B95DA9">
        <w:rPr>
          <w:rFonts w:ascii="Arial" w:hAnsi="Arial" w:cs="Arial"/>
        </w:rPr>
        <w:t xml:space="preserve"> will</w:t>
      </w:r>
      <w:r>
        <w:rPr>
          <w:rFonts w:ascii="Arial" w:hAnsi="Arial" w:cs="Arial"/>
        </w:rPr>
        <w:t xml:space="preserve"> </w:t>
      </w:r>
      <w:r w:rsidR="00B95DA9">
        <w:rPr>
          <w:rFonts w:ascii="Arial" w:hAnsi="Arial" w:cs="Arial"/>
        </w:rPr>
        <w:t>result in</w:t>
      </w:r>
      <w:r>
        <w:rPr>
          <w:rFonts w:ascii="Arial" w:hAnsi="Arial" w:cs="Arial"/>
        </w:rPr>
        <w:t xml:space="preserve"> inadequate capital funds to undertake the necessary capital programme, in particular for estates and IT transformation. The 2018/19 budget has sought to partly address this challenge and includes an annual </w:t>
      </w:r>
      <w:r w:rsidR="00B95DA9">
        <w:rPr>
          <w:rFonts w:ascii="Arial" w:hAnsi="Arial" w:cs="Arial"/>
        </w:rPr>
        <w:t>investment</w:t>
      </w:r>
      <w:r>
        <w:rPr>
          <w:rFonts w:ascii="Arial" w:hAnsi="Arial" w:cs="Arial"/>
        </w:rPr>
        <w:t xml:space="preserve"> to capital of £1.0m.</w:t>
      </w:r>
    </w:p>
    <w:p w:rsidR="00031032" w:rsidRDefault="00031032" w:rsidP="000663AF">
      <w:pPr>
        <w:jc w:val="both"/>
        <w:rPr>
          <w:rFonts w:ascii="Arial" w:hAnsi="Arial" w:cs="Arial"/>
          <w:szCs w:val="24"/>
        </w:rPr>
      </w:pPr>
    </w:p>
    <w:p w:rsidR="00251A54" w:rsidRDefault="00891A23" w:rsidP="003C252B">
      <w:pPr>
        <w:rPr>
          <w:rFonts w:ascii="Arial" w:hAnsi="Arial" w:cs="Arial"/>
          <w:szCs w:val="24"/>
        </w:rPr>
      </w:pPr>
      <w:r>
        <w:rPr>
          <w:rFonts w:ascii="Arial" w:hAnsi="Arial" w:cs="Arial"/>
          <w:szCs w:val="24"/>
        </w:rPr>
        <w:t>S</w:t>
      </w:r>
      <w:r w:rsidR="00DC1745">
        <w:rPr>
          <w:rFonts w:ascii="Arial" w:hAnsi="Arial" w:cs="Arial"/>
          <w:szCs w:val="24"/>
        </w:rPr>
        <w:t xml:space="preserve">et out below </w:t>
      </w:r>
      <w:r w:rsidR="003C252B">
        <w:rPr>
          <w:rFonts w:ascii="Arial" w:hAnsi="Arial" w:cs="Arial"/>
          <w:szCs w:val="24"/>
        </w:rPr>
        <w:t>in Table C</w:t>
      </w:r>
      <w:r w:rsidR="00DC1745">
        <w:rPr>
          <w:rFonts w:ascii="Arial" w:hAnsi="Arial" w:cs="Arial"/>
          <w:szCs w:val="24"/>
        </w:rPr>
        <w:t xml:space="preserve"> is a summary of the new funding and the proposed utilisation of additional funding. </w:t>
      </w:r>
    </w:p>
    <w:p w:rsidR="00A675A2" w:rsidRDefault="00A675A2" w:rsidP="000663AF">
      <w:pPr>
        <w:jc w:val="both"/>
        <w:rPr>
          <w:rFonts w:ascii="Arial" w:hAnsi="Arial" w:cs="Arial"/>
          <w:szCs w:val="24"/>
        </w:rPr>
      </w:pPr>
    </w:p>
    <w:p w:rsidR="00891A23" w:rsidRDefault="00891A23" w:rsidP="003A1865">
      <w:pPr>
        <w:jc w:val="both"/>
        <w:rPr>
          <w:rFonts w:ascii="Arial" w:hAnsi="Arial" w:cs="Arial"/>
          <w:b/>
          <w:sz w:val="22"/>
          <w:szCs w:val="22"/>
        </w:rPr>
      </w:pPr>
    </w:p>
    <w:p w:rsidR="00A675A2" w:rsidRPr="003A1865" w:rsidRDefault="003C252B" w:rsidP="003A1865">
      <w:pPr>
        <w:jc w:val="both"/>
        <w:rPr>
          <w:rFonts w:ascii="Arial" w:hAnsi="Arial" w:cs="Arial"/>
          <w:b/>
          <w:sz w:val="22"/>
          <w:szCs w:val="22"/>
        </w:rPr>
      </w:pPr>
      <w:r>
        <w:rPr>
          <w:rFonts w:ascii="Arial" w:hAnsi="Arial" w:cs="Arial"/>
          <w:b/>
          <w:sz w:val="22"/>
          <w:szCs w:val="22"/>
        </w:rPr>
        <w:t>Table C</w:t>
      </w:r>
      <w:r w:rsidR="00A675A2" w:rsidRPr="00A675A2">
        <w:rPr>
          <w:rFonts w:ascii="Arial" w:hAnsi="Arial" w:cs="Arial"/>
          <w:b/>
          <w:sz w:val="22"/>
          <w:szCs w:val="22"/>
        </w:rPr>
        <w:t>: Proposed allocation of maximum additional funding in 2018/19</w:t>
      </w:r>
      <w:r w:rsidR="00A675A2">
        <w:rPr>
          <w:rFonts w:ascii="Arial" w:hAnsi="Arial" w:cs="Arial"/>
          <w:szCs w:val="24"/>
        </w:rPr>
        <w:tab/>
      </w:r>
    </w:p>
    <w:tbl>
      <w:tblPr>
        <w:tblStyle w:val="TableGrid"/>
        <w:tblW w:w="0" w:type="auto"/>
        <w:tblLook w:val="04A0" w:firstRow="1" w:lastRow="0" w:firstColumn="1" w:lastColumn="0" w:noHBand="0" w:noVBand="1"/>
      </w:tblPr>
      <w:tblGrid>
        <w:gridCol w:w="5070"/>
        <w:gridCol w:w="1842"/>
      </w:tblGrid>
      <w:tr w:rsidR="00843B98" w:rsidTr="00891A23">
        <w:tc>
          <w:tcPr>
            <w:tcW w:w="5070" w:type="dxa"/>
          </w:tcPr>
          <w:p w:rsidR="00843B98" w:rsidRPr="00843B98" w:rsidRDefault="00843B98" w:rsidP="000663AF">
            <w:pPr>
              <w:jc w:val="both"/>
              <w:rPr>
                <w:rFonts w:ascii="Arial" w:hAnsi="Arial" w:cs="Arial"/>
                <w:b/>
                <w:szCs w:val="24"/>
              </w:rPr>
            </w:pPr>
            <w:r w:rsidRPr="00843B98">
              <w:rPr>
                <w:rFonts w:ascii="Arial" w:hAnsi="Arial" w:cs="Arial"/>
                <w:b/>
                <w:szCs w:val="24"/>
              </w:rPr>
              <w:t>Area of investment</w:t>
            </w:r>
          </w:p>
        </w:tc>
        <w:tc>
          <w:tcPr>
            <w:tcW w:w="1842" w:type="dxa"/>
          </w:tcPr>
          <w:p w:rsidR="00843B98" w:rsidRPr="00843B98" w:rsidRDefault="00843B98" w:rsidP="000663AF">
            <w:pPr>
              <w:jc w:val="both"/>
              <w:rPr>
                <w:rFonts w:ascii="Arial" w:hAnsi="Arial" w:cs="Arial"/>
                <w:b/>
                <w:szCs w:val="24"/>
              </w:rPr>
            </w:pPr>
            <w:r w:rsidRPr="00843B98">
              <w:rPr>
                <w:rFonts w:ascii="Arial" w:hAnsi="Arial" w:cs="Arial"/>
                <w:b/>
                <w:szCs w:val="24"/>
              </w:rPr>
              <w:t>Amount (£m)</w:t>
            </w:r>
          </w:p>
        </w:tc>
      </w:tr>
      <w:tr w:rsidR="00843B98" w:rsidTr="00891A23">
        <w:tc>
          <w:tcPr>
            <w:tcW w:w="5070" w:type="dxa"/>
          </w:tcPr>
          <w:p w:rsidR="00843B98" w:rsidRDefault="00450468" w:rsidP="000663AF">
            <w:pPr>
              <w:jc w:val="both"/>
              <w:rPr>
                <w:rFonts w:ascii="Arial" w:hAnsi="Arial" w:cs="Arial"/>
                <w:szCs w:val="24"/>
              </w:rPr>
            </w:pPr>
            <w:r>
              <w:rPr>
                <w:rFonts w:ascii="Arial" w:hAnsi="Arial" w:cs="Arial"/>
                <w:szCs w:val="24"/>
              </w:rPr>
              <w:t>Increase establishment</w:t>
            </w:r>
          </w:p>
        </w:tc>
        <w:tc>
          <w:tcPr>
            <w:tcW w:w="1842" w:type="dxa"/>
          </w:tcPr>
          <w:p w:rsidR="00843B98" w:rsidRPr="00955674" w:rsidRDefault="00843B98" w:rsidP="00450468">
            <w:pPr>
              <w:jc w:val="center"/>
              <w:rPr>
                <w:rFonts w:ascii="Arial" w:hAnsi="Arial" w:cs="Arial"/>
                <w:szCs w:val="24"/>
              </w:rPr>
            </w:pPr>
            <w:r w:rsidRPr="00955674">
              <w:rPr>
                <w:rFonts w:ascii="Arial" w:hAnsi="Arial" w:cs="Arial"/>
                <w:szCs w:val="24"/>
              </w:rPr>
              <w:t>5.006</w:t>
            </w:r>
          </w:p>
        </w:tc>
      </w:tr>
      <w:tr w:rsidR="00843B98" w:rsidTr="00891A23">
        <w:tc>
          <w:tcPr>
            <w:tcW w:w="5070" w:type="dxa"/>
          </w:tcPr>
          <w:p w:rsidR="00843B98" w:rsidRDefault="00843B98" w:rsidP="000663AF">
            <w:pPr>
              <w:jc w:val="both"/>
              <w:rPr>
                <w:rFonts w:ascii="Arial" w:hAnsi="Arial" w:cs="Arial"/>
                <w:szCs w:val="24"/>
              </w:rPr>
            </w:pPr>
            <w:r>
              <w:rPr>
                <w:rFonts w:ascii="Arial" w:hAnsi="Arial" w:cs="Arial"/>
                <w:szCs w:val="24"/>
              </w:rPr>
              <w:t>Collaborated projects</w:t>
            </w:r>
          </w:p>
        </w:tc>
        <w:tc>
          <w:tcPr>
            <w:tcW w:w="1842" w:type="dxa"/>
          </w:tcPr>
          <w:p w:rsidR="00843B98" w:rsidRPr="00955674" w:rsidRDefault="003A1865" w:rsidP="00450468">
            <w:pPr>
              <w:jc w:val="center"/>
              <w:rPr>
                <w:rFonts w:ascii="Arial" w:hAnsi="Arial" w:cs="Arial"/>
                <w:szCs w:val="24"/>
              </w:rPr>
            </w:pPr>
            <w:r w:rsidRPr="00955674">
              <w:rPr>
                <w:rFonts w:ascii="Arial" w:hAnsi="Arial" w:cs="Arial"/>
                <w:szCs w:val="24"/>
              </w:rPr>
              <w:t>0.17</w:t>
            </w:r>
          </w:p>
        </w:tc>
      </w:tr>
      <w:tr w:rsidR="00843B98" w:rsidTr="00891A23">
        <w:tc>
          <w:tcPr>
            <w:tcW w:w="5070" w:type="dxa"/>
          </w:tcPr>
          <w:p w:rsidR="00843B98" w:rsidRDefault="003A1865" w:rsidP="000663AF">
            <w:pPr>
              <w:jc w:val="both"/>
              <w:rPr>
                <w:rFonts w:ascii="Arial" w:hAnsi="Arial" w:cs="Arial"/>
                <w:szCs w:val="24"/>
              </w:rPr>
            </w:pPr>
            <w:r>
              <w:rPr>
                <w:rFonts w:ascii="Arial" w:hAnsi="Arial" w:cs="Arial"/>
                <w:szCs w:val="24"/>
              </w:rPr>
              <w:t>Revenue to capital</w:t>
            </w:r>
          </w:p>
        </w:tc>
        <w:tc>
          <w:tcPr>
            <w:tcW w:w="1842" w:type="dxa"/>
          </w:tcPr>
          <w:p w:rsidR="00843B98" w:rsidRPr="00955674" w:rsidRDefault="00843B98" w:rsidP="00450468">
            <w:pPr>
              <w:jc w:val="center"/>
              <w:rPr>
                <w:rFonts w:ascii="Arial" w:hAnsi="Arial" w:cs="Arial"/>
                <w:szCs w:val="24"/>
              </w:rPr>
            </w:pPr>
            <w:r w:rsidRPr="00955674">
              <w:rPr>
                <w:rFonts w:ascii="Arial" w:hAnsi="Arial" w:cs="Arial"/>
                <w:szCs w:val="24"/>
              </w:rPr>
              <w:t>1.0</w:t>
            </w:r>
          </w:p>
        </w:tc>
      </w:tr>
      <w:tr w:rsidR="00843B98" w:rsidTr="00891A23">
        <w:tc>
          <w:tcPr>
            <w:tcW w:w="5070" w:type="dxa"/>
          </w:tcPr>
          <w:p w:rsidR="00843B98" w:rsidRDefault="00843B98" w:rsidP="000663AF">
            <w:pPr>
              <w:jc w:val="both"/>
              <w:rPr>
                <w:rFonts w:ascii="Arial" w:hAnsi="Arial" w:cs="Arial"/>
                <w:szCs w:val="24"/>
              </w:rPr>
            </w:pPr>
            <w:r>
              <w:rPr>
                <w:rFonts w:ascii="Arial" w:hAnsi="Arial" w:cs="Arial"/>
                <w:szCs w:val="24"/>
              </w:rPr>
              <w:t>Deficit</w:t>
            </w:r>
          </w:p>
        </w:tc>
        <w:tc>
          <w:tcPr>
            <w:tcW w:w="1842" w:type="dxa"/>
          </w:tcPr>
          <w:p w:rsidR="00843B98" w:rsidRPr="00955674" w:rsidRDefault="005B5B27" w:rsidP="00450468">
            <w:pPr>
              <w:jc w:val="center"/>
              <w:rPr>
                <w:rFonts w:ascii="Arial" w:hAnsi="Arial" w:cs="Arial"/>
                <w:szCs w:val="24"/>
              </w:rPr>
            </w:pPr>
            <w:r w:rsidRPr="00955674">
              <w:rPr>
                <w:rFonts w:ascii="Arial" w:hAnsi="Arial" w:cs="Arial"/>
                <w:szCs w:val="24"/>
              </w:rPr>
              <w:t>3.567</w:t>
            </w:r>
          </w:p>
        </w:tc>
      </w:tr>
      <w:tr w:rsidR="00843B98" w:rsidTr="00891A23">
        <w:tc>
          <w:tcPr>
            <w:tcW w:w="5070" w:type="dxa"/>
          </w:tcPr>
          <w:p w:rsidR="00843B98" w:rsidRDefault="00891A23" w:rsidP="000663AF">
            <w:pPr>
              <w:jc w:val="both"/>
              <w:rPr>
                <w:rFonts w:ascii="Arial" w:hAnsi="Arial" w:cs="Arial"/>
                <w:szCs w:val="24"/>
              </w:rPr>
            </w:pPr>
            <w:r>
              <w:rPr>
                <w:rFonts w:ascii="Arial" w:hAnsi="Arial" w:cs="Arial"/>
                <w:szCs w:val="24"/>
              </w:rPr>
              <w:t>Surplus for additional allocation (one off)</w:t>
            </w:r>
          </w:p>
        </w:tc>
        <w:tc>
          <w:tcPr>
            <w:tcW w:w="1842" w:type="dxa"/>
          </w:tcPr>
          <w:p w:rsidR="00843B98" w:rsidRPr="00955674" w:rsidRDefault="003A1865" w:rsidP="00450468">
            <w:pPr>
              <w:jc w:val="center"/>
              <w:rPr>
                <w:rFonts w:ascii="Arial" w:hAnsi="Arial" w:cs="Arial"/>
                <w:szCs w:val="24"/>
              </w:rPr>
            </w:pPr>
            <w:r w:rsidRPr="00955674">
              <w:rPr>
                <w:rFonts w:ascii="Arial" w:hAnsi="Arial" w:cs="Arial"/>
                <w:szCs w:val="24"/>
              </w:rPr>
              <w:t>0.258</w:t>
            </w:r>
          </w:p>
        </w:tc>
      </w:tr>
      <w:tr w:rsidR="00843B98" w:rsidTr="00891A23">
        <w:tc>
          <w:tcPr>
            <w:tcW w:w="5070" w:type="dxa"/>
          </w:tcPr>
          <w:p w:rsidR="00843B98" w:rsidRPr="00450468" w:rsidRDefault="00843B98" w:rsidP="000663AF">
            <w:pPr>
              <w:jc w:val="both"/>
              <w:rPr>
                <w:rFonts w:ascii="Arial" w:hAnsi="Arial" w:cs="Arial"/>
                <w:b/>
                <w:i/>
                <w:szCs w:val="24"/>
              </w:rPr>
            </w:pPr>
            <w:r w:rsidRPr="00450468">
              <w:rPr>
                <w:rFonts w:ascii="Arial" w:hAnsi="Arial" w:cs="Arial"/>
                <w:b/>
                <w:i/>
                <w:szCs w:val="24"/>
              </w:rPr>
              <w:t>Total</w:t>
            </w:r>
            <w:r w:rsidR="00031032" w:rsidRPr="00450468">
              <w:rPr>
                <w:rFonts w:ascii="Arial" w:hAnsi="Arial" w:cs="Arial"/>
                <w:b/>
                <w:i/>
                <w:szCs w:val="24"/>
              </w:rPr>
              <w:t xml:space="preserve"> funding available</w:t>
            </w:r>
          </w:p>
        </w:tc>
        <w:tc>
          <w:tcPr>
            <w:tcW w:w="1842" w:type="dxa"/>
          </w:tcPr>
          <w:p w:rsidR="00843B98" w:rsidRPr="00955674" w:rsidRDefault="00843B98" w:rsidP="00450468">
            <w:pPr>
              <w:jc w:val="center"/>
              <w:rPr>
                <w:rFonts w:ascii="Arial" w:hAnsi="Arial" w:cs="Arial"/>
                <w:b/>
                <w:i/>
                <w:szCs w:val="24"/>
              </w:rPr>
            </w:pPr>
            <w:r w:rsidRPr="00955674">
              <w:rPr>
                <w:rFonts w:ascii="Arial" w:hAnsi="Arial" w:cs="Arial"/>
                <w:b/>
                <w:i/>
                <w:szCs w:val="24"/>
              </w:rPr>
              <w:t>10.001</w:t>
            </w:r>
          </w:p>
        </w:tc>
      </w:tr>
    </w:tbl>
    <w:p w:rsidR="00251A54" w:rsidRDefault="00251A54" w:rsidP="00031032">
      <w:pPr>
        <w:jc w:val="both"/>
        <w:rPr>
          <w:rFonts w:ascii="Arial" w:hAnsi="Arial" w:cs="Arial"/>
          <w:szCs w:val="24"/>
        </w:rPr>
      </w:pPr>
    </w:p>
    <w:p w:rsidR="00251A54" w:rsidRDefault="00251A54" w:rsidP="00031032">
      <w:pPr>
        <w:jc w:val="both"/>
        <w:rPr>
          <w:rFonts w:ascii="Arial" w:hAnsi="Arial" w:cs="Arial"/>
          <w:b/>
          <w:szCs w:val="24"/>
        </w:rPr>
      </w:pPr>
    </w:p>
    <w:p w:rsidR="003C252B" w:rsidRDefault="003C252B" w:rsidP="00031032">
      <w:pPr>
        <w:jc w:val="both"/>
        <w:rPr>
          <w:rFonts w:ascii="Arial" w:hAnsi="Arial" w:cs="Arial"/>
          <w:b/>
          <w:szCs w:val="24"/>
        </w:rPr>
      </w:pPr>
    </w:p>
    <w:p w:rsidR="00C72603" w:rsidRDefault="00C72603">
      <w:pPr>
        <w:rPr>
          <w:rFonts w:ascii="Arial" w:hAnsi="Arial" w:cs="Arial"/>
          <w:b/>
          <w:szCs w:val="24"/>
        </w:rPr>
      </w:pPr>
      <w:r>
        <w:rPr>
          <w:rFonts w:ascii="Arial" w:hAnsi="Arial" w:cs="Arial"/>
          <w:b/>
          <w:szCs w:val="24"/>
        </w:rPr>
        <w:br w:type="page"/>
      </w:r>
    </w:p>
    <w:p w:rsidR="00031032" w:rsidRPr="00164D53" w:rsidRDefault="00031032" w:rsidP="00031032">
      <w:pPr>
        <w:jc w:val="both"/>
        <w:rPr>
          <w:rFonts w:ascii="Arial" w:hAnsi="Arial" w:cs="Arial"/>
          <w:b/>
          <w:szCs w:val="24"/>
        </w:rPr>
      </w:pPr>
      <w:r w:rsidRPr="00164D53">
        <w:rPr>
          <w:rFonts w:ascii="Arial" w:hAnsi="Arial" w:cs="Arial"/>
          <w:b/>
          <w:szCs w:val="24"/>
        </w:rPr>
        <w:lastRenderedPageBreak/>
        <w:t>The Future</w:t>
      </w:r>
    </w:p>
    <w:p w:rsidR="00031032" w:rsidRDefault="00031032" w:rsidP="00031032">
      <w:pPr>
        <w:jc w:val="both"/>
        <w:rPr>
          <w:rFonts w:ascii="Arial" w:hAnsi="Arial" w:cs="Arial"/>
          <w:szCs w:val="24"/>
        </w:rPr>
      </w:pPr>
    </w:p>
    <w:p w:rsidR="00086465" w:rsidRDefault="00086465" w:rsidP="00FA2F7A">
      <w:pPr>
        <w:jc w:val="both"/>
        <w:rPr>
          <w:rFonts w:ascii="Arial" w:hAnsi="Arial" w:cs="Arial"/>
          <w:szCs w:val="24"/>
        </w:rPr>
      </w:pPr>
    </w:p>
    <w:p w:rsidR="003E6422" w:rsidRDefault="00DC1745" w:rsidP="00FA2F7A">
      <w:pPr>
        <w:jc w:val="both"/>
        <w:rPr>
          <w:rFonts w:ascii="Arial" w:hAnsi="Arial" w:cs="Arial"/>
          <w:szCs w:val="24"/>
        </w:rPr>
      </w:pPr>
      <w:r>
        <w:rPr>
          <w:rFonts w:ascii="Arial" w:hAnsi="Arial" w:cs="Arial"/>
          <w:szCs w:val="24"/>
        </w:rPr>
        <w:t>Essex Police has been improving</w:t>
      </w:r>
      <w:r w:rsidR="00A529C5">
        <w:rPr>
          <w:rFonts w:ascii="Arial" w:hAnsi="Arial" w:cs="Arial"/>
          <w:szCs w:val="24"/>
        </w:rPr>
        <w:t xml:space="preserve"> </w:t>
      </w:r>
      <w:r w:rsidR="00F556C9">
        <w:rPr>
          <w:rFonts w:ascii="Arial" w:hAnsi="Arial" w:cs="Arial"/>
          <w:szCs w:val="24"/>
        </w:rPr>
        <w:t xml:space="preserve">collaboration, efficiency and delivery </w:t>
      </w:r>
      <w:r w:rsidR="00A529C5">
        <w:rPr>
          <w:rFonts w:ascii="Arial" w:hAnsi="Arial" w:cs="Arial"/>
          <w:szCs w:val="24"/>
        </w:rPr>
        <w:t>over a number of years as indep</w:t>
      </w:r>
      <w:r>
        <w:rPr>
          <w:rFonts w:ascii="Arial" w:hAnsi="Arial" w:cs="Arial"/>
          <w:szCs w:val="24"/>
        </w:rPr>
        <w:t>end</w:t>
      </w:r>
      <w:r w:rsidR="00A529C5">
        <w:rPr>
          <w:rFonts w:ascii="Arial" w:hAnsi="Arial" w:cs="Arial"/>
          <w:szCs w:val="24"/>
        </w:rPr>
        <w:t>en</w:t>
      </w:r>
      <w:r>
        <w:rPr>
          <w:rFonts w:ascii="Arial" w:hAnsi="Arial" w:cs="Arial"/>
          <w:szCs w:val="24"/>
        </w:rPr>
        <w:t>tly</w:t>
      </w:r>
      <w:r w:rsidR="00A529C5">
        <w:rPr>
          <w:rFonts w:ascii="Arial" w:hAnsi="Arial" w:cs="Arial"/>
          <w:szCs w:val="24"/>
        </w:rPr>
        <w:t xml:space="preserve"> confi</w:t>
      </w:r>
      <w:r>
        <w:rPr>
          <w:rFonts w:ascii="Arial" w:hAnsi="Arial" w:cs="Arial"/>
          <w:szCs w:val="24"/>
        </w:rPr>
        <w:t>r</w:t>
      </w:r>
      <w:r w:rsidR="00A529C5">
        <w:rPr>
          <w:rFonts w:ascii="Arial" w:hAnsi="Arial" w:cs="Arial"/>
          <w:szCs w:val="24"/>
        </w:rPr>
        <w:t>m</w:t>
      </w:r>
      <w:r>
        <w:rPr>
          <w:rFonts w:ascii="Arial" w:hAnsi="Arial" w:cs="Arial"/>
          <w:szCs w:val="24"/>
        </w:rPr>
        <w:t>ed by HMICFRS.</w:t>
      </w:r>
      <w:r w:rsidR="00A529C5">
        <w:rPr>
          <w:rFonts w:ascii="Arial" w:hAnsi="Arial" w:cs="Arial"/>
          <w:szCs w:val="24"/>
        </w:rPr>
        <w:t xml:space="preserve"> </w:t>
      </w:r>
    </w:p>
    <w:p w:rsidR="003E6422" w:rsidRDefault="003E6422" w:rsidP="00FA2F7A">
      <w:pPr>
        <w:jc w:val="both"/>
        <w:rPr>
          <w:rFonts w:ascii="Arial" w:hAnsi="Arial" w:cs="Arial"/>
          <w:szCs w:val="24"/>
        </w:rPr>
      </w:pPr>
    </w:p>
    <w:p w:rsidR="00DC1745" w:rsidRDefault="00DC1745" w:rsidP="00FA2F7A">
      <w:pPr>
        <w:jc w:val="both"/>
        <w:rPr>
          <w:rFonts w:ascii="Arial" w:hAnsi="Arial" w:cs="Arial"/>
          <w:szCs w:val="24"/>
        </w:rPr>
      </w:pPr>
      <w:r>
        <w:rPr>
          <w:rFonts w:ascii="Arial" w:hAnsi="Arial" w:cs="Arial"/>
          <w:szCs w:val="24"/>
        </w:rPr>
        <w:t xml:space="preserve">With the </w:t>
      </w:r>
      <w:r w:rsidR="00A529C5">
        <w:rPr>
          <w:rFonts w:ascii="Arial" w:hAnsi="Arial" w:cs="Arial"/>
          <w:szCs w:val="24"/>
        </w:rPr>
        <w:t>ne</w:t>
      </w:r>
      <w:r>
        <w:rPr>
          <w:rFonts w:ascii="Arial" w:hAnsi="Arial" w:cs="Arial"/>
          <w:szCs w:val="24"/>
        </w:rPr>
        <w:t>w and em</w:t>
      </w:r>
      <w:r w:rsidR="00A529C5">
        <w:rPr>
          <w:rFonts w:ascii="Arial" w:hAnsi="Arial" w:cs="Arial"/>
          <w:szCs w:val="24"/>
        </w:rPr>
        <w:t>erging challenges of the digital age, increasing</w:t>
      </w:r>
      <w:r>
        <w:rPr>
          <w:rFonts w:ascii="Arial" w:hAnsi="Arial" w:cs="Arial"/>
          <w:szCs w:val="24"/>
        </w:rPr>
        <w:t xml:space="preserve"> ter</w:t>
      </w:r>
      <w:r w:rsidR="00A529C5">
        <w:rPr>
          <w:rFonts w:ascii="Arial" w:hAnsi="Arial" w:cs="Arial"/>
          <w:szCs w:val="24"/>
        </w:rPr>
        <w:t>ror</w:t>
      </w:r>
      <w:r>
        <w:rPr>
          <w:rFonts w:ascii="Arial" w:hAnsi="Arial" w:cs="Arial"/>
          <w:szCs w:val="24"/>
        </w:rPr>
        <w:t>ism and</w:t>
      </w:r>
      <w:r w:rsidR="00A529C5">
        <w:rPr>
          <w:rFonts w:ascii="Arial" w:hAnsi="Arial" w:cs="Arial"/>
          <w:szCs w:val="24"/>
        </w:rPr>
        <w:t xml:space="preserve"> </w:t>
      </w:r>
      <w:r>
        <w:rPr>
          <w:rFonts w:ascii="Arial" w:hAnsi="Arial" w:cs="Arial"/>
          <w:szCs w:val="24"/>
        </w:rPr>
        <w:t xml:space="preserve">hidden harms in </w:t>
      </w:r>
      <w:r w:rsidR="00A529C5">
        <w:rPr>
          <w:rFonts w:ascii="Arial" w:hAnsi="Arial" w:cs="Arial"/>
          <w:szCs w:val="24"/>
        </w:rPr>
        <w:t>communities</w:t>
      </w:r>
      <w:r w:rsidR="003E6422">
        <w:rPr>
          <w:rFonts w:ascii="Arial" w:hAnsi="Arial" w:cs="Arial"/>
          <w:szCs w:val="24"/>
        </w:rPr>
        <w:t xml:space="preserve"> we remain an ambitious force,</w:t>
      </w:r>
      <w:r w:rsidR="00A529C5">
        <w:rPr>
          <w:rFonts w:ascii="Arial" w:hAnsi="Arial" w:cs="Arial"/>
          <w:szCs w:val="24"/>
        </w:rPr>
        <w:t xml:space="preserve"> </w:t>
      </w:r>
      <w:r>
        <w:rPr>
          <w:rFonts w:ascii="Arial" w:hAnsi="Arial" w:cs="Arial"/>
          <w:szCs w:val="24"/>
        </w:rPr>
        <w:t>committ</w:t>
      </w:r>
      <w:r w:rsidR="00A529C5">
        <w:rPr>
          <w:rFonts w:ascii="Arial" w:hAnsi="Arial" w:cs="Arial"/>
          <w:szCs w:val="24"/>
        </w:rPr>
        <w:t>e</w:t>
      </w:r>
      <w:r>
        <w:rPr>
          <w:rFonts w:ascii="Arial" w:hAnsi="Arial" w:cs="Arial"/>
          <w:szCs w:val="24"/>
        </w:rPr>
        <w:t xml:space="preserve">d to </w:t>
      </w:r>
      <w:r w:rsidR="00A529C5">
        <w:rPr>
          <w:rFonts w:ascii="Arial" w:hAnsi="Arial" w:cs="Arial"/>
          <w:szCs w:val="24"/>
        </w:rPr>
        <w:t>k</w:t>
      </w:r>
      <w:r>
        <w:rPr>
          <w:rFonts w:ascii="Arial" w:hAnsi="Arial" w:cs="Arial"/>
          <w:szCs w:val="24"/>
        </w:rPr>
        <w:t>eepi</w:t>
      </w:r>
      <w:r w:rsidR="00A529C5">
        <w:rPr>
          <w:rFonts w:ascii="Arial" w:hAnsi="Arial" w:cs="Arial"/>
          <w:szCs w:val="24"/>
        </w:rPr>
        <w:t>n</w:t>
      </w:r>
      <w:r>
        <w:rPr>
          <w:rFonts w:ascii="Arial" w:hAnsi="Arial" w:cs="Arial"/>
          <w:szCs w:val="24"/>
        </w:rPr>
        <w:t xml:space="preserve">g the </w:t>
      </w:r>
      <w:r w:rsidR="00A529C5">
        <w:rPr>
          <w:rFonts w:ascii="Arial" w:hAnsi="Arial" w:cs="Arial"/>
          <w:szCs w:val="24"/>
        </w:rPr>
        <w:t>communities</w:t>
      </w:r>
      <w:r>
        <w:rPr>
          <w:rFonts w:ascii="Arial" w:hAnsi="Arial" w:cs="Arial"/>
          <w:szCs w:val="24"/>
        </w:rPr>
        <w:t xml:space="preserve"> of Essex as safe as possible.</w:t>
      </w:r>
    </w:p>
    <w:p w:rsidR="00DC1745" w:rsidRDefault="00DC1745" w:rsidP="00031032">
      <w:pPr>
        <w:jc w:val="both"/>
        <w:rPr>
          <w:rFonts w:ascii="Arial" w:hAnsi="Arial" w:cs="Arial"/>
          <w:szCs w:val="24"/>
        </w:rPr>
      </w:pPr>
    </w:p>
    <w:p w:rsidR="00483610" w:rsidRDefault="00483610" w:rsidP="004C2D1E">
      <w:pPr>
        <w:rPr>
          <w:rFonts w:ascii="Arial" w:hAnsi="Arial" w:cs="Arial"/>
          <w:szCs w:val="24"/>
        </w:rPr>
      </w:pPr>
    </w:p>
    <w:p w:rsidR="004C2D1E" w:rsidRDefault="004C2D1E" w:rsidP="004C2D1E">
      <w:pPr>
        <w:rPr>
          <w:rFonts w:ascii="Arial" w:hAnsi="Arial" w:cs="Arial"/>
          <w:szCs w:val="24"/>
        </w:rPr>
      </w:pPr>
      <w:r>
        <w:rPr>
          <w:rFonts w:ascii="Arial" w:hAnsi="Arial" w:cs="Arial"/>
          <w:szCs w:val="24"/>
        </w:rPr>
        <w:t>Yours sincerely,</w:t>
      </w:r>
    </w:p>
    <w:p w:rsidR="004C2D1E" w:rsidRDefault="004C2D1E" w:rsidP="004C2D1E">
      <w:pPr>
        <w:rPr>
          <w:rFonts w:ascii="Arial" w:hAnsi="Arial" w:cs="Arial"/>
          <w:szCs w:val="24"/>
        </w:rPr>
      </w:pPr>
    </w:p>
    <w:p w:rsidR="003C252B" w:rsidRDefault="003C252B" w:rsidP="004C2D1E">
      <w:pPr>
        <w:rPr>
          <w:rFonts w:ascii="Arial" w:hAnsi="Arial" w:cs="Arial"/>
          <w:szCs w:val="24"/>
        </w:rPr>
      </w:pPr>
    </w:p>
    <w:p w:rsidR="004C2D1E" w:rsidRDefault="004C2D1E" w:rsidP="004C2D1E">
      <w:pPr>
        <w:rPr>
          <w:rFonts w:ascii="Arial" w:hAnsi="Arial" w:cs="Arial"/>
          <w:szCs w:val="24"/>
        </w:rPr>
      </w:pPr>
      <w:r>
        <w:rPr>
          <w:noProof/>
          <w:lang w:eastAsia="en-GB"/>
        </w:rPr>
        <w:drawing>
          <wp:inline distT="0" distB="0" distL="0" distR="0" wp14:anchorId="127226A7" wp14:editId="4041A25E">
            <wp:extent cx="1988820" cy="792480"/>
            <wp:effectExtent l="0" t="0" r="0" b="7620"/>
            <wp:docPr id="2" name="Picture 2" descr="cid:image001.png@01D24170.C71E9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170.C71E9A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88820" cy="792480"/>
                    </a:xfrm>
                    <a:prstGeom prst="rect">
                      <a:avLst/>
                    </a:prstGeom>
                    <a:noFill/>
                    <a:ln>
                      <a:noFill/>
                    </a:ln>
                  </pic:spPr>
                </pic:pic>
              </a:graphicData>
            </a:graphic>
          </wp:inline>
        </w:drawing>
      </w:r>
    </w:p>
    <w:p w:rsidR="004C2D1E" w:rsidRDefault="004C2D1E" w:rsidP="004C2D1E">
      <w:pPr>
        <w:rPr>
          <w:rFonts w:ascii="Arial" w:hAnsi="Arial" w:cs="Arial"/>
          <w:szCs w:val="24"/>
        </w:rPr>
      </w:pPr>
    </w:p>
    <w:p w:rsidR="003C252B" w:rsidRDefault="003C252B" w:rsidP="004C2D1E">
      <w:pPr>
        <w:rPr>
          <w:rFonts w:ascii="Arial" w:hAnsi="Arial" w:cs="Arial"/>
          <w:szCs w:val="24"/>
        </w:rPr>
      </w:pPr>
    </w:p>
    <w:p w:rsidR="004C2D1E" w:rsidRPr="0079286C" w:rsidRDefault="004C2D1E" w:rsidP="004C2D1E">
      <w:pPr>
        <w:rPr>
          <w:rFonts w:ascii="Arial" w:hAnsi="Arial" w:cs="Arial"/>
          <w:b/>
          <w:szCs w:val="24"/>
        </w:rPr>
      </w:pPr>
      <w:r w:rsidRPr="0079286C">
        <w:rPr>
          <w:rFonts w:ascii="Arial" w:hAnsi="Arial" w:cs="Arial"/>
          <w:b/>
          <w:szCs w:val="24"/>
        </w:rPr>
        <w:t>Stephen Kavanagh</w:t>
      </w:r>
    </w:p>
    <w:p w:rsidR="00240146" w:rsidRPr="00086465" w:rsidRDefault="004C2D1E" w:rsidP="00086465">
      <w:pPr>
        <w:rPr>
          <w:rFonts w:ascii="Arial" w:hAnsi="Arial" w:cs="Arial"/>
          <w:b/>
          <w:szCs w:val="24"/>
        </w:rPr>
      </w:pPr>
      <w:r w:rsidRPr="0079286C">
        <w:rPr>
          <w:rFonts w:ascii="Arial" w:hAnsi="Arial" w:cs="Arial"/>
          <w:b/>
          <w:szCs w:val="24"/>
        </w:rPr>
        <w:t>Chief Constable</w:t>
      </w:r>
    </w:p>
    <w:p w:rsidR="00110B8C" w:rsidRPr="00ED4D45" w:rsidRDefault="00110B8C" w:rsidP="00AC63CF">
      <w:pPr>
        <w:rPr>
          <w:rFonts w:ascii="Arial" w:hAnsi="Arial" w:cs="Arial"/>
          <w:szCs w:val="24"/>
        </w:rPr>
      </w:pPr>
    </w:p>
    <w:sectPr w:rsidR="00110B8C" w:rsidRPr="00ED4D45" w:rsidSect="00CC63F9">
      <w:headerReference w:type="default" r:id="rId17"/>
      <w:type w:val="continuous"/>
      <w:pgSz w:w="11909" w:h="16834" w:code="9"/>
      <w:pgMar w:top="1440" w:right="1440" w:bottom="1440" w:left="1440" w:header="709" w:footer="142" w:gutter="0"/>
      <w:paperSrc w:first="26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71" w:rsidRDefault="009C5871">
      <w:r>
        <w:separator/>
      </w:r>
    </w:p>
  </w:endnote>
  <w:endnote w:type="continuationSeparator" w:id="0">
    <w:p w:rsidR="009C5871" w:rsidRDefault="009C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B7" w:rsidRDefault="00FF0E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EB7" w:rsidRDefault="00FF0EB7">
    <w:pPr>
      <w:pStyle w:val="Footer"/>
      <w:framePr w:wrap="around" w:vAnchor="text" w:hAnchor="margin" w:xAlign="center" w:y="1"/>
      <w:rPr>
        <w:rStyle w:val="PageNumber"/>
      </w:rPr>
    </w:pPr>
  </w:p>
  <w:p w:rsidR="00FF0EB7" w:rsidRDefault="00FF0EB7" w:rsidP="00025DB8">
    <w:pPr>
      <w:pStyle w:val="Footer"/>
      <w:jc w:val="center"/>
    </w:pPr>
    <w:r>
      <w:t xml:space="preserve"> </w:t>
    </w:r>
    <w:r>
      <w:fldChar w:fldCharType="begin"/>
    </w:r>
    <w:r w:rsidRPr="00176924">
      <w:rPr>
        <w:vanish/>
      </w:rPr>
      <w:instrText xml:space="preserve"> DOCPROPERTY "TitusDescriptor" \* MERGEFORMAT </w:instrText>
    </w:r>
    <w:r>
      <w:fldChar w:fldCharType="separate"/>
    </w:r>
    <w:r>
      <w:t xml:space="preserve"> </w:t>
    </w:r>
    <w:r>
      <w:fldChar w:fldCharType="end"/>
    </w:r>
    <w:r>
      <w:fldChar w:fldCharType="begin"/>
    </w:r>
    <w:r w:rsidRPr="00176924">
      <w:instrText xml:space="preserve"> DOCPROPERTY "TitusClassification" \* MERGEFORMAT </w:instrText>
    </w:r>
    <w:r>
      <w:fldChar w:fldCharType="separate"/>
    </w:r>
    <w:r>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3126"/>
      <w:docPartObj>
        <w:docPartGallery w:val="Page Numbers (Bottom of Page)"/>
        <w:docPartUnique/>
      </w:docPartObj>
    </w:sdtPr>
    <w:sdtEndPr>
      <w:rPr>
        <w:noProof/>
      </w:rPr>
    </w:sdtEndPr>
    <w:sdtContent>
      <w:p w:rsidR="00FF0EB7" w:rsidRDefault="00FF0EB7">
        <w:pPr>
          <w:pStyle w:val="Footer"/>
          <w:jc w:val="center"/>
        </w:pPr>
        <w:r>
          <w:fldChar w:fldCharType="begin"/>
        </w:r>
        <w:r>
          <w:instrText xml:space="preserve"> PAGE   \* MERGEFORMAT </w:instrText>
        </w:r>
        <w:r>
          <w:fldChar w:fldCharType="separate"/>
        </w:r>
        <w:r w:rsidR="008E2388">
          <w:rPr>
            <w:noProof/>
          </w:rPr>
          <w:t>2</w:t>
        </w:r>
        <w:r>
          <w:rPr>
            <w:noProof/>
          </w:rPr>
          <w:fldChar w:fldCharType="end"/>
        </w:r>
      </w:p>
    </w:sdtContent>
  </w:sdt>
  <w:p w:rsidR="00FF0EB7" w:rsidRDefault="00FF0EB7" w:rsidP="00025DB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B7" w:rsidRPr="00D137FA" w:rsidRDefault="00FF0EB7" w:rsidP="00D94069">
    <w:pPr>
      <w:pStyle w:val="Header"/>
      <w:tabs>
        <w:tab w:val="clear" w:pos="4153"/>
        <w:tab w:val="clear" w:pos="8306"/>
        <w:tab w:val="left" w:pos="2880"/>
      </w:tabs>
      <w:rPr>
        <w:rFonts w:ascii="Arial" w:hAnsi="Arial" w:cs="Arial"/>
        <w:b/>
        <w:sz w:val="22"/>
        <w:szCs w:val="22"/>
      </w:rPr>
    </w:pPr>
    <w:r>
      <w:rPr>
        <w:rFonts w:ascii="Arial" w:hAnsi="Arial" w:cs="Arial"/>
        <w:b/>
        <w:sz w:val="22"/>
        <w:szCs w:val="22"/>
      </w:rPr>
      <w:tab/>
    </w:r>
  </w:p>
  <w:p w:rsidR="00FF0EB7" w:rsidRPr="006931A2" w:rsidRDefault="00FF0EB7" w:rsidP="00932762">
    <w:pPr>
      <w:pStyle w:val="Footer"/>
      <w:jc w:val="center"/>
      <w:rPr>
        <w:rFonts w:ascii="Calibri" w:hAnsi="Calibri"/>
        <w:b/>
        <w:sz w:val="22"/>
        <w:szCs w:val="22"/>
      </w:rPr>
    </w:pPr>
    <w:r>
      <w:rPr>
        <w:rFonts w:ascii="Calibri" w:hAnsi="Calibri"/>
        <w:b/>
        <w:noProof/>
        <w:sz w:val="22"/>
        <w:szCs w:val="22"/>
        <w:lang w:eastAsia="en-GB"/>
      </w:rPr>
      <w:drawing>
        <wp:anchor distT="0" distB="0" distL="114300" distR="114300" simplePos="0" relativeHeight="251659264" behindDoc="1" locked="0" layoutInCell="1" allowOverlap="1" wp14:anchorId="72F3F83F" wp14:editId="14878D70">
          <wp:simplePos x="0" y="0"/>
          <wp:positionH relativeFrom="column">
            <wp:posOffset>200025</wp:posOffset>
          </wp:positionH>
          <wp:positionV relativeFrom="paragraph">
            <wp:posOffset>8753475</wp:posOffset>
          </wp:positionV>
          <wp:extent cx="7560945" cy="857250"/>
          <wp:effectExtent l="0" t="0" r="190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22"/>
        <w:szCs w:val="22"/>
        <w:lang w:eastAsia="en-GB"/>
      </w:rPr>
      <w:drawing>
        <wp:anchor distT="0" distB="0" distL="114300" distR="114300" simplePos="0" relativeHeight="251658240" behindDoc="1" locked="0" layoutInCell="1" allowOverlap="1" wp14:anchorId="2F49C19A" wp14:editId="3B950876">
          <wp:simplePos x="0" y="0"/>
          <wp:positionH relativeFrom="column">
            <wp:posOffset>-9525</wp:posOffset>
          </wp:positionH>
          <wp:positionV relativeFrom="paragraph">
            <wp:posOffset>9858375</wp:posOffset>
          </wp:positionV>
          <wp:extent cx="7560945" cy="857250"/>
          <wp:effectExtent l="0" t="0" r="190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22"/>
        <w:szCs w:val="22"/>
        <w:lang w:eastAsia="en-GB"/>
      </w:rPr>
      <w:drawing>
        <wp:anchor distT="0" distB="0" distL="114300" distR="114300" simplePos="0" relativeHeight="251657216" behindDoc="1" locked="0" layoutInCell="1" allowOverlap="1" wp14:anchorId="5F7276B3" wp14:editId="45409714">
          <wp:simplePos x="0" y="0"/>
          <wp:positionH relativeFrom="column">
            <wp:posOffset>-9525</wp:posOffset>
          </wp:positionH>
          <wp:positionV relativeFrom="paragraph">
            <wp:posOffset>9858375</wp:posOffset>
          </wp:positionV>
          <wp:extent cx="7560945" cy="857250"/>
          <wp:effectExtent l="0" t="0" r="190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22"/>
        <w:szCs w:val="22"/>
        <w:lang w:eastAsia="en-GB"/>
      </w:rPr>
      <w:drawing>
        <wp:anchor distT="0" distB="0" distL="114300" distR="114300" simplePos="0" relativeHeight="251656192" behindDoc="1" locked="0" layoutInCell="1" allowOverlap="1" wp14:anchorId="59F0C33D" wp14:editId="047EE75C">
          <wp:simplePos x="0" y="0"/>
          <wp:positionH relativeFrom="column">
            <wp:posOffset>-9525</wp:posOffset>
          </wp:positionH>
          <wp:positionV relativeFrom="paragraph">
            <wp:posOffset>9867900</wp:posOffset>
          </wp:positionV>
          <wp:extent cx="7560945" cy="857250"/>
          <wp:effectExtent l="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1A2">
      <w:rPr>
        <w:rFonts w:ascii="Calibri" w:hAnsi="Calibri"/>
        <w:b/>
        <w:sz w:val="22"/>
        <w:szCs w:val="22"/>
      </w:rPr>
      <w:t xml:space="preserve">In an emergency always dial </w:t>
    </w:r>
    <w:r w:rsidRPr="006931A2">
      <w:rPr>
        <w:rFonts w:ascii="Calibri" w:hAnsi="Calibri"/>
        <w:b/>
        <w:sz w:val="28"/>
        <w:szCs w:val="28"/>
      </w:rPr>
      <w:t>999</w:t>
    </w:r>
    <w:r>
      <w:rPr>
        <w:rFonts w:ascii="Calibri" w:hAnsi="Calibri"/>
        <w:b/>
        <w:sz w:val="22"/>
        <w:szCs w:val="22"/>
      </w:rPr>
      <w:t>.  For non-</w:t>
    </w:r>
    <w:r w:rsidRPr="006931A2">
      <w:rPr>
        <w:rFonts w:ascii="Calibri" w:hAnsi="Calibri"/>
        <w:b/>
        <w:sz w:val="22"/>
        <w:szCs w:val="22"/>
      </w:rPr>
      <w:t xml:space="preserve">emergencies dial </w:t>
    </w:r>
    <w:r w:rsidRPr="006931A2">
      <w:rPr>
        <w:rFonts w:ascii="Calibri" w:hAnsi="Calibri"/>
        <w:b/>
        <w:sz w:val="28"/>
        <w:szCs w:val="28"/>
      </w:rPr>
      <w:t>101</w:t>
    </w:r>
    <w:r w:rsidRPr="006931A2">
      <w:rPr>
        <w:rFonts w:ascii="Calibri" w:hAnsi="Calibri"/>
        <w:b/>
        <w:sz w:val="22"/>
        <w:szCs w:val="22"/>
      </w:rPr>
      <w:t>.</w:t>
    </w:r>
  </w:p>
  <w:p w:rsidR="00FF0EB7" w:rsidRDefault="008E2388" w:rsidP="00932762">
    <w:pPr>
      <w:pStyle w:val="Footer"/>
      <w:jc w:val="center"/>
      <w:rPr>
        <w:rFonts w:ascii="Calibri" w:hAnsi="Calibri"/>
        <w:b/>
        <w:sz w:val="22"/>
        <w:szCs w:val="22"/>
      </w:rPr>
    </w:pPr>
    <w:hyperlink r:id="rId2" w:history="1">
      <w:r w:rsidR="00FF0EB7" w:rsidRPr="00D92B51">
        <w:rPr>
          <w:rStyle w:val="Hyperlink"/>
          <w:rFonts w:ascii="Calibri" w:hAnsi="Calibri"/>
          <w:b/>
          <w:sz w:val="22"/>
          <w:szCs w:val="22"/>
        </w:rPr>
        <w:t>www.essex.police.co.uk</w:t>
      </w:r>
    </w:hyperlink>
  </w:p>
  <w:p w:rsidR="00FF0EB7" w:rsidRDefault="00FF0EB7" w:rsidP="00932762">
    <w:pPr>
      <w:pStyle w:val="Footer"/>
      <w:jc w:val="center"/>
      <w:rPr>
        <w:rFonts w:ascii="Calibri" w:hAnsi="Calibri"/>
        <w:b/>
        <w:sz w:val="22"/>
        <w:szCs w:val="22"/>
      </w:rPr>
    </w:pPr>
    <w:r w:rsidRPr="006931A2">
      <w:rPr>
        <w:rFonts w:ascii="Calibri" w:hAnsi="Calibri"/>
        <w:b/>
        <w:sz w:val="22"/>
        <w:szCs w:val="22"/>
      </w:rPr>
      <w:fldChar w:fldCharType="begin"/>
    </w:r>
    <w:r w:rsidRPr="006931A2">
      <w:rPr>
        <w:rFonts w:ascii="Calibri" w:hAnsi="Calibri"/>
        <w:b/>
        <w:sz w:val="22"/>
        <w:szCs w:val="22"/>
      </w:rPr>
      <w:instrText xml:space="preserve"> DOCPROPERTY "TitusDescriptor" \* MERGEFORMAT </w:instrText>
    </w:r>
    <w:r w:rsidRPr="006931A2">
      <w:rPr>
        <w:rFonts w:ascii="Calibri" w:hAnsi="Calibri"/>
        <w:b/>
        <w:sz w:val="22"/>
        <w:szCs w:val="22"/>
      </w:rPr>
      <w:fldChar w:fldCharType="separate"/>
    </w:r>
    <w:r>
      <w:rPr>
        <w:rFonts w:ascii="Calibri" w:hAnsi="Calibri"/>
        <w:b/>
        <w:sz w:val="22"/>
        <w:szCs w:val="22"/>
      </w:rPr>
      <w:t xml:space="preserve"> </w:t>
    </w:r>
    <w:r w:rsidRPr="006931A2">
      <w:rPr>
        <w:rFonts w:ascii="Calibri" w:hAnsi="Calibri"/>
        <w:b/>
        <w:sz w:val="22"/>
        <w:szCs w:val="22"/>
      </w:rPr>
      <w:fldChar w:fldCharType="end"/>
    </w:r>
  </w:p>
  <w:p w:rsidR="00FF0EB7" w:rsidRPr="0045144C" w:rsidRDefault="00FF0EB7" w:rsidP="0045144C">
    <w:pPr>
      <w:pStyle w:val="Footer"/>
      <w:tabs>
        <w:tab w:val="clear" w:pos="4153"/>
        <w:tab w:val="clear" w:pos="8306"/>
        <w:tab w:val="left" w:pos="3544"/>
      </w:tabs>
      <w:rPr>
        <w:sz w:val="16"/>
      </w:rPr>
    </w:pPr>
    <w:r w:rsidRPr="0045144C">
      <w:rPr>
        <w:sz w:val="16"/>
      </w:rPr>
      <w:fldChar w:fldCharType="begin"/>
    </w:r>
    <w:r w:rsidRPr="0045144C">
      <w:rPr>
        <w:sz w:val="16"/>
      </w:rPr>
      <w:instrText xml:space="preserve"> FILENAME  \p  \* MERGEFORMAT </w:instrText>
    </w:r>
    <w:r w:rsidRPr="0045144C">
      <w:rPr>
        <w:sz w:val="16"/>
      </w:rPr>
      <w:fldChar w:fldCharType="separate"/>
    </w:r>
    <w:r>
      <w:rPr>
        <w:noProof/>
        <w:sz w:val="16"/>
      </w:rPr>
      <w:t>\\42users.netr.ecis.police.uk\42users$\42077067\Documents\Chief Constable\Precept increase\Draft 2nd letter on 2018-19 Budget setting 100118.docx</w:t>
    </w:r>
    <w:r w:rsidRPr="0045144C">
      <w:rPr>
        <w:sz w:val="16"/>
      </w:rPr>
      <w:fldChar w:fldCharType="end"/>
    </w:r>
    <w:r w:rsidRPr="0045144C">
      <w:rPr>
        <w:sz w:val="16"/>
      </w:rPr>
      <w:fldChar w:fldCharType="begin"/>
    </w:r>
    <w:r w:rsidRPr="0045144C">
      <w:rPr>
        <w:vanish/>
        <w:sz w:val="16"/>
      </w:rPr>
      <w:instrText xml:space="preserve"> DOCPROPERTY "TitusDescriptor" \* MERGEFORMAT </w:instrText>
    </w:r>
    <w:r w:rsidRPr="0045144C">
      <w:rPr>
        <w:sz w:val="16"/>
      </w:rPr>
      <w:fldChar w:fldCharType="separate"/>
    </w:r>
    <w:r w:rsidRPr="0045144C">
      <w:rPr>
        <w:sz w:val="16"/>
      </w:rPr>
      <w:t xml:space="preserve"> </w:t>
    </w:r>
    <w:r w:rsidRPr="0045144C">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71" w:rsidRDefault="009C5871">
      <w:r>
        <w:separator/>
      </w:r>
    </w:p>
  </w:footnote>
  <w:footnote w:type="continuationSeparator" w:id="0">
    <w:p w:rsidR="009C5871" w:rsidRDefault="009C5871">
      <w:r>
        <w:continuationSeparator/>
      </w:r>
    </w:p>
  </w:footnote>
  <w:footnote w:id="1">
    <w:p w:rsidR="00FF0EB7" w:rsidRDefault="00FF0EB7">
      <w:pPr>
        <w:pStyle w:val="FootnoteText"/>
      </w:pPr>
      <w:r>
        <w:rPr>
          <w:rStyle w:val="FootnoteReference"/>
        </w:rPr>
        <w:footnoteRef/>
      </w:r>
      <w:r>
        <w:t xml:space="preserve"> </w:t>
      </w:r>
      <w:proofErr w:type="gramStart"/>
      <w:r>
        <w:t xml:space="preserve">Based on </w:t>
      </w:r>
      <w:r w:rsidR="00FA2F7A">
        <w:t>an additional £1.42m from</w:t>
      </w:r>
      <w:r>
        <w:t xml:space="preserve"> the </w:t>
      </w:r>
      <w:r w:rsidR="002F1248">
        <w:t>Home Office core grant and £0.77</w:t>
      </w:r>
      <w:r>
        <w:t>2m from the Home Office funding formula.</w:t>
      </w:r>
      <w:proofErr w:type="gramEnd"/>
    </w:p>
  </w:footnote>
  <w:footnote w:id="2">
    <w:p w:rsidR="00FF0EB7" w:rsidRDefault="00FF0EB7">
      <w:pPr>
        <w:pStyle w:val="FootnoteText"/>
      </w:pPr>
      <w:r>
        <w:rPr>
          <w:rStyle w:val="FootnoteReference"/>
        </w:rPr>
        <w:footnoteRef/>
      </w:r>
      <w:r>
        <w:t xml:space="preserve"> Final checks were carried out which resulted in a lower costing requirement for police staff.</w:t>
      </w:r>
    </w:p>
  </w:footnote>
  <w:footnote w:id="3">
    <w:p w:rsidR="00FF0EB7" w:rsidRDefault="00FF0EB7">
      <w:pPr>
        <w:pStyle w:val="FootnoteText"/>
      </w:pPr>
      <w:r>
        <w:rPr>
          <w:rStyle w:val="FootnoteReference"/>
        </w:rPr>
        <w:footnoteRef/>
      </w:r>
      <w:r>
        <w:t xml:space="preserve"> </w:t>
      </w:r>
      <w:r>
        <w:rPr>
          <w:rFonts w:ascii="Arial" w:hAnsi="Arial" w:cs="Arial"/>
          <w:szCs w:val="24"/>
        </w:rPr>
        <w:t>This is predicated on no more than 240 officers leaving during the financial year and achieving the forecast recruitment numbers as set out in Appendix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B7" w:rsidRDefault="00FF0EB7" w:rsidP="00025DB8">
    <w:pPr>
      <w:pStyle w:val="Header"/>
      <w:jc w:val="center"/>
    </w:pPr>
    <w:r>
      <w:fldChar w:fldCharType="begin"/>
    </w:r>
    <w:r w:rsidRPr="00176924">
      <w:instrText xml:space="preserve"> DOCPROPERTY "TitusClassification" \* MERGEFORMAT </w:instrText>
    </w:r>
    <w:r>
      <w:fldChar w:fldCharType="separate"/>
    </w:r>
    <w:r>
      <w:t>NOT PROTECTIVELY MARKED</w:t>
    </w:r>
    <w:r>
      <w:fldChar w:fldCharType="end"/>
    </w:r>
    <w:r>
      <w:t xml:space="preserve"> </w:t>
    </w:r>
    <w:r>
      <w:fldChar w:fldCharType="begin"/>
    </w:r>
    <w:r w:rsidRPr="00176924">
      <w:rPr>
        <w:vanish/>
      </w:rPr>
      <w:instrText xml:space="preserve"> DOCPROPERTY "TitusDescriptor" \* MERGEFORMAT </w:instrText>
    </w:r>
    <w:r>
      <w:fldChar w:fldCharType="separate"/>
    </w:r>
    <w:r>
      <w:t xml:space="preserve">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B7" w:rsidRDefault="00FF0EB7" w:rsidP="00025DB8">
    <w:pPr>
      <w:pStyle w:val="Header"/>
      <w:jc w:val="center"/>
    </w:pPr>
    <w:r>
      <w:fldChar w:fldCharType="begin"/>
    </w:r>
    <w:r w:rsidRPr="00176924">
      <w:instrText xml:space="preserve"> DOCPROPERTY "TitusClassification" \* MERGEFORMAT </w:instrText>
    </w:r>
    <w:r>
      <w:fldChar w:fldCharType="separate"/>
    </w:r>
    <w:r>
      <w:t>NOT PROTECTIVELY MARKED</w:t>
    </w:r>
    <w:r>
      <w:fldChar w:fldCharType="end"/>
    </w:r>
    <w:r>
      <w:t xml:space="preserve"> </w:t>
    </w:r>
    <w:r>
      <w:fldChar w:fldCharType="begin"/>
    </w:r>
    <w:r w:rsidRPr="00176924">
      <w:rPr>
        <w:vanish/>
      </w:rPr>
      <w:instrText xml:space="preserve"> DOCPROPERTY "TitusDescriptor" \* MERGEFORMAT </w:instrText>
    </w:r>
    <w:r>
      <w:fldChar w:fldCharType="separate"/>
    </w:r>
    <w:r>
      <w:t xml:space="preserve">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B7" w:rsidRPr="008E2388" w:rsidRDefault="008E2388" w:rsidP="00462C61">
    <w:pPr>
      <w:pStyle w:val="Header"/>
      <w:tabs>
        <w:tab w:val="clear" w:pos="4153"/>
        <w:tab w:val="clear" w:pos="8306"/>
        <w:tab w:val="left" w:pos="3780"/>
      </w:tabs>
      <w:rPr>
        <w:rFonts w:ascii="Arial" w:hAnsi="Arial"/>
        <w:b/>
        <w:sz w:val="32"/>
        <w:szCs w:val="32"/>
      </w:rPr>
    </w:pPr>
    <w:r w:rsidRPr="008E2388">
      <w:rPr>
        <w:rFonts w:ascii="Arial" w:hAnsi="Arial"/>
        <w:b/>
        <w:sz w:val="32"/>
        <w:szCs w:val="32"/>
      </w:rPr>
      <w:t>APPENDIX D</w:t>
    </w:r>
  </w:p>
  <w:p w:rsidR="00FF0EB7" w:rsidRDefault="00FF0EB7" w:rsidP="00AF7C88">
    <w:pPr>
      <w:pStyle w:val="Header"/>
      <w:tabs>
        <w:tab w:val="clear" w:pos="4153"/>
        <w:tab w:val="clear" w:pos="8306"/>
        <w:tab w:val="left" w:pos="3780"/>
      </w:tabs>
      <w:rPr>
        <w:rFonts w:ascii="Arial" w:hAnsi="Arial"/>
        <w:b/>
        <w:sz w:val="22"/>
      </w:rPr>
    </w:pPr>
    <w:r>
      <w:rPr>
        <w:rFonts w:ascii="Arial" w:hAnsi="Arial"/>
        <w:noProof/>
        <w:sz w:val="16"/>
        <w:szCs w:val="16"/>
        <w:lang w:eastAsia="en-GB"/>
      </w:rPr>
      <w:drawing>
        <wp:anchor distT="0" distB="0" distL="0" distR="0" simplePos="0" relativeHeight="251655168" behindDoc="0" locked="0" layoutInCell="1" allowOverlap="0" wp14:anchorId="5D403F35" wp14:editId="04C5B644">
          <wp:simplePos x="0" y="0"/>
          <wp:positionH relativeFrom="column">
            <wp:posOffset>3867150</wp:posOffset>
          </wp:positionH>
          <wp:positionV relativeFrom="line">
            <wp:posOffset>114935</wp:posOffset>
          </wp:positionV>
          <wp:extent cx="2286000" cy="1390015"/>
          <wp:effectExtent l="0" t="0" r="0" b="635"/>
          <wp:wrapNone/>
          <wp:docPr id="1" name="Picture 1" descr="http://web/departments/mediaandpr/pr/Crests/13_crest_blu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epartments/mediaandpr/pr/Crests/13_crest_blu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2"/>
      </w:rPr>
      <w:fldChar w:fldCharType="begin"/>
    </w:r>
    <w:r w:rsidRPr="00176924">
      <w:rPr>
        <w:rFonts w:ascii="Arial" w:hAnsi="Arial"/>
        <w:b/>
        <w:vanish/>
        <w:sz w:val="22"/>
      </w:rPr>
      <w:instrText xml:space="preserve"> DOCPROPERTY "TitusDescriptor" \* MERGEFORMAT </w:instrText>
    </w:r>
    <w:r>
      <w:rPr>
        <w:rFonts w:ascii="Arial" w:hAnsi="Arial"/>
        <w:b/>
        <w:sz w:val="22"/>
      </w:rPr>
      <w:fldChar w:fldCharType="separate"/>
    </w:r>
    <w:r>
      <w:rPr>
        <w:rFonts w:ascii="Arial" w:hAnsi="Arial"/>
        <w:b/>
        <w:sz w:val="22"/>
      </w:rPr>
      <w:t xml:space="preserve"> </w:t>
    </w:r>
    <w:r>
      <w:rPr>
        <w:rFonts w:ascii="Arial" w:hAnsi="Arial"/>
        <w:b/>
        <w:sz w:val="22"/>
      </w:rPr>
      <w:fldChar w:fldCharType="end"/>
    </w:r>
  </w:p>
  <w:p w:rsidR="00FF0EB7" w:rsidRDefault="00FF0EB7" w:rsidP="00462C61">
    <w:pPr>
      <w:pStyle w:val="Header"/>
      <w:tabs>
        <w:tab w:val="clear" w:pos="4153"/>
        <w:tab w:val="clear" w:pos="8306"/>
        <w:tab w:val="left" w:pos="3780"/>
      </w:tabs>
      <w:rPr>
        <w:rFonts w:ascii="Arial" w:hAnsi="Arial"/>
        <w:b/>
        <w:sz w:val="22"/>
      </w:rPr>
    </w:pPr>
  </w:p>
  <w:p w:rsidR="00FF0EB7" w:rsidRPr="007266B0" w:rsidRDefault="00FF0EB7" w:rsidP="00D94069">
    <w:pPr>
      <w:pStyle w:val="Header"/>
      <w:tabs>
        <w:tab w:val="clear" w:pos="4153"/>
        <w:tab w:val="clear" w:pos="8306"/>
        <w:tab w:val="left" w:pos="2880"/>
      </w:tabs>
      <w:rPr>
        <w:rFonts w:ascii="Arial" w:hAnsi="Arial"/>
        <w:b/>
        <w:sz w:val="22"/>
        <w:szCs w:val="22"/>
      </w:rPr>
    </w:pPr>
  </w:p>
  <w:p w:rsidR="00FF0EB7" w:rsidRPr="005C359C" w:rsidRDefault="00FF0EB7" w:rsidP="00FD3812">
    <w:pPr>
      <w:pStyle w:val="Header"/>
      <w:tabs>
        <w:tab w:val="clear" w:pos="4153"/>
        <w:tab w:val="clear" w:pos="8306"/>
        <w:tab w:val="left" w:pos="6237"/>
      </w:tabs>
      <w:spacing w:before="60"/>
      <w:ind w:right="-1049"/>
      <w:rPr>
        <w:rFonts w:ascii="Arial" w:hAnsi="Arial"/>
        <w:sz w:val="16"/>
        <w:szCs w:val="16"/>
      </w:rPr>
    </w:pPr>
    <w:r>
      <w:rPr>
        <w:rFonts w:ascii="Arial" w:hAnsi="Arial"/>
        <w:sz w:val="16"/>
        <w:szCs w:val="16"/>
      </w:rPr>
      <w:t>Stephen Kavanagh</w:t>
    </w:r>
    <w:r>
      <w:rPr>
        <w:rFonts w:ascii="Arial" w:hAnsi="Arial"/>
        <w:sz w:val="16"/>
        <w:szCs w:val="16"/>
      </w:rPr>
      <w:tab/>
    </w:r>
  </w:p>
  <w:p w:rsidR="00FF0EB7" w:rsidRDefault="00FF0EB7" w:rsidP="00FD3812">
    <w:pPr>
      <w:pStyle w:val="Header"/>
      <w:tabs>
        <w:tab w:val="clear" w:pos="4153"/>
        <w:tab w:val="clear" w:pos="8306"/>
        <w:tab w:val="left" w:pos="6237"/>
      </w:tabs>
      <w:spacing w:before="60"/>
      <w:ind w:right="-1049"/>
      <w:rPr>
        <w:rFonts w:ascii="Arial" w:hAnsi="Arial"/>
        <w:sz w:val="16"/>
        <w:szCs w:val="16"/>
      </w:rPr>
    </w:pPr>
    <w:r w:rsidRPr="005C359C">
      <w:rPr>
        <w:rFonts w:ascii="Arial" w:hAnsi="Arial"/>
        <w:sz w:val="16"/>
        <w:szCs w:val="16"/>
      </w:rPr>
      <w:t>Chief Constable</w:t>
    </w:r>
    <w:r w:rsidRPr="005C359C">
      <w:rPr>
        <w:rFonts w:ascii="Arial" w:hAnsi="Arial"/>
        <w:sz w:val="16"/>
        <w:szCs w:val="16"/>
      </w:rPr>
      <w:tab/>
    </w:r>
  </w:p>
  <w:p w:rsidR="00FF0EB7" w:rsidRDefault="00FF0EB7" w:rsidP="00FD3812">
    <w:pPr>
      <w:pStyle w:val="Header"/>
      <w:tabs>
        <w:tab w:val="clear" w:pos="4153"/>
        <w:tab w:val="clear" w:pos="8306"/>
        <w:tab w:val="left" w:pos="6237"/>
      </w:tabs>
      <w:spacing w:before="60"/>
      <w:ind w:right="-1049"/>
      <w:rPr>
        <w:rFonts w:ascii="Arial" w:hAnsi="Arial"/>
        <w:sz w:val="16"/>
        <w:szCs w:val="16"/>
      </w:rPr>
    </w:pPr>
  </w:p>
  <w:p w:rsidR="00FF0EB7" w:rsidRDefault="00FF0EB7" w:rsidP="00FD3812">
    <w:pPr>
      <w:pStyle w:val="Header"/>
      <w:tabs>
        <w:tab w:val="clear" w:pos="4153"/>
        <w:tab w:val="clear" w:pos="8306"/>
        <w:tab w:val="left" w:pos="6237"/>
      </w:tabs>
      <w:spacing w:before="60"/>
      <w:ind w:right="-1049"/>
      <w:rPr>
        <w:rFonts w:ascii="Arial" w:hAnsi="Arial"/>
        <w:sz w:val="16"/>
        <w:szCs w:val="16"/>
      </w:rPr>
    </w:pPr>
  </w:p>
  <w:p w:rsidR="00FF0EB7" w:rsidRDefault="00FF0EB7" w:rsidP="00FD3812">
    <w:pPr>
      <w:pStyle w:val="Header"/>
      <w:tabs>
        <w:tab w:val="clear" w:pos="4153"/>
        <w:tab w:val="clear" w:pos="8306"/>
        <w:tab w:val="left" w:pos="6237"/>
      </w:tabs>
      <w:spacing w:before="60"/>
      <w:ind w:right="-1049"/>
      <w:rPr>
        <w:rFonts w:ascii="Arial" w:hAnsi="Arial"/>
        <w:sz w:val="16"/>
        <w:szCs w:val="16"/>
      </w:rPr>
    </w:pPr>
  </w:p>
  <w:p w:rsidR="00FF0EB7" w:rsidRDefault="00FF0EB7" w:rsidP="00FD3812">
    <w:pPr>
      <w:pStyle w:val="Header"/>
      <w:tabs>
        <w:tab w:val="clear" w:pos="4153"/>
        <w:tab w:val="clear" w:pos="8306"/>
        <w:tab w:val="left" w:pos="6237"/>
      </w:tabs>
      <w:spacing w:before="60"/>
      <w:ind w:right="-1049"/>
      <w:rPr>
        <w:rFonts w:ascii="Arial" w:hAnsi="Arial"/>
        <w:sz w:val="16"/>
        <w:szCs w:val="16"/>
      </w:rPr>
    </w:pPr>
  </w:p>
  <w:p w:rsidR="00FF0EB7" w:rsidRDefault="00FF0EB7" w:rsidP="00FD3812">
    <w:pPr>
      <w:pStyle w:val="Header"/>
      <w:tabs>
        <w:tab w:val="clear" w:pos="4153"/>
        <w:tab w:val="clear" w:pos="8306"/>
        <w:tab w:val="left" w:pos="6237"/>
      </w:tabs>
      <w:spacing w:before="60"/>
      <w:ind w:right="-1049"/>
      <w:rPr>
        <w:rFonts w:ascii="Arial" w:hAnsi="Arial"/>
        <w:sz w:val="16"/>
        <w:szCs w:val="16"/>
      </w:rPr>
    </w:pPr>
    <w:r>
      <w:rPr>
        <w:rFonts w:ascii="Arial" w:hAnsi="Arial"/>
        <w:sz w:val="16"/>
        <w:szCs w:val="16"/>
      </w:rPr>
      <w:tab/>
    </w:r>
  </w:p>
  <w:p w:rsidR="00FF0EB7" w:rsidRDefault="00FF0EB7" w:rsidP="00FD3812">
    <w:pPr>
      <w:pStyle w:val="Header"/>
      <w:tabs>
        <w:tab w:val="clear" w:pos="4153"/>
        <w:tab w:val="clear" w:pos="8306"/>
        <w:tab w:val="left" w:pos="6237"/>
      </w:tabs>
      <w:spacing w:before="60"/>
      <w:ind w:right="-1049"/>
      <w:rPr>
        <w:rFonts w:ascii="Arial" w:hAnsi="Arial"/>
        <w:sz w:val="16"/>
        <w:szCs w:val="16"/>
      </w:rPr>
    </w:pPr>
    <w:r>
      <w:rPr>
        <w:rFonts w:ascii="Arial" w:hAnsi="Arial"/>
        <w:sz w:val="16"/>
        <w:szCs w:val="16"/>
      </w:rPr>
      <w:tab/>
    </w:r>
    <w:r w:rsidRPr="005C359C">
      <w:rPr>
        <w:rFonts w:ascii="Arial" w:hAnsi="Arial"/>
        <w:sz w:val="16"/>
        <w:szCs w:val="16"/>
      </w:rPr>
      <w:t>Chief Constable’s Office</w:t>
    </w:r>
  </w:p>
  <w:p w:rsidR="00FF0EB7" w:rsidRPr="005C359C" w:rsidRDefault="00FF0EB7" w:rsidP="00FD3812">
    <w:pPr>
      <w:pStyle w:val="Header"/>
      <w:tabs>
        <w:tab w:val="clear" w:pos="4153"/>
        <w:tab w:val="clear" w:pos="8306"/>
        <w:tab w:val="left" w:pos="6237"/>
      </w:tabs>
      <w:spacing w:before="60"/>
      <w:ind w:right="-1049"/>
      <w:rPr>
        <w:rFonts w:ascii="Arial" w:hAnsi="Arial"/>
        <w:sz w:val="16"/>
        <w:szCs w:val="16"/>
      </w:rPr>
    </w:pPr>
    <w:r>
      <w:rPr>
        <w:rFonts w:ascii="Arial" w:hAnsi="Arial"/>
        <w:sz w:val="16"/>
        <w:szCs w:val="16"/>
      </w:rPr>
      <w:tab/>
      <w:t xml:space="preserve">Essex Police </w:t>
    </w:r>
    <w:r w:rsidRPr="005C359C">
      <w:rPr>
        <w:rFonts w:ascii="Arial" w:hAnsi="Arial"/>
        <w:sz w:val="16"/>
        <w:szCs w:val="16"/>
      </w:rPr>
      <w:t xml:space="preserve">Headquarters, </w:t>
    </w:r>
    <w:r>
      <w:rPr>
        <w:rFonts w:ascii="Arial" w:hAnsi="Arial"/>
        <w:sz w:val="16"/>
        <w:szCs w:val="16"/>
      </w:rPr>
      <w:t xml:space="preserve">PO Box 2,  </w:t>
    </w:r>
  </w:p>
  <w:p w:rsidR="00FF0EB7" w:rsidRPr="005C359C" w:rsidRDefault="00FF0EB7" w:rsidP="00FD3812">
    <w:pPr>
      <w:pStyle w:val="Header"/>
      <w:tabs>
        <w:tab w:val="clear" w:pos="4153"/>
        <w:tab w:val="clear" w:pos="8306"/>
        <w:tab w:val="left" w:pos="6237"/>
      </w:tabs>
      <w:spacing w:before="60"/>
      <w:ind w:right="-1049"/>
      <w:rPr>
        <w:rFonts w:ascii="Arial" w:hAnsi="Arial"/>
        <w:sz w:val="16"/>
        <w:szCs w:val="16"/>
      </w:rPr>
    </w:pPr>
    <w:r w:rsidRPr="005C359C">
      <w:rPr>
        <w:rFonts w:ascii="Arial" w:hAnsi="Arial"/>
        <w:sz w:val="16"/>
        <w:szCs w:val="16"/>
      </w:rPr>
      <w:tab/>
    </w:r>
    <w:smartTag w:uri="urn:schemas-microsoft-com:office:smarttags" w:element="City">
      <w:r w:rsidRPr="005C359C">
        <w:rPr>
          <w:rFonts w:ascii="Arial" w:hAnsi="Arial"/>
          <w:sz w:val="16"/>
          <w:szCs w:val="16"/>
        </w:rPr>
        <w:t>Springfield</w:t>
      </w:r>
    </w:smartTag>
    <w:r w:rsidRPr="005C359C">
      <w:rPr>
        <w:rFonts w:ascii="Arial" w:hAnsi="Arial"/>
        <w:sz w:val="16"/>
        <w:szCs w:val="16"/>
      </w:rPr>
      <w:t xml:space="preserve">, </w:t>
    </w:r>
    <w:smartTag w:uri="urn:schemas-microsoft-com:office:smarttags" w:element="City">
      <w:r w:rsidRPr="005C359C">
        <w:rPr>
          <w:rFonts w:ascii="Arial" w:hAnsi="Arial"/>
          <w:sz w:val="16"/>
          <w:szCs w:val="16"/>
        </w:rPr>
        <w:t>Chelmsford</w:t>
      </w:r>
    </w:smartTag>
    <w:r w:rsidRPr="005C359C">
      <w:rPr>
        <w:rFonts w:ascii="Arial" w:hAnsi="Arial"/>
        <w:sz w:val="16"/>
        <w:szCs w:val="16"/>
      </w:rPr>
      <w:t xml:space="preserve">, </w:t>
    </w:r>
    <w:smartTag w:uri="urn:schemas-microsoft-com:office:smarttags" w:element="place">
      <w:r w:rsidRPr="005C359C">
        <w:rPr>
          <w:rFonts w:ascii="Arial" w:hAnsi="Arial"/>
          <w:sz w:val="16"/>
          <w:szCs w:val="16"/>
        </w:rPr>
        <w:t>Essex</w:t>
      </w:r>
    </w:smartTag>
    <w:r w:rsidRPr="005C359C">
      <w:rPr>
        <w:rFonts w:ascii="Arial" w:hAnsi="Arial"/>
        <w:sz w:val="16"/>
        <w:szCs w:val="16"/>
      </w:rPr>
      <w:t xml:space="preserve"> CM2 6DA</w:t>
    </w:r>
  </w:p>
  <w:p w:rsidR="00FF0EB7" w:rsidRDefault="00FF0EB7" w:rsidP="00FD3812">
    <w:pPr>
      <w:pStyle w:val="Header"/>
      <w:tabs>
        <w:tab w:val="clear" w:pos="4153"/>
        <w:tab w:val="clear" w:pos="8306"/>
        <w:tab w:val="left" w:pos="6237"/>
      </w:tabs>
      <w:spacing w:before="60"/>
      <w:ind w:right="-1049"/>
      <w:rPr>
        <w:rFonts w:ascii="Arial" w:hAnsi="Arial"/>
        <w:sz w:val="16"/>
      </w:rPr>
    </w:pPr>
    <w:r>
      <w:rPr>
        <w:rFonts w:ascii="Arial" w:hAnsi="Arial"/>
        <w:sz w:val="16"/>
      </w:rPr>
      <w:tab/>
    </w:r>
  </w:p>
  <w:p w:rsidR="00FF0EB7" w:rsidRDefault="00FF0EB7" w:rsidP="005C359C">
    <w:pPr>
      <w:pStyle w:val="Header"/>
      <w:tabs>
        <w:tab w:val="clear" w:pos="4153"/>
        <w:tab w:val="clear" w:pos="8306"/>
        <w:tab w:val="left" w:pos="6237"/>
      </w:tabs>
      <w:spacing w:before="60"/>
      <w:ind w:right="-1049"/>
      <w:rPr>
        <w:rFonts w:ascii="Arial" w:hAnsi="Arial"/>
        <w:sz w:val="16"/>
      </w:rPr>
    </w:pPr>
    <w:r>
      <w:rPr>
        <w:rFonts w:ascii="Arial" w:hAnsi="Arial"/>
        <w:sz w:val="16"/>
      </w:rPr>
      <w:tab/>
      <w:t>Telephone 01245 452814</w:t>
    </w:r>
  </w:p>
  <w:p w:rsidR="00FF0EB7" w:rsidRDefault="00FF0EB7" w:rsidP="005C359C">
    <w:pPr>
      <w:pStyle w:val="Header"/>
      <w:tabs>
        <w:tab w:val="clear" w:pos="4153"/>
        <w:tab w:val="clear" w:pos="8306"/>
        <w:tab w:val="left" w:pos="4320"/>
        <w:tab w:val="left" w:pos="6237"/>
      </w:tabs>
      <w:spacing w:before="60"/>
      <w:ind w:right="-1049"/>
      <w:rPr>
        <w:rFonts w:ascii="Arial" w:hAnsi="Arial"/>
        <w:sz w:val="16"/>
      </w:rPr>
    </w:pPr>
    <w:r>
      <w:rPr>
        <w:rFonts w:ascii="Arial" w:hAnsi="Arial"/>
        <w:sz w:val="16"/>
      </w:rPr>
      <w:tab/>
    </w:r>
    <w:r>
      <w:rPr>
        <w:rFonts w:ascii="Arial" w:hAnsi="Arial"/>
        <w:sz w:val="16"/>
      </w:rPr>
      <w:tab/>
      <w:t xml:space="preserve">Email: </w:t>
    </w:r>
    <w:hyperlink r:id="rId3" w:history="1">
      <w:r w:rsidRPr="00567D0D">
        <w:rPr>
          <w:rStyle w:val="Hyperlink"/>
          <w:rFonts w:ascii="Arial" w:hAnsi="Arial" w:cs="Arial"/>
        </w:rPr>
        <w:t>chief.constable@essex.pnn.police.uk</w:t>
      </w:r>
    </w:hyperlink>
  </w:p>
  <w:p w:rsidR="00FF0EB7" w:rsidRDefault="00FF0EB7" w:rsidP="005C359C">
    <w:pPr>
      <w:pStyle w:val="Header"/>
      <w:tabs>
        <w:tab w:val="clear" w:pos="4153"/>
        <w:tab w:val="clear" w:pos="8306"/>
        <w:tab w:val="left" w:pos="4320"/>
        <w:tab w:val="left" w:pos="6237"/>
      </w:tabs>
      <w:spacing w:before="60"/>
      <w:ind w:right="-1049"/>
      <w:rPr>
        <w:rFonts w:ascii="Arial" w:hAnsi="Arial"/>
        <w:sz w:val="16"/>
      </w:rPr>
    </w:pPr>
    <w:r>
      <w:rPr>
        <w:rFonts w:ascii="Arial" w:hAnsi="Arial"/>
        <w:sz w:val="16"/>
      </w:rPr>
      <w:tab/>
    </w:r>
    <w:r>
      <w:rPr>
        <w:rFonts w:ascii="Arial" w:hAnsi="Arial"/>
        <w:sz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B7" w:rsidRDefault="00FF0EB7" w:rsidP="00025DB8">
    <w:pPr>
      <w:pStyle w:val="Header"/>
      <w:jc w:val="center"/>
    </w:pPr>
    <w:r>
      <w:fldChar w:fldCharType="begin"/>
    </w:r>
    <w:r w:rsidRPr="00176924">
      <w:rPr>
        <w:vanish/>
      </w:rPr>
      <w:instrText xml:space="preserve"> DOCPROPERTY "TitusDescriptor" \* MERGEFORMAT </w:instrText>
    </w:r>
    <w:r>
      <w:fldChar w:fldCharType="separate"/>
    </w:r>
    <w:r>
      <w:t xml:space="preserve">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5E"/>
    <w:multiLevelType w:val="hybridMultilevel"/>
    <w:tmpl w:val="285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E2E90"/>
    <w:multiLevelType w:val="hybridMultilevel"/>
    <w:tmpl w:val="24E8216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13537808"/>
    <w:multiLevelType w:val="hybridMultilevel"/>
    <w:tmpl w:val="F3A2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A2038"/>
    <w:multiLevelType w:val="hybridMultilevel"/>
    <w:tmpl w:val="DF962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B21C40"/>
    <w:multiLevelType w:val="multilevel"/>
    <w:tmpl w:val="6B6456FA"/>
    <w:numStyleLink w:val="111111"/>
  </w:abstractNum>
  <w:abstractNum w:abstractNumId="5">
    <w:nsid w:val="2A4E35EA"/>
    <w:multiLevelType w:val="hybridMultilevel"/>
    <w:tmpl w:val="10D87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EBB7B11"/>
    <w:multiLevelType w:val="hybridMultilevel"/>
    <w:tmpl w:val="F848A9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3099155A"/>
    <w:multiLevelType w:val="hybridMultilevel"/>
    <w:tmpl w:val="6D247D80"/>
    <w:lvl w:ilvl="0" w:tplc="0F42A42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977C43"/>
    <w:multiLevelType w:val="hybridMultilevel"/>
    <w:tmpl w:val="CAA826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4D6EE6"/>
    <w:multiLevelType w:val="multilevel"/>
    <w:tmpl w:val="6B6456FA"/>
    <w:styleLink w:val="111111"/>
    <w:lvl w:ilvl="0">
      <w:start w:val="1"/>
      <w:numFmt w:val="decimal"/>
      <w:lvlText w:val="%1.0"/>
      <w:lvlJc w:val="left"/>
      <w:pPr>
        <w:tabs>
          <w:tab w:val="num" w:pos="851"/>
        </w:tabs>
        <w:ind w:left="851" w:hanging="491"/>
      </w:pPr>
      <w:rPr>
        <w:rFonts w:hint="default"/>
        <w:sz w:val="24"/>
        <w:szCs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008"/>
        </w:tabs>
        <w:ind w:left="1576"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5DA414D8"/>
    <w:multiLevelType w:val="hybridMultilevel"/>
    <w:tmpl w:val="CE28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D9075D"/>
    <w:multiLevelType w:val="hybridMultilevel"/>
    <w:tmpl w:val="024697C6"/>
    <w:lvl w:ilvl="0" w:tplc="37ECE5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4"/>
    <w:lvlOverride w:ilvl="0">
      <w:lvl w:ilvl="0">
        <w:start w:val="1"/>
        <w:numFmt w:val="decimal"/>
        <w:lvlText w:val="%1."/>
        <w:lvlJc w:val="left"/>
        <w:pPr>
          <w:tabs>
            <w:tab w:val="num" w:pos="567"/>
          </w:tabs>
          <w:ind w:left="567" w:hanging="28"/>
        </w:pPr>
        <w:rPr>
          <w:rFonts w:hint="default"/>
        </w:rPr>
      </w:lvl>
    </w:lvlOverride>
    <w:lvlOverride w:ilvl="1">
      <w:lvl w:ilvl="1">
        <w:start w:val="1"/>
        <w:numFmt w:val="decimal"/>
        <w:lvlText w:val="%1.%2."/>
        <w:lvlJc w:val="left"/>
        <w:pPr>
          <w:ind w:left="595" w:hanging="28"/>
        </w:pPr>
        <w:rPr>
          <w:rFonts w:hint="default"/>
          <w:b w:val="0"/>
          <w:i w:val="0"/>
        </w:rPr>
      </w:lvl>
    </w:lvlOverride>
    <w:lvlOverride w:ilvl="2">
      <w:lvl w:ilvl="2">
        <w:start w:val="1"/>
        <w:numFmt w:val="decimal"/>
        <w:lvlText w:val="3.%3.1."/>
        <w:lvlJc w:val="left"/>
        <w:pPr>
          <w:tabs>
            <w:tab w:val="num" w:pos="623"/>
          </w:tabs>
          <w:ind w:left="623" w:hanging="28"/>
        </w:pPr>
        <w:rPr>
          <w:rFonts w:hint="default"/>
        </w:rPr>
      </w:lvl>
    </w:lvlOverride>
    <w:lvlOverride w:ilvl="3">
      <w:lvl w:ilvl="3">
        <w:start w:val="1"/>
        <w:numFmt w:val="decimal"/>
        <w:lvlText w:val="%1.%2.%3.%4."/>
        <w:lvlJc w:val="left"/>
        <w:pPr>
          <w:tabs>
            <w:tab w:val="num" w:pos="651"/>
          </w:tabs>
          <w:ind w:left="651" w:hanging="28"/>
        </w:pPr>
        <w:rPr>
          <w:rFonts w:hint="default"/>
        </w:rPr>
      </w:lvl>
    </w:lvlOverride>
    <w:lvlOverride w:ilvl="4">
      <w:lvl w:ilvl="4">
        <w:start w:val="1"/>
        <w:numFmt w:val="decimal"/>
        <w:lvlText w:val="%1.%2.%3.%4.%5."/>
        <w:lvlJc w:val="left"/>
        <w:pPr>
          <w:tabs>
            <w:tab w:val="num" w:pos="679"/>
          </w:tabs>
          <w:ind w:left="679" w:hanging="28"/>
        </w:pPr>
        <w:rPr>
          <w:rFonts w:hint="default"/>
        </w:rPr>
      </w:lvl>
    </w:lvlOverride>
    <w:lvlOverride w:ilvl="5">
      <w:lvl w:ilvl="5">
        <w:start w:val="1"/>
        <w:numFmt w:val="decimal"/>
        <w:lvlText w:val="%1.%2.%3.%4.%5.%6."/>
        <w:lvlJc w:val="left"/>
        <w:pPr>
          <w:tabs>
            <w:tab w:val="num" w:pos="707"/>
          </w:tabs>
          <w:ind w:left="707" w:hanging="28"/>
        </w:pPr>
        <w:rPr>
          <w:rFonts w:hint="default"/>
        </w:rPr>
      </w:lvl>
    </w:lvlOverride>
    <w:lvlOverride w:ilvl="6">
      <w:lvl w:ilvl="6">
        <w:start w:val="1"/>
        <w:numFmt w:val="decimal"/>
        <w:lvlText w:val="%1.%2.%3.%4.%5.%6.%7."/>
        <w:lvlJc w:val="left"/>
        <w:pPr>
          <w:tabs>
            <w:tab w:val="num" w:pos="735"/>
          </w:tabs>
          <w:ind w:left="735" w:hanging="28"/>
        </w:pPr>
        <w:rPr>
          <w:rFonts w:hint="default"/>
        </w:rPr>
      </w:lvl>
    </w:lvlOverride>
    <w:lvlOverride w:ilvl="7">
      <w:lvl w:ilvl="7">
        <w:start w:val="1"/>
        <w:numFmt w:val="decimal"/>
        <w:lvlText w:val="%1.%2.%3.%4.%5.%6.%7.%8."/>
        <w:lvlJc w:val="left"/>
        <w:pPr>
          <w:tabs>
            <w:tab w:val="num" w:pos="763"/>
          </w:tabs>
          <w:ind w:left="763" w:hanging="28"/>
        </w:pPr>
        <w:rPr>
          <w:rFonts w:hint="default"/>
        </w:rPr>
      </w:lvl>
    </w:lvlOverride>
    <w:lvlOverride w:ilvl="8">
      <w:lvl w:ilvl="8">
        <w:start w:val="1"/>
        <w:numFmt w:val="decimal"/>
        <w:lvlText w:val="%1.%2.%3.%4.%5.%6.%7.%8.%9."/>
        <w:lvlJc w:val="left"/>
        <w:pPr>
          <w:tabs>
            <w:tab w:val="num" w:pos="791"/>
          </w:tabs>
          <w:ind w:left="791" w:hanging="28"/>
        </w:pPr>
        <w:rPr>
          <w:rFonts w:hint="default"/>
        </w:rPr>
      </w:lvl>
    </w:lvlOverride>
  </w:num>
  <w:num w:numId="6">
    <w:abstractNumId w:val="3"/>
  </w:num>
  <w:num w:numId="7">
    <w:abstractNumId w:val="8"/>
  </w:num>
  <w:num w:numId="8">
    <w:abstractNumId w:val="10"/>
  </w:num>
  <w:num w:numId="9">
    <w:abstractNumId w:val="0"/>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0F"/>
    <w:rsid w:val="00002D9E"/>
    <w:rsid w:val="00007850"/>
    <w:rsid w:val="00007DB6"/>
    <w:rsid w:val="00014004"/>
    <w:rsid w:val="000152B2"/>
    <w:rsid w:val="00015EF7"/>
    <w:rsid w:val="00020966"/>
    <w:rsid w:val="000250B6"/>
    <w:rsid w:val="00025DB8"/>
    <w:rsid w:val="00031032"/>
    <w:rsid w:val="00032C08"/>
    <w:rsid w:val="00032FC1"/>
    <w:rsid w:val="00036568"/>
    <w:rsid w:val="00044F1F"/>
    <w:rsid w:val="000452EA"/>
    <w:rsid w:val="000653AA"/>
    <w:rsid w:val="000663AF"/>
    <w:rsid w:val="00067564"/>
    <w:rsid w:val="00075CD1"/>
    <w:rsid w:val="000833F9"/>
    <w:rsid w:val="000861D9"/>
    <w:rsid w:val="00086465"/>
    <w:rsid w:val="00087043"/>
    <w:rsid w:val="000879A0"/>
    <w:rsid w:val="00091BA9"/>
    <w:rsid w:val="00092394"/>
    <w:rsid w:val="000943B3"/>
    <w:rsid w:val="00094D00"/>
    <w:rsid w:val="000A4120"/>
    <w:rsid w:val="000A4239"/>
    <w:rsid w:val="000B1A19"/>
    <w:rsid w:val="000B5EA2"/>
    <w:rsid w:val="000C1C79"/>
    <w:rsid w:val="000C2316"/>
    <w:rsid w:val="000C2CD8"/>
    <w:rsid w:val="000E3E8A"/>
    <w:rsid w:val="000E4CD3"/>
    <w:rsid w:val="000E796A"/>
    <w:rsid w:val="000F64E2"/>
    <w:rsid w:val="000F783B"/>
    <w:rsid w:val="00101E3C"/>
    <w:rsid w:val="00102ED5"/>
    <w:rsid w:val="00103362"/>
    <w:rsid w:val="00104873"/>
    <w:rsid w:val="00110B8C"/>
    <w:rsid w:val="001214E1"/>
    <w:rsid w:val="001222E2"/>
    <w:rsid w:val="001224B7"/>
    <w:rsid w:val="00123A6C"/>
    <w:rsid w:val="001240F6"/>
    <w:rsid w:val="00125596"/>
    <w:rsid w:val="00126B19"/>
    <w:rsid w:val="00130AAD"/>
    <w:rsid w:val="00144F9A"/>
    <w:rsid w:val="00147891"/>
    <w:rsid w:val="001566B4"/>
    <w:rsid w:val="0016151D"/>
    <w:rsid w:val="00164D53"/>
    <w:rsid w:val="00175D3B"/>
    <w:rsid w:val="001760CE"/>
    <w:rsid w:val="001764D8"/>
    <w:rsid w:val="00176603"/>
    <w:rsid w:val="00176924"/>
    <w:rsid w:val="00180F97"/>
    <w:rsid w:val="0018276A"/>
    <w:rsid w:val="00194222"/>
    <w:rsid w:val="00194A9A"/>
    <w:rsid w:val="00194E36"/>
    <w:rsid w:val="001A3504"/>
    <w:rsid w:val="001A5AB3"/>
    <w:rsid w:val="001B7AE9"/>
    <w:rsid w:val="001C2AC1"/>
    <w:rsid w:val="001C3A52"/>
    <w:rsid w:val="001C7038"/>
    <w:rsid w:val="001D1795"/>
    <w:rsid w:val="001E4FB2"/>
    <w:rsid w:val="001E6141"/>
    <w:rsid w:val="001E6264"/>
    <w:rsid w:val="001F20DD"/>
    <w:rsid w:val="00203A5B"/>
    <w:rsid w:val="002167DE"/>
    <w:rsid w:val="00220C79"/>
    <w:rsid w:val="00223DB4"/>
    <w:rsid w:val="002251A4"/>
    <w:rsid w:val="002300C4"/>
    <w:rsid w:val="00232936"/>
    <w:rsid w:val="00233883"/>
    <w:rsid w:val="00236549"/>
    <w:rsid w:val="00237E16"/>
    <w:rsid w:val="00240024"/>
    <w:rsid w:val="00240146"/>
    <w:rsid w:val="00244DED"/>
    <w:rsid w:val="00247D95"/>
    <w:rsid w:val="00251A54"/>
    <w:rsid w:val="00253542"/>
    <w:rsid w:val="0026034A"/>
    <w:rsid w:val="002714ED"/>
    <w:rsid w:val="0027196C"/>
    <w:rsid w:val="002778A7"/>
    <w:rsid w:val="0028469C"/>
    <w:rsid w:val="00290CF0"/>
    <w:rsid w:val="002A1218"/>
    <w:rsid w:val="002B1E4F"/>
    <w:rsid w:val="002B5F5E"/>
    <w:rsid w:val="002B7511"/>
    <w:rsid w:val="002B7A02"/>
    <w:rsid w:val="002C16A3"/>
    <w:rsid w:val="002C1776"/>
    <w:rsid w:val="002C3D47"/>
    <w:rsid w:val="002C773D"/>
    <w:rsid w:val="002D0878"/>
    <w:rsid w:val="002D2128"/>
    <w:rsid w:val="002D2758"/>
    <w:rsid w:val="002E14E1"/>
    <w:rsid w:val="002E4067"/>
    <w:rsid w:val="002F1248"/>
    <w:rsid w:val="002F1B8A"/>
    <w:rsid w:val="002F7FBD"/>
    <w:rsid w:val="00302856"/>
    <w:rsid w:val="00306050"/>
    <w:rsid w:val="00312C90"/>
    <w:rsid w:val="00313686"/>
    <w:rsid w:val="0031548D"/>
    <w:rsid w:val="0031617E"/>
    <w:rsid w:val="00316988"/>
    <w:rsid w:val="003222B5"/>
    <w:rsid w:val="00322C73"/>
    <w:rsid w:val="003242A4"/>
    <w:rsid w:val="00330E15"/>
    <w:rsid w:val="0033335A"/>
    <w:rsid w:val="003354E9"/>
    <w:rsid w:val="003414F2"/>
    <w:rsid w:val="00344F72"/>
    <w:rsid w:val="00347088"/>
    <w:rsid w:val="0034760D"/>
    <w:rsid w:val="00350ADF"/>
    <w:rsid w:val="0035529A"/>
    <w:rsid w:val="0035661A"/>
    <w:rsid w:val="003640F5"/>
    <w:rsid w:val="0036448E"/>
    <w:rsid w:val="003662C2"/>
    <w:rsid w:val="003723C9"/>
    <w:rsid w:val="00373FFF"/>
    <w:rsid w:val="003745F2"/>
    <w:rsid w:val="003766A2"/>
    <w:rsid w:val="00377290"/>
    <w:rsid w:val="00381AE7"/>
    <w:rsid w:val="00381BF8"/>
    <w:rsid w:val="0038567E"/>
    <w:rsid w:val="00387F89"/>
    <w:rsid w:val="00392F01"/>
    <w:rsid w:val="003966EF"/>
    <w:rsid w:val="003A12DB"/>
    <w:rsid w:val="003A1865"/>
    <w:rsid w:val="003C252B"/>
    <w:rsid w:val="003C285F"/>
    <w:rsid w:val="003C3BDE"/>
    <w:rsid w:val="003C5842"/>
    <w:rsid w:val="003C7990"/>
    <w:rsid w:val="003E6422"/>
    <w:rsid w:val="003F399B"/>
    <w:rsid w:val="003F495B"/>
    <w:rsid w:val="00402C85"/>
    <w:rsid w:val="004061AF"/>
    <w:rsid w:val="0040622F"/>
    <w:rsid w:val="0041059F"/>
    <w:rsid w:val="004165B7"/>
    <w:rsid w:val="00421EB4"/>
    <w:rsid w:val="00423D9F"/>
    <w:rsid w:val="00425871"/>
    <w:rsid w:val="0043525A"/>
    <w:rsid w:val="0044057C"/>
    <w:rsid w:val="0044134C"/>
    <w:rsid w:val="00441BD6"/>
    <w:rsid w:val="004421D7"/>
    <w:rsid w:val="00450468"/>
    <w:rsid w:val="0045144C"/>
    <w:rsid w:val="0046141E"/>
    <w:rsid w:val="00462788"/>
    <w:rsid w:val="00462C61"/>
    <w:rsid w:val="00463A4D"/>
    <w:rsid w:val="0047033F"/>
    <w:rsid w:val="00471665"/>
    <w:rsid w:val="004762A4"/>
    <w:rsid w:val="00476F9B"/>
    <w:rsid w:val="00477409"/>
    <w:rsid w:val="004819B4"/>
    <w:rsid w:val="00483610"/>
    <w:rsid w:val="00487E76"/>
    <w:rsid w:val="0049061F"/>
    <w:rsid w:val="00496904"/>
    <w:rsid w:val="004969C3"/>
    <w:rsid w:val="0049734C"/>
    <w:rsid w:val="004A47DF"/>
    <w:rsid w:val="004B1C4D"/>
    <w:rsid w:val="004B44D1"/>
    <w:rsid w:val="004B4DE6"/>
    <w:rsid w:val="004C2D1E"/>
    <w:rsid w:val="004C70F2"/>
    <w:rsid w:val="004D0B5A"/>
    <w:rsid w:val="004D3EEB"/>
    <w:rsid w:val="004D5871"/>
    <w:rsid w:val="004D6DF9"/>
    <w:rsid w:val="004E3A8E"/>
    <w:rsid w:val="004E4F55"/>
    <w:rsid w:val="004E525D"/>
    <w:rsid w:val="004E6869"/>
    <w:rsid w:val="004E79A3"/>
    <w:rsid w:val="004F193E"/>
    <w:rsid w:val="004F3F81"/>
    <w:rsid w:val="004F4512"/>
    <w:rsid w:val="004F78B6"/>
    <w:rsid w:val="00503716"/>
    <w:rsid w:val="0050632B"/>
    <w:rsid w:val="00511D4C"/>
    <w:rsid w:val="0052222A"/>
    <w:rsid w:val="00530352"/>
    <w:rsid w:val="00531CCE"/>
    <w:rsid w:val="00541875"/>
    <w:rsid w:val="00553A07"/>
    <w:rsid w:val="00560FD1"/>
    <w:rsid w:val="00563110"/>
    <w:rsid w:val="005659C1"/>
    <w:rsid w:val="00567D0D"/>
    <w:rsid w:val="00595020"/>
    <w:rsid w:val="005A0D9A"/>
    <w:rsid w:val="005A2EF5"/>
    <w:rsid w:val="005A79FF"/>
    <w:rsid w:val="005B3981"/>
    <w:rsid w:val="005B4835"/>
    <w:rsid w:val="005B50C2"/>
    <w:rsid w:val="005B5B27"/>
    <w:rsid w:val="005B6D38"/>
    <w:rsid w:val="005C359C"/>
    <w:rsid w:val="005D5133"/>
    <w:rsid w:val="005D71B3"/>
    <w:rsid w:val="005D72A4"/>
    <w:rsid w:val="005E13A4"/>
    <w:rsid w:val="005F0557"/>
    <w:rsid w:val="005F14CD"/>
    <w:rsid w:val="005F27B4"/>
    <w:rsid w:val="005F6BA1"/>
    <w:rsid w:val="00601BAF"/>
    <w:rsid w:val="00605C58"/>
    <w:rsid w:val="00606452"/>
    <w:rsid w:val="00616E37"/>
    <w:rsid w:val="00617869"/>
    <w:rsid w:val="006210C6"/>
    <w:rsid w:val="0062136C"/>
    <w:rsid w:val="00624EB9"/>
    <w:rsid w:val="00630AD8"/>
    <w:rsid w:val="00630EB1"/>
    <w:rsid w:val="006346AF"/>
    <w:rsid w:val="0063587C"/>
    <w:rsid w:val="00637B59"/>
    <w:rsid w:val="00640272"/>
    <w:rsid w:val="006468E9"/>
    <w:rsid w:val="006502CA"/>
    <w:rsid w:val="00653A2E"/>
    <w:rsid w:val="00654322"/>
    <w:rsid w:val="00656C5F"/>
    <w:rsid w:val="00660A5B"/>
    <w:rsid w:val="0066219C"/>
    <w:rsid w:val="006740DD"/>
    <w:rsid w:val="00675FF5"/>
    <w:rsid w:val="00680203"/>
    <w:rsid w:val="00681643"/>
    <w:rsid w:val="0068665D"/>
    <w:rsid w:val="00693B88"/>
    <w:rsid w:val="00694763"/>
    <w:rsid w:val="006A02B1"/>
    <w:rsid w:val="006A654C"/>
    <w:rsid w:val="006B14F7"/>
    <w:rsid w:val="006C19B0"/>
    <w:rsid w:val="006C2A9A"/>
    <w:rsid w:val="006C73C3"/>
    <w:rsid w:val="006D1322"/>
    <w:rsid w:val="006D2042"/>
    <w:rsid w:val="006D4CBB"/>
    <w:rsid w:val="006D713B"/>
    <w:rsid w:val="006E1573"/>
    <w:rsid w:val="006E4179"/>
    <w:rsid w:val="006F5D68"/>
    <w:rsid w:val="006F70A5"/>
    <w:rsid w:val="00714EB6"/>
    <w:rsid w:val="007206D6"/>
    <w:rsid w:val="00721CC4"/>
    <w:rsid w:val="00723A7F"/>
    <w:rsid w:val="007240CD"/>
    <w:rsid w:val="00724216"/>
    <w:rsid w:val="007266B0"/>
    <w:rsid w:val="00730FE9"/>
    <w:rsid w:val="00732F56"/>
    <w:rsid w:val="00736CFA"/>
    <w:rsid w:val="00747C5A"/>
    <w:rsid w:val="007518EB"/>
    <w:rsid w:val="00752D38"/>
    <w:rsid w:val="00756131"/>
    <w:rsid w:val="00756C01"/>
    <w:rsid w:val="00760DA5"/>
    <w:rsid w:val="0076411E"/>
    <w:rsid w:val="00767A61"/>
    <w:rsid w:val="0077463C"/>
    <w:rsid w:val="00786326"/>
    <w:rsid w:val="007865E4"/>
    <w:rsid w:val="0079286C"/>
    <w:rsid w:val="007972DE"/>
    <w:rsid w:val="007A01FB"/>
    <w:rsid w:val="007A0BD6"/>
    <w:rsid w:val="007A45CC"/>
    <w:rsid w:val="007B168C"/>
    <w:rsid w:val="007B2611"/>
    <w:rsid w:val="007C0487"/>
    <w:rsid w:val="007D0A55"/>
    <w:rsid w:val="007D0E48"/>
    <w:rsid w:val="007D18E3"/>
    <w:rsid w:val="007D3105"/>
    <w:rsid w:val="007D3352"/>
    <w:rsid w:val="007D43B8"/>
    <w:rsid w:val="007E1429"/>
    <w:rsid w:val="007E1733"/>
    <w:rsid w:val="007E1B0F"/>
    <w:rsid w:val="007E1E1E"/>
    <w:rsid w:val="007E2B99"/>
    <w:rsid w:val="007E5254"/>
    <w:rsid w:val="007E5CBF"/>
    <w:rsid w:val="007F10CB"/>
    <w:rsid w:val="0080311B"/>
    <w:rsid w:val="00803B13"/>
    <w:rsid w:val="00806422"/>
    <w:rsid w:val="00820A64"/>
    <w:rsid w:val="008211E1"/>
    <w:rsid w:val="00821F53"/>
    <w:rsid w:val="00824B28"/>
    <w:rsid w:val="008259F7"/>
    <w:rsid w:val="0083200F"/>
    <w:rsid w:val="00841800"/>
    <w:rsid w:val="00841DC7"/>
    <w:rsid w:val="0084331F"/>
    <w:rsid w:val="00843B98"/>
    <w:rsid w:val="00844CC1"/>
    <w:rsid w:val="00845A3C"/>
    <w:rsid w:val="008536F0"/>
    <w:rsid w:val="0085576B"/>
    <w:rsid w:val="00867EFA"/>
    <w:rsid w:val="00871D10"/>
    <w:rsid w:val="00872509"/>
    <w:rsid w:val="0088016A"/>
    <w:rsid w:val="00882F73"/>
    <w:rsid w:val="00885154"/>
    <w:rsid w:val="00891A23"/>
    <w:rsid w:val="0089653E"/>
    <w:rsid w:val="008966DA"/>
    <w:rsid w:val="008976D7"/>
    <w:rsid w:val="008A52B3"/>
    <w:rsid w:val="008B05A9"/>
    <w:rsid w:val="008B1EC9"/>
    <w:rsid w:val="008C5486"/>
    <w:rsid w:val="008D4553"/>
    <w:rsid w:val="008D5816"/>
    <w:rsid w:val="008E2388"/>
    <w:rsid w:val="008F23B0"/>
    <w:rsid w:val="008F2B3E"/>
    <w:rsid w:val="00901367"/>
    <w:rsid w:val="009071DE"/>
    <w:rsid w:val="0090780C"/>
    <w:rsid w:val="009107C2"/>
    <w:rsid w:val="0091478A"/>
    <w:rsid w:val="00917446"/>
    <w:rsid w:val="00921751"/>
    <w:rsid w:val="00921EF3"/>
    <w:rsid w:val="00927E37"/>
    <w:rsid w:val="00932762"/>
    <w:rsid w:val="009346E4"/>
    <w:rsid w:val="00940D33"/>
    <w:rsid w:val="009412D2"/>
    <w:rsid w:val="009504AC"/>
    <w:rsid w:val="009504B5"/>
    <w:rsid w:val="00955674"/>
    <w:rsid w:val="009613FD"/>
    <w:rsid w:val="009625FB"/>
    <w:rsid w:val="00965A4C"/>
    <w:rsid w:val="00971AFE"/>
    <w:rsid w:val="00981695"/>
    <w:rsid w:val="009840CE"/>
    <w:rsid w:val="00986113"/>
    <w:rsid w:val="00990B1A"/>
    <w:rsid w:val="00991A50"/>
    <w:rsid w:val="0099495A"/>
    <w:rsid w:val="009A1617"/>
    <w:rsid w:val="009A284C"/>
    <w:rsid w:val="009A2BB5"/>
    <w:rsid w:val="009B067E"/>
    <w:rsid w:val="009B1470"/>
    <w:rsid w:val="009B3BB7"/>
    <w:rsid w:val="009B65F2"/>
    <w:rsid w:val="009C0372"/>
    <w:rsid w:val="009C0EDA"/>
    <w:rsid w:val="009C4392"/>
    <w:rsid w:val="009C43E9"/>
    <w:rsid w:val="009C5871"/>
    <w:rsid w:val="009C5C23"/>
    <w:rsid w:val="009D3287"/>
    <w:rsid w:val="009D534C"/>
    <w:rsid w:val="009D714A"/>
    <w:rsid w:val="009E398C"/>
    <w:rsid w:val="009F3C96"/>
    <w:rsid w:val="009F6802"/>
    <w:rsid w:val="009F73D8"/>
    <w:rsid w:val="00A10A3D"/>
    <w:rsid w:val="00A15C8C"/>
    <w:rsid w:val="00A15E37"/>
    <w:rsid w:val="00A22F7F"/>
    <w:rsid w:val="00A258B9"/>
    <w:rsid w:val="00A339DE"/>
    <w:rsid w:val="00A43445"/>
    <w:rsid w:val="00A436F4"/>
    <w:rsid w:val="00A443EA"/>
    <w:rsid w:val="00A529C5"/>
    <w:rsid w:val="00A52DF4"/>
    <w:rsid w:val="00A5604A"/>
    <w:rsid w:val="00A635AF"/>
    <w:rsid w:val="00A64199"/>
    <w:rsid w:val="00A648A7"/>
    <w:rsid w:val="00A675A2"/>
    <w:rsid w:val="00A675DE"/>
    <w:rsid w:val="00A70C7A"/>
    <w:rsid w:val="00A8218B"/>
    <w:rsid w:val="00A841EC"/>
    <w:rsid w:val="00A8501E"/>
    <w:rsid w:val="00A850EA"/>
    <w:rsid w:val="00A85395"/>
    <w:rsid w:val="00A87AC3"/>
    <w:rsid w:val="00A909E3"/>
    <w:rsid w:val="00A941B3"/>
    <w:rsid w:val="00A97170"/>
    <w:rsid w:val="00A97C16"/>
    <w:rsid w:val="00AB1D93"/>
    <w:rsid w:val="00AB460B"/>
    <w:rsid w:val="00AC0487"/>
    <w:rsid w:val="00AC29FD"/>
    <w:rsid w:val="00AC63CF"/>
    <w:rsid w:val="00AC690A"/>
    <w:rsid w:val="00AD28A4"/>
    <w:rsid w:val="00AD3118"/>
    <w:rsid w:val="00AD3DF3"/>
    <w:rsid w:val="00AD4D98"/>
    <w:rsid w:val="00AD53DD"/>
    <w:rsid w:val="00AD6262"/>
    <w:rsid w:val="00AD7A37"/>
    <w:rsid w:val="00AD7F20"/>
    <w:rsid w:val="00AE0245"/>
    <w:rsid w:val="00AE1532"/>
    <w:rsid w:val="00AF425E"/>
    <w:rsid w:val="00AF5E60"/>
    <w:rsid w:val="00AF6E29"/>
    <w:rsid w:val="00AF7C88"/>
    <w:rsid w:val="00B008EB"/>
    <w:rsid w:val="00B00A41"/>
    <w:rsid w:val="00B01537"/>
    <w:rsid w:val="00B03594"/>
    <w:rsid w:val="00B0403B"/>
    <w:rsid w:val="00B10C7A"/>
    <w:rsid w:val="00B160C7"/>
    <w:rsid w:val="00B24135"/>
    <w:rsid w:val="00B2483C"/>
    <w:rsid w:val="00B2743F"/>
    <w:rsid w:val="00B32311"/>
    <w:rsid w:val="00B356DE"/>
    <w:rsid w:val="00B415A4"/>
    <w:rsid w:val="00B45550"/>
    <w:rsid w:val="00B4716C"/>
    <w:rsid w:val="00B47226"/>
    <w:rsid w:val="00B57303"/>
    <w:rsid w:val="00B63C3B"/>
    <w:rsid w:val="00B73966"/>
    <w:rsid w:val="00B770B0"/>
    <w:rsid w:val="00B80E02"/>
    <w:rsid w:val="00B84E54"/>
    <w:rsid w:val="00B85A62"/>
    <w:rsid w:val="00B86C68"/>
    <w:rsid w:val="00B87699"/>
    <w:rsid w:val="00B947EC"/>
    <w:rsid w:val="00B95DA9"/>
    <w:rsid w:val="00BA1DBA"/>
    <w:rsid w:val="00BA2542"/>
    <w:rsid w:val="00BB4D34"/>
    <w:rsid w:val="00BC0F26"/>
    <w:rsid w:val="00BC1B54"/>
    <w:rsid w:val="00BC3F33"/>
    <w:rsid w:val="00BD3098"/>
    <w:rsid w:val="00BD6B28"/>
    <w:rsid w:val="00BE01F9"/>
    <w:rsid w:val="00BE2E52"/>
    <w:rsid w:val="00BE2F3F"/>
    <w:rsid w:val="00BE78F8"/>
    <w:rsid w:val="00BF0B9B"/>
    <w:rsid w:val="00BF2A97"/>
    <w:rsid w:val="00BF437F"/>
    <w:rsid w:val="00C0360D"/>
    <w:rsid w:val="00C069BC"/>
    <w:rsid w:val="00C13624"/>
    <w:rsid w:val="00C13D66"/>
    <w:rsid w:val="00C15D0E"/>
    <w:rsid w:val="00C21E16"/>
    <w:rsid w:val="00C246FF"/>
    <w:rsid w:val="00C26657"/>
    <w:rsid w:val="00C26D89"/>
    <w:rsid w:val="00C3351B"/>
    <w:rsid w:val="00C42799"/>
    <w:rsid w:val="00C45206"/>
    <w:rsid w:val="00C5100C"/>
    <w:rsid w:val="00C565AF"/>
    <w:rsid w:val="00C567EE"/>
    <w:rsid w:val="00C57B9F"/>
    <w:rsid w:val="00C60BA0"/>
    <w:rsid w:val="00C61E78"/>
    <w:rsid w:val="00C63C69"/>
    <w:rsid w:val="00C72603"/>
    <w:rsid w:val="00C731D7"/>
    <w:rsid w:val="00C763B6"/>
    <w:rsid w:val="00C8329E"/>
    <w:rsid w:val="00C855C2"/>
    <w:rsid w:val="00C9057A"/>
    <w:rsid w:val="00C932FE"/>
    <w:rsid w:val="00C9363B"/>
    <w:rsid w:val="00CB61DD"/>
    <w:rsid w:val="00CB79BA"/>
    <w:rsid w:val="00CC0AFB"/>
    <w:rsid w:val="00CC3F18"/>
    <w:rsid w:val="00CC46D9"/>
    <w:rsid w:val="00CC63F9"/>
    <w:rsid w:val="00CD4B74"/>
    <w:rsid w:val="00CD78B8"/>
    <w:rsid w:val="00CE2D58"/>
    <w:rsid w:val="00CE6045"/>
    <w:rsid w:val="00CF0975"/>
    <w:rsid w:val="00CF7CF3"/>
    <w:rsid w:val="00CF7F62"/>
    <w:rsid w:val="00D0265A"/>
    <w:rsid w:val="00D02A58"/>
    <w:rsid w:val="00D03CA5"/>
    <w:rsid w:val="00D137FA"/>
    <w:rsid w:val="00D1548E"/>
    <w:rsid w:val="00D208B0"/>
    <w:rsid w:val="00D34836"/>
    <w:rsid w:val="00D34C90"/>
    <w:rsid w:val="00D438AC"/>
    <w:rsid w:val="00D45082"/>
    <w:rsid w:val="00D54AAA"/>
    <w:rsid w:val="00D6146D"/>
    <w:rsid w:val="00D61597"/>
    <w:rsid w:val="00D6545E"/>
    <w:rsid w:val="00D66312"/>
    <w:rsid w:val="00D738B3"/>
    <w:rsid w:val="00D74B3E"/>
    <w:rsid w:val="00D76115"/>
    <w:rsid w:val="00D80249"/>
    <w:rsid w:val="00D83BC6"/>
    <w:rsid w:val="00D85888"/>
    <w:rsid w:val="00D87D1B"/>
    <w:rsid w:val="00D94069"/>
    <w:rsid w:val="00D95C01"/>
    <w:rsid w:val="00D96C49"/>
    <w:rsid w:val="00DA2CB4"/>
    <w:rsid w:val="00DA51FA"/>
    <w:rsid w:val="00DA6D91"/>
    <w:rsid w:val="00DA6DA7"/>
    <w:rsid w:val="00DA7730"/>
    <w:rsid w:val="00DA7F31"/>
    <w:rsid w:val="00DB3D9C"/>
    <w:rsid w:val="00DB45E8"/>
    <w:rsid w:val="00DB662A"/>
    <w:rsid w:val="00DB728C"/>
    <w:rsid w:val="00DC1745"/>
    <w:rsid w:val="00DC46F2"/>
    <w:rsid w:val="00DC4A9C"/>
    <w:rsid w:val="00DC54A9"/>
    <w:rsid w:val="00DD0B44"/>
    <w:rsid w:val="00DF5E2B"/>
    <w:rsid w:val="00E01B29"/>
    <w:rsid w:val="00E04327"/>
    <w:rsid w:val="00E0617F"/>
    <w:rsid w:val="00E11547"/>
    <w:rsid w:val="00E12539"/>
    <w:rsid w:val="00E15314"/>
    <w:rsid w:val="00E1603E"/>
    <w:rsid w:val="00E213FB"/>
    <w:rsid w:val="00E2321A"/>
    <w:rsid w:val="00E32599"/>
    <w:rsid w:val="00E34E58"/>
    <w:rsid w:val="00E36E9F"/>
    <w:rsid w:val="00E37C5A"/>
    <w:rsid w:val="00E4002E"/>
    <w:rsid w:val="00E43761"/>
    <w:rsid w:val="00E47703"/>
    <w:rsid w:val="00E54FC2"/>
    <w:rsid w:val="00E56811"/>
    <w:rsid w:val="00E56DD9"/>
    <w:rsid w:val="00E619D9"/>
    <w:rsid w:val="00E71E0C"/>
    <w:rsid w:val="00E724C4"/>
    <w:rsid w:val="00E736D0"/>
    <w:rsid w:val="00E73818"/>
    <w:rsid w:val="00E848AA"/>
    <w:rsid w:val="00E85C5B"/>
    <w:rsid w:val="00E9329C"/>
    <w:rsid w:val="00EA0A41"/>
    <w:rsid w:val="00EA2482"/>
    <w:rsid w:val="00EA2D2F"/>
    <w:rsid w:val="00EA7A2A"/>
    <w:rsid w:val="00EA7C2C"/>
    <w:rsid w:val="00EA7F9F"/>
    <w:rsid w:val="00EB20ED"/>
    <w:rsid w:val="00EB457C"/>
    <w:rsid w:val="00EB67B1"/>
    <w:rsid w:val="00EC0302"/>
    <w:rsid w:val="00EC0417"/>
    <w:rsid w:val="00EC2B89"/>
    <w:rsid w:val="00EC5811"/>
    <w:rsid w:val="00EC5A25"/>
    <w:rsid w:val="00EC7BB1"/>
    <w:rsid w:val="00ED001C"/>
    <w:rsid w:val="00ED05B4"/>
    <w:rsid w:val="00EE46DF"/>
    <w:rsid w:val="00EE530F"/>
    <w:rsid w:val="00EE6B07"/>
    <w:rsid w:val="00EF437B"/>
    <w:rsid w:val="00F05945"/>
    <w:rsid w:val="00F20684"/>
    <w:rsid w:val="00F208D9"/>
    <w:rsid w:val="00F227F6"/>
    <w:rsid w:val="00F30C71"/>
    <w:rsid w:val="00F37D71"/>
    <w:rsid w:val="00F40292"/>
    <w:rsid w:val="00F447B0"/>
    <w:rsid w:val="00F5062C"/>
    <w:rsid w:val="00F553CD"/>
    <w:rsid w:val="00F556C9"/>
    <w:rsid w:val="00F56CDE"/>
    <w:rsid w:val="00F57E23"/>
    <w:rsid w:val="00F60976"/>
    <w:rsid w:val="00F6151E"/>
    <w:rsid w:val="00F6574F"/>
    <w:rsid w:val="00F6624B"/>
    <w:rsid w:val="00F71211"/>
    <w:rsid w:val="00F7385D"/>
    <w:rsid w:val="00F73ECC"/>
    <w:rsid w:val="00F77F18"/>
    <w:rsid w:val="00F80598"/>
    <w:rsid w:val="00F9625B"/>
    <w:rsid w:val="00F97CCD"/>
    <w:rsid w:val="00FA2F7A"/>
    <w:rsid w:val="00FA34E2"/>
    <w:rsid w:val="00FB0BD7"/>
    <w:rsid w:val="00FC060B"/>
    <w:rsid w:val="00FC12DD"/>
    <w:rsid w:val="00FC147F"/>
    <w:rsid w:val="00FC300E"/>
    <w:rsid w:val="00FC6D22"/>
    <w:rsid w:val="00FC7443"/>
    <w:rsid w:val="00FD1493"/>
    <w:rsid w:val="00FD3812"/>
    <w:rsid w:val="00FD65FF"/>
    <w:rsid w:val="00FE2431"/>
    <w:rsid w:val="00FE274A"/>
    <w:rsid w:val="00FE4A68"/>
    <w:rsid w:val="00FE7920"/>
    <w:rsid w:val="00FF0EB7"/>
    <w:rsid w:val="00FF5794"/>
    <w:rsid w:val="00FF77AE"/>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footnote text" w:uiPriority="99"/>
    <w:lsdException w:name="header" w:locked="0"/>
    <w:lsdException w:name="footer" w:locked="0" w:uiPriority="99"/>
    <w:lsdException w:name="caption" w:qFormat="1"/>
    <w:lsdException w:name="footnote reference" w:uiPriority="99"/>
    <w:lsdException w:name="page number"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locked="0"/>
    <w:lsdException w:name="FollowedHyperlink" w:locked="0"/>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uiPriority w:val="99"/>
    <w:locked/>
    <w:pPr>
      <w:tabs>
        <w:tab w:val="center" w:pos="4153"/>
        <w:tab w:val="right" w:pos="8306"/>
      </w:tabs>
    </w:pPr>
    <w:rPr>
      <w:sz w:val="20"/>
    </w:rPr>
  </w:style>
  <w:style w:type="character" w:styleId="PageNumber">
    <w:name w:val="page number"/>
    <w:basedOn w:val="DefaultParagraphFont"/>
    <w:locked/>
  </w:style>
  <w:style w:type="character" w:styleId="Hyperlink">
    <w:name w:val="Hyperlink"/>
    <w:locked/>
    <w:rPr>
      <w:color w:val="0000FF"/>
      <w:u w:val="single"/>
    </w:rPr>
  </w:style>
  <w:style w:type="character" w:styleId="FollowedHyperlink">
    <w:name w:val="FollowedHyperlink"/>
    <w:locked/>
    <w:rPr>
      <w:color w:val="800080"/>
      <w:u w:val="single"/>
    </w:rPr>
  </w:style>
  <w:style w:type="paragraph" w:styleId="BalloonText">
    <w:name w:val="Balloon Text"/>
    <w:basedOn w:val="Normal"/>
    <w:semiHidden/>
    <w:locked/>
    <w:rsid w:val="00462C61"/>
    <w:rPr>
      <w:rFonts w:ascii="Tahoma" w:hAnsi="Tahoma" w:cs="Tahoma"/>
      <w:sz w:val="16"/>
      <w:szCs w:val="16"/>
    </w:rPr>
  </w:style>
  <w:style w:type="character" w:customStyle="1" w:styleId="HeaderChar">
    <w:name w:val="Header Char"/>
    <w:link w:val="Header"/>
    <w:rsid w:val="00C57B9F"/>
    <w:rPr>
      <w:lang w:eastAsia="en-US"/>
    </w:rPr>
  </w:style>
  <w:style w:type="paragraph" w:styleId="ListParagraph">
    <w:name w:val="List Paragraph"/>
    <w:basedOn w:val="Normal"/>
    <w:uiPriority w:val="34"/>
    <w:qFormat/>
    <w:rsid w:val="00AC63C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locked/>
    <w:rsid w:val="00AC63CF"/>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AC63C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locked/>
    <w:rsid w:val="00AC63CF"/>
    <w:rPr>
      <w:vertAlign w:val="superscript"/>
    </w:rPr>
  </w:style>
  <w:style w:type="table" w:styleId="TableGrid">
    <w:name w:val="Table Grid"/>
    <w:basedOn w:val="TableNormal"/>
    <w:uiPriority w:val="59"/>
    <w:locked/>
    <w:rsid w:val="00AC63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0 / 1.1 / 1.1.1"/>
    <w:basedOn w:val="NoList"/>
    <w:locked/>
    <w:rsid w:val="00EC0417"/>
    <w:pPr>
      <w:numPr>
        <w:numId w:val="4"/>
      </w:numPr>
    </w:pPr>
  </w:style>
  <w:style w:type="character" w:customStyle="1" w:styleId="FooterChar">
    <w:name w:val="Footer Char"/>
    <w:basedOn w:val="DefaultParagraphFont"/>
    <w:link w:val="Footer"/>
    <w:uiPriority w:val="99"/>
    <w:rsid w:val="0098611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footnote text" w:uiPriority="99"/>
    <w:lsdException w:name="header" w:locked="0"/>
    <w:lsdException w:name="footer" w:locked="0" w:uiPriority="99"/>
    <w:lsdException w:name="caption" w:qFormat="1"/>
    <w:lsdException w:name="footnote reference" w:uiPriority="99"/>
    <w:lsdException w:name="page number"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locked="0"/>
    <w:lsdException w:name="FollowedHyperlink" w:locked="0"/>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uiPriority w:val="99"/>
    <w:locked/>
    <w:pPr>
      <w:tabs>
        <w:tab w:val="center" w:pos="4153"/>
        <w:tab w:val="right" w:pos="8306"/>
      </w:tabs>
    </w:pPr>
    <w:rPr>
      <w:sz w:val="20"/>
    </w:rPr>
  </w:style>
  <w:style w:type="character" w:styleId="PageNumber">
    <w:name w:val="page number"/>
    <w:basedOn w:val="DefaultParagraphFont"/>
    <w:locked/>
  </w:style>
  <w:style w:type="character" w:styleId="Hyperlink">
    <w:name w:val="Hyperlink"/>
    <w:locked/>
    <w:rPr>
      <w:color w:val="0000FF"/>
      <w:u w:val="single"/>
    </w:rPr>
  </w:style>
  <w:style w:type="character" w:styleId="FollowedHyperlink">
    <w:name w:val="FollowedHyperlink"/>
    <w:locked/>
    <w:rPr>
      <w:color w:val="800080"/>
      <w:u w:val="single"/>
    </w:rPr>
  </w:style>
  <w:style w:type="paragraph" w:styleId="BalloonText">
    <w:name w:val="Balloon Text"/>
    <w:basedOn w:val="Normal"/>
    <w:semiHidden/>
    <w:locked/>
    <w:rsid w:val="00462C61"/>
    <w:rPr>
      <w:rFonts w:ascii="Tahoma" w:hAnsi="Tahoma" w:cs="Tahoma"/>
      <w:sz w:val="16"/>
      <w:szCs w:val="16"/>
    </w:rPr>
  </w:style>
  <w:style w:type="character" w:customStyle="1" w:styleId="HeaderChar">
    <w:name w:val="Header Char"/>
    <w:link w:val="Header"/>
    <w:rsid w:val="00C57B9F"/>
    <w:rPr>
      <w:lang w:eastAsia="en-US"/>
    </w:rPr>
  </w:style>
  <w:style w:type="paragraph" w:styleId="ListParagraph">
    <w:name w:val="List Paragraph"/>
    <w:basedOn w:val="Normal"/>
    <w:uiPriority w:val="34"/>
    <w:qFormat/>
    <w:rsid w:val="00AC63C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locked/>
    <w:rsid w:val="00AC63CF"/>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AC63C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locked/>
    <w:rsid w:val="00AC63CF"/>
    <w:rPr>
      <w:vertAlign w:val="superscript"/>
    </w:rPr>
  </w:style>
  <w:style w:type="table" w:styleId="TableGrid">
    <w:name w:val="Table Grid"/>
    <w:basedOn w:val="TableNormal"/>
    <w:uiPriority w:val="59"/>
    <w:locked/>
    <w:rsid w:val="00AC63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0 / 1.1 / 1.1.1"/>
    <w:basedOn w:val="NoList"/>
    <w:locked/>
    <w:rsid w:val="00EC0417"/>
    <w:pPr>
      <w:numPr>
        <w:numId w:val="4"/>
      </w:numPr>
    </w:pPr>
  </w:style>
  <w:style w:type="character" w:customStyle="1" w:styleId="FooterChar">
    <w:name w:val="Footer Char"/>
    <w:basedOn w:val="DefaultParagraphFont"/>
    <w:link w:val="Footer"/>
    <w:uiPriority w:val="99"/>
    <w:rsid w:val="009861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2840">
      <w:bodyDiv w:val="1"/>
      <w:marLeft w:val="0"/>
      <w:marRight w:val="0"/>
      <w:marTop w:val="0"/>
      <w:marBottom w:val="0"/>
      <w:divBdr>
        <w:top w:val="none" w:sz="0" w:space="0" w:color="auto"/>
        <w:left w:val="none" w:sz="0" w:space="0" w:color="auto"/>
        <w:bottom w:val="none" w:sz="0" w:space="0" w:color="auto"/>
        <w:right w:val="none" w:sz="0" w:space="0" w:color="auto"/>
      </w:divBdr>
    </w:div>
    <w:div w:id="925459074">
      <w:bodyDiv w:val="1"/>
      <w:marLeft w:val="0"/>
      <w:marRight w:val="0"/>
      <w:marTop w:val="0"/>
      <w:marBottom w:val="0"/>
      <w:divBdr>
        <w:top w:val="none" w:sz="0" w:space="0" w:color="auto"/>
        <w:left w:val="none" w:sz="0" w:space="0" w:color="auto"/>
        <w:bottom w:val="none" w:sz="0" w:space="0" w:color="auto"/>
        <w:right w:val="none" w:sz="0" w:space="0" w:color="auto"/>
      </w:divBdr>
    </w:div>
    <w:div w:id="1358851292">
      <w:bodyDiv w:val="1"/>
      <w:marLeft w:val="0"/>
      <w:marRight w:val="0"/>
      <w:marTop w:val="0"/>
      <w:marBottom w:val="0"/>
      <w:divBdr>
        <w:top w:val="none" w:sz="0" w:space="0" w:color="auto"/>
        <w:left w:val="none" w:sz="0" w:space="0" w:color="auto"/>
        <w:bottom w:val="none" w:sz="0" w:space="0" w:color="auto"/>
        <w:right w:val="none" w:sz="0" w:space="0" w:color="auto"/>
      </w:divBdr>
    </w:div>
    <w:div w:id="1957523211">
      <w:bodyDiv w:val="1"/>
      <w:marLeft w:val="0"/>
      <w:marRight w:val="0"/>
      <w:marTop w:val="0"/>
      <w:marBottom w:val="0"/>
      <w:divBdr>
        <w:top w:val="none" w:sz="0" w:space="0" w:color="auto"/>
        <w:left w:val="none" w:sz="0" w:space="0" w:color="auto"/>
        <w:bottom w:val="none" w:sz="0" w:space="0" w:color="auto"/>
        <w:right w:val="none" w:sz="0" w:space="0" w:color="auto"/>
      </w:divBdr>
    </w:div>
    <w:div w:id="21172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cid:image001.png@01D24170.C71E9AE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essex.police.co.uk"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mailto:chief.constable@essex.pnn.police.uk" TargetMode="External"/><Relationship Id="rId2" Type="http://schemas.openxmlformats.org/officeDocument/2006/relationships/image" Target="media/image1.png"/><Relationship Id="rId1" Type="http://schemas.openxmlformats.org/officeDocument/2006/relationships/hyperlink" Target="http://web/departments/mediaandpr/pr/Crests/13_crest_blue.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007341\AppData\Roaming\Microsoft\Templates\Chie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E385-7C96-4A25-916D-54F37070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Chief letterhead</Template>
  <TotalTime>0</TotalTime>
  <Pages>6</Pages>
  <Words>1533</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Our Ref:</vt:lpstr>
    </vt:vector>
  </TitlesOfParts>
  <Company>ESSEX POLICE</Company>
  <LinksUpToDate>false</LinksUpToDate>
  <CharactersWithSpaces>9905</CharactersWithSpaces>
  <SharedDoc>false</SharedDoc>
  <HLinks>
    <vt:vector size="24" baseType="variant">
      <vt:variant>
        <vt:i4>3801174</vt:i4>
      </vt:variant>
      <vt:variant>
        <vt:i4>79</vt:i4>
      </vt:variant>
      <vt:variant>
        <vt:i4>0</vt:i4>
      </vt:variant>
      <vt:variant>
        <vt:i4>5</vt:i4>
      </vt:variant>
      <vt:variant>
        <vt:lpwstr>mailto:chief.constable@essex.pnn.police.uk</vt:lpwstr>
      </vt:variant>
      <vt:variant>
        <vt:lpwstr/>
      </vt:variant>
      <vt:variant>
        <vt:i4>2162733</vt:i4>
      </vt:variant>
      <vt:variant>
        <vt:i4>35</vt:i4>
      </vt:variant>
      <vt:variant>
        <vt:i4>0</vt:i4>
      </vt:variant>
      <vt:variant>
        <vt:i4>5</vt:i4>
      </vt:variant>
      <vt:variant>
        <vt:lpwstr>http://www.essex.police.co.uk/</vt:lpwstr>
      </vt:variant>
      <vt:variant>
        <vt:lpwstr/>
      </vt:variant>
      <vt:variant>
        <vt:i4>3801174</vt:i4>
      </vt:variant>
      <vt:variant>
        <vt:i4>32</vt:i4>
      </vt:variant>
      <vt:variant>
        <vt:i4>0</vt:i4>
      </vt:variant>
      <vt:variant>
        <vt:i4>5</vt:i4>
      </vt:variant>
      <vt:variant>
        <vt:lpwstr>mailto:chief.constable@essex.pnn.police.uk</vt:lpwstr>
      </vt:variant>
      <vt:variant>
        <vt:lpwstr/>
      </vt:variant>
      <vt:variant>
        <vt:i4>5636104</vt:i4>
      </vt:variant>
      <vt:variant>
        <vt:i4>-1</vt:i4>
      </vt:variant>
      <vt:variant>
        <vt:i4>2049</vt:i4>
      </vt:variant>
      <vt:variant>
        <vt:i4>4</vt:i4>
      </vt:variant>
      <vt:variant>
        <vt:lpwstr>http://web/departments/mediaandpr/pr/Crests/13_crest_blue.jpg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Michelle Bradley 42007341</dc:creator>
  <cp:lastModifiedBy>Charles Garbett 42075802</cp:lastModifiedBy>
  <cp:revision>3</cp:revision>
  <cp:lastPrinted>2018-01-10T17:37:00Z</cp:lastPrinted>
  <dcterms:created xsi:type="dcterms:W3CDTF">2018-01-15T10:54:00Z</dcterms:created>
  <dcterms:modified xsi:type="dcterms:W3CDTF">2018-01-15T11:24:00Z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Classification">
    <vt:lpwstr>NOT PROTECTIVELY MARKED</vt:lpwstr>
  </property>
  <property fmtid="{D5CDD505-2E9C-101B-9397-08002B2CF9AE}" pid="3" name="TitusDescriptor">
    <vt:lpwstr> </vt:lpwstr>
  </property>
  <property fmtid="{D5CDD505-2E9C-101B-9397-08002B2CF9AE}" pid="4" name="UserName">
    <vt:lpwstr>71660</vt:lpwstr>
  </property>
  <property fmtid="{D5CDD505-2E9C-101B-9397-08002B2CF9AE}" pid="5" name="Protective Marking">
    <vt:lpwstr>NOT PROTECTIVELY MARKED</vt:lpwstr>
  </property>
  <property fmtid="{D5CDD505-2E9C-101B-9397-08002B2CF9AE}" pid="6" name="Descriptor">
    <vt:lpwstr/>
  </property>
</Properties>
</file>