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84" w:rsidRPr="000865B8" w:rsidRDefault="00D95384" w:rsidP="00D95384">
      <w:pPr>
        <w:pStyle w:val="Header"/>
        <w:jc w:val="center"/>
        <w:rPr>
          <w:rFonts w:ascii="Arial" w:hAnsi="Arial" w:cs="Arial"/>
          <w:b/>
          <w:sz w:val="28"/>
          <w:szCs w:val="28"/>
        </w:rPr>
      </w:pPr>
      <w:bookmarkStart w:id="0" w:name="_GoBack"/>
      <w:bookmarkEnd w:id="0"/>
      <w:r w:rsidRPr="000865B8">
        <w:rPr>
          <w:rFonts w:ascii="Arial" w:hAnsi="Arial" w:cs="Arial"/>
          <w:b/>
          <w:sz w:val="28"/>
          <w:szCs w:val="28"/>
        </w:rPr>
        <w:t>Joint Performance and Resources Scrutiny Meeting</w:t>
      </w:r>
    </w:p>
    <w:p w:rsidR="00D95384" w:rsidRPr="000D5AD4" w:rsidRDefault="00596313" w:rsidP="00D95384">
      <w:pPr>
        <w:pStyle w:val="Header"/>
        <w:jc w:val="center"/>
        <w:rPr>
          <w:rFonts w:ascii="Arial" w:hAnsi="Arial" w:cs="Arial"/>
          <w:b/>
          <w:sz w:val="28"/>
          <w:szCs w:val="28"/>
        </w:rPr>
      </w:pPr>
      <w:r>
        <w:rPr>
          <w:rFonts w:ascii="Arial" w:hAnsi="Arial" w:cs="Arial"/>
          <w:b/>
          <w:sz w:val="28"/>
          <w:szCs w:val="28"/>
        </w:rPr>
        <w:t>7</w:t>
      </w:r>
      <w:r w:rsidRPr="00596313">
        <w:rPr>
          <w:rFonts w:ascii="Arial" w:hAnsi="Arial" w:cs="Arial"/>
          <w:b/>
          <w:sz w:val="28"/>
          <w:szCs w:val="28"/>
          <w:vertAlign w:val="superscript"/>
        </w:rPr>
        <w:t>th</w:t>
      </w:r>
      <w:r>
        <w:rPr>
          <w:rFonts w:ascii="Arial" w:hAnsi="Arial" w:cs="Arial"/>
          <w:b/>
          <w:sz w:val="28"/>
          <w:szCs w:val="28"/>
        </w:rPr>
        <w:t xml:space="preserve"> November</w:t>
      </w:r>
      <w:r w:rsidR="00A62435" w:rsidRPr="000D5AD4">
        <w:rPr>
          <w:rFonts w:ascii="Arial" w:hAnsi="Arial" w:cs="Arial"/>
          <w:b/>
          <w:sz w:val="28"/>
          <w:szCs w:val="28"/>
        </w:rPr>
        <w:t xml:space="preserve"> </w:t>
      </w:r>
      <w:r w:rsidR="000F26E2" w:rsidRPr="000D5AD4">
        <w:rPr>
          <w:rFonts w:ascii="Arial" w:hAnsi="Arial" w:cs="Arial"/>
          <w:b/>
          <w:sz w:val="28"/>
          <w:szCs w:val="28"/>
        </w:rPr>
        <w:t>2016</w:t>
      </w:r>
    </w:p>
    <w:p w:rsidR="00D95384" w:rsidRPr="000D5AD4" w:rsidRDefault="00596313" w:rsidP="00D95384">
      <w:pPr>
        <w:pStyle w:val="Header"/>
        <w:jc w:val="center"/>
        <w:rPr>
          <w:rFonts w:ascii="Arial" w:hAnsi="Arial" w:cs="Arial"/>
          <w:b/>
          <w:sz w:val="28"/>
          <w:szCs w:val="28"/>
        </w:rPr>
      </w:pPr>
      <w:r>
        <w:rPr>
          <w:rFonts w:ascii="Arial" w:hAnsi="Arial" w:cs="Arial"/>
          <w:b/>
          <w:sz w:val="28"/>
          <w:szCs w:val="28"/>
        </w:rPr>
        <w:t>15:00</w:t>
      </w:r>
      <w:r w:rsidR="0026558A">
        <w:rPr>
          <w:rFonts w:ascii="Arial" w:hAnsi="Arial" w:cs="Arial"/>
          <w:b/>
          <w:sz w:val="28"/>
          <w:szCs w:val="28"/>
        </w:rPr>
        <w:t>,</w:t>
      </w:r>
      <w:r w:rsidR="00D95384" w:rsidRPr="000D5AD4">
        <w:rPr>
          <w:rFonts w:ascii="Arial" w:hAnsi="Arial" w:cs="Arial"/>
          <w:b/>
          <w:sz w:val="28"/>
          <w:szCs w:val="28"/>
        </w:rPr>
        <w:t xml:space="preserve"> Conference Room, </w:t>
      </w:r>
      <w:proofErr w:type="spellStart"/>
      <w:r w:rsidR="00D95384" w:rsidRPr="000D5AD4">
        <w:rPr>
          <w:rFonts w:ascii="Arial" w:hAnsi="Arial" w:cs="Arial"/>
          <w:b/>
          <w:sz w:val="28"/>
          <w:szCs w:val="28"/>
        </w:rPr>
        <w:t>Hoffmanns</w:t>
      </w:r>
      <w:proofErr w:type="spellEnd"/>
      <w:r w:rsidR="00D95384" w:rsidRPr="000D5AD4">
        <w:rPr>
          <w:rFonts w:ascii="Arial" w:hAnsi="Arial" w:cs="Arial"/>
          <w:b/>
          <w:sz w:val="28"/>
          <w:szCs w:val="28"/>
        </w:rPr>
        <w:t xml:space="preserve"> Way</w:t>
      </w:r>
    </w:p>
    <w:p w:rsidR="00F7499E" w:rsidRPr="000D5AD4" w:rsidRDefault="00F7499E"/>
    <w:p w:rsidR="00D95384" w:rsidRPr="000D5AD4" w:rsidRDefault="00D95384"/>
    <w:tbl>
      <w:tblPr>
        <w:tblStyle w:val="TableGrid"/>
        <w:tblW w:w="0" w:type="auto"/>
        <w:tblInd w:w="1668" w:type="dxa"/>
        <w:tblLayout w:type="fixed"/>
        <w:tblLook w:val="04A0" w:firstRow="1" w:lastRow="0" w:firstColumn="1" w:lastColumn="0" w:noHBand="0" w:noVBand="1"/>
      </w:tblPr>
      <w:tblGrid>
        <w:gridCol w:w="8505"/>
        <w:gridCol w:w="1089"/>
      </w:tblGrid>
      <w:tr w:rsidR="000865B8" w:rsidRPr="000D5AD4" w:rsidTr="00503A1E">
        <w:tc>
          <w:tcPr>
            <w:tcW w:w="8505" w:type="dxa"/>
          </w:tcPr>
          <w:p w:rsidR="003411E2" w:rsidRPr="000D5AD4" w:rsidRDefault="00E3273E" w:rsidP="00923FC1">
            <w:pPr>
              <w:rPr>
                <w:rFonts w:ascii="Arial" w:hAnsi="Arial" w:cs="Arial"/>
                <w:sz w:val="24"/>
                <w:szCs w:val="24"/>
              </w:rPr>
            </w:pPr>
            <w:r w:rsidRPr="000D5AD4">
              <w:rPr>
                <w:rFonts w:ascii="Arial" w:hAnsi="Arial" w:cs="Arial"/>
                <w:sz w:val="24"/>
                <w:szCs w:val="24"/>
              </w:rPr>
              <w:t>Roger Hirst</w:t>
            </w:r>
            <w:r w:rsidR="003411E2" w:rsidRPr="000D5AD4">
              <w:rPr>
                <w:rFonts w:ascii="Arial" w:hAnsi="Arial" w:cs="Arial"/>
                <w:sz w:val="24"/>
                <w:szCs w:val="24"/>
              </w:rPr>
              <w:t>, Police and Crime Commissioner, OPCC</w:t>
            </w:r>
          </w:p>
        </w:tc>
        <w:tc>
          <w:tcPr>
            <w:tcW w:w="1089" w:type="dxa"/>
          </w:tcPr>
          <w:p w:rsidR="003411E2" w:rsidRPr="000D5AD4" w:rsidRDefault="00E3273E" w:rsidP="00522805">
            <w:pPr>
              <w:jc w:val="center"/>
              <w:rPr>
                <w:rFonts w:ascii="Arial" w:hAnsi="Arial" w:cs="Arial"/>
                <w:sz w:val="24"/>
                <w:szCs w:val="24"/>
              </w:rPr>
            </w:pPr>
            <w:r w:rsidRPr="000D5AD4">
              <w:rPr>
                <w:rFonts w:ascii="Arial" w:hAnsi="Arial" w:cs="Arial"/>
                <w:sz w:val="24"/>
                <w:szCs w:val="24"/>
              </w:rPr>
              <w:t>RH</w:t>
            </w:r>
          </w:p>
        </w:tc>
      </w:tr>
      <w:tr w:rsidR="0026558A" w:rsidRPr="000D5AD4" w:rsidTr="00503A1E">
        <w:tc>
          <w:tcPr>
            <w:tcW w:w="8505" w:type="dxa"/>
          </w:tcPr>
          <w:p w:rsidR="0026558A" w:rsidRPr="000D5AD4" w:rsidRDefault="0026558A" w:rsidP="00923FC1">
            <w:pPr>
              <w:rPr>
                <w:rFonts w:ascii="Arial" w:hAnsi="Arial" w:cs="Arial"/>
                <w:sz w:val="24"/>
                <w:szCs w:val="24"/>
              </w:rPr>
            </w:pPr>
            <w:r>
              <w:rPr>
                <w:rFonts w:ascii="Arial" w:hAnsi="Arial" w:cs="Arial"/>
                <w:sz w:val="24"/>
                <w:szCs w:val="24"/>
              </w:rPr>
              <w:t xml:space="preserve">Jane Gardner, Deputy, </w:t>
            </w:r>
            <w:r w:rsidRPr="000D5AD4">
              <w:rPr>
                <w:rFonts w:ascii="Arial" w:hAnsi="Arial" w:cs="Arial"/>
                <w:sz w:val="24"/>
                <w:szCs w:val="24"/>
              </w:rPr>
              <w:t>Police and Crime Commissioner, OPCC</w:t>
            </w:r>
          </w:p>
        </w:tc>
        <w:tc>
          <w:tcPr>
            <w:tcW w:w="1089" w:type="dxa"/>
          </w:tcPr>
          <w:p w:rsidR="0026558A" w:rsidRPr="000D5AD4" w:rsidRDefault="00676C42" w:rsidP="00522805">
            <w:pPr>
              <w:jc w:val="center"/>
              <w:rPr>
                <w:rFonts w:ascii="Arial" w:hAnsi="Arial" w:cs="Arial"/>
                <w:sz w:val="24"/>
                <w:szCs w:val="24"/>
              </w:rPr>
            </w:pPr>
            <w:r>
              <w:rPr>
                <w:rFonts w:ascii="Arial" w:hAnsi="Arial" w:cs="Arial"/>
                <w:sz w:val="24"/>
                <w:szCs w:val="24"/>
              </w:rPr>
              <w:t>JG</w:t>
            </w:r>
          </w:p>
        </w:tc>
      </w:tr>
      <w:tr w:rsidR="007C4958" w:rsidRPr="000D5AD4" w:rsidTr="00503A1E">
        <w:tc>
          <w:tcPr>
            <w:tcW w:w="8505" w:type="dxa"/>
          </w:tcPr>
          <w:p w:rsidR="007C4958" w:rsidRPr="000D5AD4" w:rsidRDefault="0071463A" w:rsidP="00923FC1">
            <w:pPr>
              <w:rPr>
                <w:rFonts w:ascii="Arial" w:hAnsi="Arial" w:cs="Arial"/>
                <w:sz w:val="24"/>
                <w:szCs w:val="24"/>
              </w:rPr>
            </w:pPr>
            <w:r>
              <w:rPr>
                <w:rFonts w:ascii="Arial" w:hAnsi="Arial" w:cs="Arial"/>
                <w:sz w:val="24"/>
                <w:szCs w:val="24"/>
              </w:rPr>
              <w:t xml:space="preserve">Susannah Hancock, Chief Executive, </w:t>
            </w:r>
            <w:proofErr w:type="spellStart"/>
            <w:r>
              <w:rPr>
                <w:rFonts w:ascii="Arial" w:hAnsi="Arial" w:cs="Arial"/>
                <w:sz w:val="24"/>
                <w:szCs w:val="24"/>
              </w:rPr>
              <w:t>OPCC</w:t>
            </w:r>
            <w:proofErr w:type="spellEnd"/>
          </w:p>
        </w:tc>
        <w:tc>
          <w:tcPr>
            <w:tcW w:w="1089" w:type="dxa"/>
          </w:tcPr>
          <w:p w:rsidR="007C4958" w:rsidRPr="000D5AD4" w:rsidRDefault="0071463A" w:rsidP="00522805">
            <w:pPr>
              <w:jc w:val="center"/>
              <w:rPr>
                <w:rFonts w:ascii="Arial" w:hAnsi="Arial" w:cs="Arial"/>
                <w:sz w:val="24"/>
                <w:szCs w:val="24"/>
              </w:rPr>
            </w:pPr>
            <w:proofErr w:type="spellStart"/>
            <w:r>
              <w:rPr>
                <w:rFonts w:ascii="Arial" w:hAnsi="Arial" w:cs="Arial"/>
                <w:sz w:val="24"/>
                <w:szCs w:val="24"/>
              </w:rPr>
              <w:t>SH</w:t>
            </w:r>
            <w:proofErr w:type="spellEnd"/>
          </w:p>
        </w:tc>
      </w:tr>
      <w:tr w:rsidR="005F2D74" w:rsidRPr="000D5AD4" w:rsidTr="00503A1E">
        <w:tc>
          <w:tcPr>
            <w:tcW w:w="8505" w:type="dxa"/>
          </w:tcPr>
          <w:p w:rsidR="005F2D74" w:rsidRPr="000D5AD4" w:rsidRDefault="0071463A" w:rsidP="004D3132">
            <w:pPr>
              <w:rPr>
                <w:rFonts w:ascii="Arial" w:hAnsi="Arial" w:cs="Arial"/>
                <w:sz w:val="24"/>
                <w:szCs w:val="24"/>
              </w:rPr>
            </w:pPr>
            <w:r w:rsidRPr="000D5AD4">
              <w:rPr>
                <w:rFonts w:ascii="Arial" w:hAnsi="Arial" w:cs="Arial"/>
                <w:sz w:val="24"/>
                <w:szCs w:val="24"/>
              </w:rPr>
              <w:t xml:space="preserve">Jan Klimkowski, Media Engagement </w:t>
            </w:r>
            <w:r>
              <w:rPr>
                <w:rFonts w:ascii="Arial" w:hAnsi="Arial" w:cs="Arial"/>
                <w:sz w:val="24"/>
                <w:szCs w:val="24"/>
              </w:rPr>
              <w:t xml:space="preserve">, </w:t>
            </w:r>
            <w:proofErr w:type="spellStart"/>
            <w:r>
              <w:rPr>
                <w:rFonts w:ascii="Arial" w:hAnsi="Arial" w:cs="Arial"/>
                <w:sz w:val="24"/>
                <w:szCs w:val="24"/>
              </w:rPr>
              <w:t>OPCC</w:t>
            </w:r>
            <w:proofErr w:type="spellEnd"/>
          </w:p>
        </w:tc>
        <w:tc>
          <w:tcPr>
            <w:tcW w:w="1089" w:type="dxa"/>
          </w:tcPr>
          <w:p w:rsidR="005F2D74" w:rsidRPr="000D5AD4" w:rsidRDefault="0071463A" w:rsidP="004D3132">
            <w:pPr>
              <w:jc w:val="center"/>
              <w:rPr>
                <w:rFonts w:ascii="Arial" w:hAnsi="Arial" w:cs="Arial"/>
                <w:sz w:val="24"/>
                <w:szCs w:val="24"/>
              </w:rPr>
            </w:pPr>
            <w:proofErr w:type="spellStart"/>
            <w:r>
              <w:rPr>
                <w:rFonts w:ascii="Arial" w:hAnsi="Arial" w:cs="Arial"/>
                <w:sz w:val="24"/>
                <w:szCs w:val="24"/>
              </w:rPr>
              <w:t>JK</w:t>
            </w:r>
            <w:proofErr w:type="spellEnd"/>
          </w:p>
        </w:tc>
      </w:tr>
      <w:tr w:rsidR="0026558A" w:rsidRPr="000D5AD4" w:rsidTr="00503A1E">
        <w:tc>
          <w:tcPr>
            <w:tcW w:w="8505" w:type="dxa"/>
          </w:tcPr>
          <w:p w:rsidR="0026558A" w:rsidRPr="000D5AD4" w:rsidRDefault="0071463A" w:rsidP="004D3132">
            <w:pPr>
              <w:rPr>
                <w:rFonts w:ascii="Arial" w:hAnsi="Arial" w:cs="Arial"/>
                <w:sz w:val="24"/>
                <w:szCs w:val="24"/>
              </w:rPr>
            </w:pPr>
            <w:r w:rsidRPr="000D5AD4">
              <w:rPr>
                <w:rFonts w:ascii="Arial" w:hAnsi="Arial" w:cs="Arial"/>
                <w:sz w:val="24"/>
                <w:szCs w:val="24"/>
              </w:rPr>
              <w:t xml:space="preserve">Abbey Gough, </w:t>
            </w:r>
            <w:proofErr w:type="spellStart"/>
            <w:r w:rsidRPr="000D5AD4">
              <w:rPr>
                <w:rFonts w:ascii="Arial" w:hAnsi="Arial" w:cs="Arial"/>
                <w:sz w:val="24"/>
                <w:szCs w:val="24"/>
              </w:rPr>
              <w:t>OPCC</w:t>
            </w:r>
            <w:proofErr w:type="spellEnd"/>
            <w:r w:rsidRPr="000D5AD4">
              <w:rPr>
                <w:rFonts w:ascii="Arial" w:hAnsi="Arial" w:cs="Arial"/>
                <w:sz w:val="24"/>
                <w:szCs w:val="24"/>
              </w:rPr>
              <w:t xml:space="preserve"> (notes)</w:t>
            </w:r>
          </w:p>
        </w:tc>
        <w:tc>
          <w:tcPr>
            <w:tcW w:w="1089" w:type="dxa"/>
          </w:tcPr>
          <w:p w:rsidR="0026558A" w:rsidRPr="000D5AD4" w:rsidRDefault="0071463A" w:rsidP="004D3132">
            <w:pPr>
              <w:jc w:val="center"/>
              <w:rPr>
                <w:rFonts w:ascii="Arial" w:hAnsi="Arial" w:cs="Arial"/>
                <w:sz w:val="24"/>
                <w:szCs w:val="24"/>
              </w:rPr>
            </w:pPr>
            <w:r>
              <w:rPr>
                <w:rFonts w:ascii="Arial" w:hAnsi="Arial" w:cs="Arial"/>
                <w:sz w:val="24"/>
                <w:szCs w:val="24"/>
              </w:rPr>
              <w:t>AG</w:t>
            </w:r>
          </w:p>
        </w:tc>
      </w:tr>
      <w:tr w:rsidR="005F2D74" w:rsidRPr="000D5AD4" w:rsidTr="00503A1E">
        <w:tc>
          <w:tcPr>
            <w:tcW w:w="8505" w:type="dxa"/>
          </w:tcPr>
          <w:p w:rsidR="005F2D74" w:rsidRPr="000D5AD4" w:rsidRDefault="0071463A" w:rsidP="004D3132">
            <w:pPr>
              <w:rPr>
                <w:rFonts w:ascii="Arial" w:hAnsi="Arial" w:cs="Arial"/>
                <w:sz w:val="24"/>
                <w:szCs w:val="24"/>
              </w:rPr>
            </w:pPr>
            <w:r w:rsidRPr="000D5AD4">
              <w:rPr>
                <w:rFonts w:ascii="Arial" w:hAnsi="Arial" w:cs="Arial"/>
                <w:sz w:val="24"/>
                <w:szCs w:val="24"/>
              </w:rPr>
              <w:t>Matt Horne, Deputy Chief Constable, EP</w:t>
            </w:r>
          </w:p>
        </w:tc>
        <w:tc>
          <w:tcPr>
            <w:tcW w:w="1089" w:type="dxa"/>
          </w:tcPr>
          <w:p w:rsidR="005F2D74" w:rsidRPr="000D5AD4" w:rsidRDefault="0071463A" w:rsidP="004D3132">
            <w:pPr>
              <w:jc w:val="center"/>
              <w:rPr>
                <w:rFonts w:ascii="Arial" w:hAnsi="Arial" w:cs="Arial"/>
                <w:sz w:val="24"/>
                <w:szCs w:val="24"/>
              </w:rPr>
            </w:pPr>
            <w:r>
              <w:rPr>
                <w:rFonts w:ascii="Arial" w:hAnsi="Arial" w:cs="Arial"/>
                <w:sz w:val="24"/>
                <w:szCs w:val="24"/>
              </w:rPr>
              <w:t>MH</w:t>
            </w:r>
          </w:p>
        </w:tc>
      </w:tr>
      <w:tr w:rsidR="005F2D74" w:rsidRPr="000D5AD4" w:rsidTr="00503A1E">
        <w:tc>
          <w:tcPr>
            <w:tcW w:w="8505" w:type="dxa"/>
          </w:tcPr>
          <w:p w:rsidR="005F2D74" w:rsidRPr="000D5AD4" w:rsidRDefault="0071463A" w:rsidP="004D3132">
            <w:pPr>
              <w:rPr>
                <w:rFonts w:ascii="Arial" w:hAnsi="Arial" w:cs="Arial"/>
                <w:sz w:val="24"/>
                <w:szCs w:val="24"/>
              </w:rPr>
            </w:pPr>
            <w:r w:rsidRPr="0026558A">
              <w:rPr>
                <w:rFonts w:ascii="Arial" w:hAnsi="Arial" w:cs="Arial"/>
                <w:sz w:val="24"/>
                <w:szCs w:val="24"/>
              </w:rPr>
              <w:t>Vicki Harrington, Director of Strategic Change, EP</w:t>
            </w:r>
          </w:p>
        </w:tc>
        <w:tc>
          <w:tcPr>
            <w:tcW w:w="1089" w:type="dxa"/>
          </w:tcPr>
          <w:p w:rsidR="005F2D74" w:rsidRPr="000D5AD4" w:rsidRDefault="0071463A" w:rsidP="004D3132">
            <w:pPr>
              <w:jc w:val="center"/>
              <w:rPr>
                <w:rFonts w:ascii="Arial" w:hAnsi="Arial" w:cs="Arial"/>
                <w:sz w:val="24"/>
                <w:szCs w:val="24"/>
              </w:rPr>
            </w:pPr>
            <w:proofErr w:type="spellStart"/>
            <w:r>
              <w:rPr>
                <w:rFonts w:ascii="Arial" w:hAnsi="Arial" w:cs="Arial"/>
                <w:sz w:val="24"/>
                <w:szCs w:val="24"/>
              </w:rPr>
              <w:t>VH</w:t>
            </w:r>
            <w:proofErr w:type="spellEnd"/>
          </w:p>
        </w:tc>
      </w:tr>
      <w:tr w:rsidR="005F2D74" w:rsidRPr="000D5AD4" w:rsidTr="00503A1E">
        <w:tc>
          <w:tcPr>
            <w:tcW w:w="8505" w:type="dxa"/>
          </w:tcPr>
          <w:p w:rsidR="005F2D74" w:rsidRPr="000D5AD4" w:rsidRDefault="0071463A" w:rsidP="004D3132">
            <w:pPr>
              <w:rPr>
                <w:rFonts w:ascii="Arial" w:hAnsi="Arial" w:cs="Arial"/>
                <w:sz w:val="24"/>
                <w:szCs w:val="24"/>
              </w:rPr>
            </w:pPr>
            <w:r>
              <w:rPr>
                <w:rFonts w:ascii="Arial" w:hAnsi="Arial" w:cs="Arial"/>
                <w:sz w:val="24"/>
                <w:szCs w:val="24"/>
              </w:rPr>
              <w:t>Mark Gilmartin, Director of Shared Services, EP</w:t>
            </w:r>
          </w:p>
        </w:tc>
        <w:tc>
          <w:tcPr>
            <w:tcW w:w="1089" w:type="dxa"/>
          </w:tcPr>
          <w:p w:rsidR="005F2D74" w:rsidRPr="000D5AD4" w:rsidRDefault="0071463A" w:rsidP="0071463A">
            <w:pPr>
              <w:rPr>
                <w:rFonts w:ascii="Arial" w:hAnsi="Arial" w:cs="Arial"/>
                <w:sz w:val="24"/>
                <w:szCs w:val="24"/>
              </w:rPr>
            </w:pPr>
            <w:r>
              <w:rPr>
                <w:rFonts w:ascii="Arial" w:hAnsi="Arial" w:cs="Arial"/>
                <w:sz w:val="24"/>
                <w:szCs w:val="24"/>
              </w:rPr>
              <w:t xml:space="preserve">    MG</w:t>
            </w:r>
          </w:p>
        </w:tc>
      </w:tr>
      <w:tr w:rsidR="005F2D74" w:rsidRPr="000D5AD4" w:rsidTr="00503A1E">
        <w:tc>
          <w:tcPr>
            <w:tcW w:w="8505" w:type="dxa"/>
          </w:tcPr>
          <w:p w:rsidR="005F2D74" w:rsidRPr="0026558A" w:rsidRDefault="0071463A" w:rsidP="0026558A">
            <w:pPr>
              <w:pStyle w:val="Body"/>
              <w:rPr>
                <w:rFonts w:ascii="Arial" w:eastAsiaTheme="minorHAnsi" w:hAnsi="Arial" w:cs="Arial"/>
                <w:color w:val="auto"/>
                <w:sz w:val="24"/>
                <w:szCs w:val="24"/>
                <w:bdr w:val="none" w:sz="0" w:space="0" w:color="auto"/>
                <w:lang w:val="en-GB" w:eastAsia="en-US"/>
              </w:rPr>
            </w:pPr>
            <w:r>
              <w:rPr>
                <w:rFonts w:ascii="Arial" w:eastAsiaTheme="minorHAnsi" w:hAnsi="Arial" w:cs="Arial"/>
                <w:color w:val="auto"/>
                <w:sz w:val="24"/>
                <w:szCs w:val="24"/>
                <w:bdr w:val="none" w:sz="0" w:space="0" w:color="auto"/>
                <w:lang w:val="en-GB" w:eastAsia="en-US"/>
              </w:rPr>
              <w:t>Richard Leicester, Head of HR, EP</w:t>
            </w:r>
          </w:p>
        </w:tc>
        <w:tc>
          <w:tcPr>
            <w:tcW w:w="1089" w:type="dxa"/>
          </w:tcPr>
          <w:p w:rsidR="005F2D74" w:rsidRPr="000D5AD4" w:rsidRDefault="0071463A" w:rsidP="00522805">
            <w:pPr>
              <w:jc w:val="center"/>
              <w:rPr>
                <w:rFonts w:ascii="Arial" w:hAnsi="Arial" w:cs="Arial"/>
                <w:sz w:val="24"/>
                <w:szCs w:val="24"/>
              </w:rPr>
            </w:pPr>
            <w:proofErr w:type="spellStart"/>
            <w:r>
              <w:rPr>
                <w:rFonts w:ascii="Arial" w:hAnsi="Arial" w:cs="Arial"/>
                <w:sz w:val="24"/>
                <w:szCs w:val="24"/>
              </w:rPr>
              <w:t>RL</w:t>
            </w:r>
            <w:proofErr w:type="spellEnd"/>
          </w:p>
        </w:tc>
      </w:tr>
      <w:tr w:rsidR="005F2D74" w:rsidRPr="000D5AD4" w:rsidTr="00503A1E">
        <w:tc>
          <w:tcPr>
            <w:tcW w:w="8505" w:type="dxa"/>
          </w:tcPr>
          <w:p w:rsidR="005F2D74" w:rsidRPr="000D5AD4" w:rsidRDefault="0071463A" w:rsidP="000A069C">
            <w:pPr>
              <w:rPr>
                <w:rFonts w:ascii="Arial" w:hAnsi="Arial" w:cs="Arial"/>
                <w:sz w:val="24"/>
                <w:szCs w:val="24"/>
              </w:rPr>
            </w:pPr>
            <w:r>
              <w:rPr>
                <w:rFonts w:ascii="Arial" w:hAnsi="Arial" w:cs="Arial"/>
                <w:sz w:val="24"/>
                <w:szCs w:val="24"/>
              </w:rPr>
              <w:t>Dean Chapple, Improvement Unit, EP</w:t>
            </w:r>
          </w:p>
        </w:tc>
        <w:tc>
          <w:tcPr>
            <w:tcW w:w="1089" w:type="dxa"/>
          </w:tcPr>
          <w:p w:rsidR="005F2D74" w:rsidRPr="000D5AD4" w:rsidRDefault="0071463A" w:rsidP="0071463A">
            <w:pPr>
              <w:jc w:val="center"/>
              <w:rPr>
                <w:rFonts w:ascii="Arial" w:hAnsi="Arial" w:cs="Arial"/>
                <w:sz w:val="24"/>
                <w:szCs w:val="24"/>
              </w:rPr>
            </w:pPr>
            <w:r>
              <w:rPr>
                <w:rFonts w:ascii="Arial" w:hAnsi="Arial" w:cs="Arial"/>
                <w:sz w:val="24"/>
                <w:szCs w:val="24"/>
              </w:rPr>
              <w:t>DC</w:t>
            </w:r>
          </w:p>
        </w:tc>
      </w:tr>
      <w:tr w:rsidR="005F2D74" w:rsidRPr="000D5AD4" w:rsidTr="00503A1E">
        <w:tc>
          <w:tcPr>
            <w:tcW w:w="8505" w:type="dxa"/>
          </w:tcPr>
          <w:p w:rsidR="005F2D74" w:rsidRPr="000D5AD4" w:rsidRDefault="0071463A" w:rsidP="009813D7">
            <w:pPr>
              <w:rPr>
                <w:rFonts w:ascii="Arial" w:hAnsi="Arial" w:cs="Arial"/>
                <w:sz w:val="24"/>
                <w:szCs w:val="24"/>
              </w:rPr>
            </w:pPr>
            <w:r>
              <w:rPr>
                <w:rFonts w:ascii="Arial" w:hAnsi="Arial" w:cs="Arial"/>
                <w:sz w:val="24"/>
                <w:szCs w:val="24"/>
              </w:rPr>
              <w:t xml:space="preserve">Zoe Hack, </w:t>
            </w:r>
            <w:r w:rsidR="003310A2">
              <w:rPr>
                <w:rFonts w:ascii="Arial" w:hAnsi="Arial" w:cs="Arial"/>
                <w:sz w:val="24"/>
                <w:szCs w:val="24"/>
              </w:rPr>
              <w:t>Head of Resourcing</w:t>
            </w:r>
            <w:r>
              <w:rPr>
                <w:rFonts w:ascii="Arial" w:hAnsi="Arial" w:cs="Arial"/>
                <w:sz w:val="24"/>
                <w:szCs w:val="24"/>
              </w:rPr>
              <w:t>, EP</w:t>
            </w:r>
          </w:p>
        </w:tc>
        <w:tc>
          <w:tcPr>
            <w:tcW w:w="1089" w:type="dxa"/>
          </w:tcPr>
          <w:p w:rsidR="005F2D74" w:rsidRPr="000D5AD4" w:rsidRDefault="0071463A" w:rsidP="0071463A">
            <w:pPr>
              <w:jc w:val="center"/>
              <w:rPr>
                <w:rFonts w:ascii="Arial" w:hAnsi="Arial" w:cs="Arial"/>
                <w:sz w:val="24"/>
                <w:szCs w:val="24"/>
              </w:rPr>
            </w:pPr>
            <w:proofErr w:type="spellStart"/>
            <w:r>
              <w:rPr>
                <w:rFonts w:ascii="Arial" w:hAnsi="Arial" w:cs="Arial"/>
                <w:sz w:val="24"/>
                <w:szCs w:val="24"/>
              </w:rPr>
              <w:t>ZH</w:t>
            </w:r>
            <w:proofErr w:type="spellEnd"/>
          </w:p>
        </w:tc>
      </w:tr>
      <w:tr w:rsidR="00BF10DD" w:rsidRPr="000D5AD4" w:rsidTr="00503A1E">
        <w:tc>
          <w:tcPr>
            <w:tcW w:w="8505" w:type="dxa"/>
          </w:tcPr>
          <w:p w:rsidR="00BF10DD" w:rsidRPr="000D5AD4" w:rsidRDefault="0026558A" w:rsidP="009813D7">
            <w:pPr>
              <w:rPr>
                <w:rFonts w:ascii="Arial" w:hAnsi="Arial" w:cs="Arial"/>
                <w:sz w:val="24"/>
                <w:szCs w:val="24"/>
              </w:rPr>
            </w:pPr>
            <w:r>
              <w:rPr>
                <w:rFonts w:ascii="Arial" w:hAnsi="Arial" w:cs="Arial"/>
                <w:sz w:val="24"/>
                <w:szCs w:val="24"/>
              </w:rPr>
              <w:t>Debbie Martin</w:t>
            </w:r>
            <w:r w:rsidR="00676C42">
              <w:rPr>
                <w:rFonts w:ascii="Arial" w:hAnsi="Arial" w:cs="Arial"/>
                <w:sz w:val="24"/>
                <w:szCs w:val="24"/>
              </w:rPr>
              <w:t>, Chief Finance Officer, EP</w:t>
            </w:r>
          </w:p>
        </w:tc>
        <w:tc>
          <w:tcPr>
            <w:tcW w:w="1089" w:type="dxa"/>
          </w:tcPr>
          <w:p w:rsidR="00BF10DD" w:rsidRDefault="003310A2" w:rsidP="0071463A">
            <w:pPr>
              <w:jc w:val="center"/>
              <w:rPr>
                <w:rFonts w:ascii="Arial" w:hAnsi="Arial" w:cs="Arial"/>
                <w:sz w:val="24"/>
                <w:szCs w:val="24"/>
              </w:rPr>
            </w:pPr>
            <w:proofErr w:type="spellStart"/>
            <w:r>
              <w:rPr>
                <w:rFonts w:ascii="Arial" w:hAnsi="Arial" w:cs="Arial"/>
                <w:sz w:val="24"/>
                <w:szCs w:val="24"/>
              </w:rPr>
              <w:t>DM</w:t>
            </w:r>
            <w:proofErr w:type="spellEnd"/>
          </w:p>
        </w:tc>
      </w:tr>
      <w:tr w:rsidR="00BF10DD" w:rsidRPr="000D5AD4" w:rsidTr="00503A1E">
        <w:tc>
          <w:tcPr>
            <w:tcW w:w="8505" w:type="dxa"/>
          </w:tcPr>
          <w:p w:rsidR="00BF10DD" w:rsidRPr="000D5AD4" w:rsidRDefault="0071463A" w:rsidP="00676C42">
            <w:pPr>
              <w:rPr>
                <w:rFonts w:ascii="Arial" w:hAnsi="Arial" w:cs="Arial"/>
                <w:sz w:val="24"/>
                <w:szCs w:val="24"/>
              </w:rPr>
            </w:pPr>
            <w:r>
              <w:rPr>
                <w:rFonts w:ascii="Arial" w:hAnsi="Arial" w:cs="Arial"/>
                <w:sz w:val="24"/>
                <w:szCs w:val="24"/>
              </w:rPr>
              <w:t>Richard Jones, Management Accounting and Insurance Manager, EP</w:t>
            </w:r>
          </w:p>
        </w:tc>
        <w:tc>
          <w:tcPr>
            <w:tcW w:w="1089" w:type="dxa"/>
          </w:tcPr>
          <w:p w:rsidR="00BF10DD" w:rsidRDefault="0071463A" w:rsidP="0071463A">
            <w:pPr>
              <w:jc w:val="center"/>
              <w:rPr>
                <w:rFonts w:ascii="Arial" w:hAnsi="Arial" w:cs="Arial"/>
                <w:sz w:val="24"/>
                <w:szCs w:val="24"/>
              </w:rPr>
            </w:pPr>
            <w:r>
              <w:rPr>
                <w:rFonts w:ascii="Arial" w:hAnsi="Arial" w:cs="Arial"/>
                <w:sz w:val="24"/>
                <w:szCs w:val="24"/>
              </w:rPr>
              <w:t>RJ</w:t>
            </w:r>
          </w:p>
        </w:tc>
      </w:tr>
    </w:tbl>
    <w:p w:rsidR="00376C90" w:rsidRPr="000D5AD4" w:rsidRDefault="00376C90"/>
    <w:tbl>
      <w:tblPr>
        <w:tblStyle w:val="TableGrid"/>
        <w:tblpPr w:leftFromText="180" w:rightFromText="180" w:vertAnchor="text" w:horzAnchor="margin" w:tblpY="84"/>
        <w:tblW w:w="5000" w:type="pct"/>
        <w:tblLook w:val="04A0" w:firstRow="1" w:lastRow="0" w:firstColumn="1" w:lastColumn="0" w:noHBand="0" w:noVBand="1"/>
      </w:tblPr>
      <w:tblGrid>
        <w:gridCol w:w="642"/>
        <w:gridCol w:w="7484"/>
        <w:gridCol w:w="2804"/>
        <w:gridCol w:w="1546"/>
        <w:gridCol w:w="1698"/>
      </w:tblGrid>
      <w:tr w:rsidR="000865B8" w:rsidRPr="000D5AD4" w:rsidTr="00561137">
        <w:tc>
          <w:tcPr>
            <w:tcW w:w="227" w:type="pct"/>
          </w:tcPr>
          <w:p w:rsidR="00D95384" w:rsidRPr="000D5AD4" w:rsidRDefault="00D95384" w:rsidP="00D95384">
            <w:pPr>
              <w:rPr>
                <w:rFonts w:ascii="Arial" w:hAnsi="Arial" w:cs="Arial"/>
              </w:rPr>
            </w:pPr>
            <w:r w:rsidRPr="000D5AD4">
              <w:rPr>
                <w:rFonts w:ascii="Arial" w:hAnsi="Arial" w:cs="Arial"/>
              </w:rPr>
              <w:br w:type="page"/>
            </w:r>
          </w:p>
        </w:tc>
        <w:tc>
          <w:tcPr>
            <w:tcW w:w="2639" w:type="pct"/>
          </w:tcPr>
          <w:p w:rsidR="00D95384" w:rsidRPr="000D5AD4" w:rsidRDefault="00D95384" w:rsidP="00D95384">
            <w:pPr>
              <w:rPr>
                <w:rFonts w:ascii="Arial" w:hAnsi="Arial" w:cs="Arial"/>
                <w:b/>
                <w:sz w:val="24"/>
                <w:szCs w:val="24"/>
                <w:lang w:eastAsia="en-GB"/>
              </w:rPr>
            </w:pPr>
            <w:r w:rsidRPr="000D5AD4">
              <w:rPr>
                <w:rFonts w:ascii="Arial" w:hAnsi="Arial" w:cs="Arial"/>
                <w:b/>
                <w:sz w:val="24"/>
                <w:szCs w:val="24"/>
                <w:lang w:eastAsia="en-GB"/>
              </w:rPr>
              <w:t>Item</w:t>
            </w:r>
          </w:p>
        </w:tc>
        <w:tc>
          <w:tcPr>
            <w:tcW w:w="989" w:type="pct"/>
          </w:tcPr>
          <w:p w:rsidR="00D95384" w:rsidRPr="000D5AD4" w:rsidRDefault="00D95384" w:rsidP="00D95384">
            <w:pPr>
              <w:rPr>
                <w:rFonts w:ascii="Arial" w:hAnsi="Arial" w:cs="Arial"/>
                <w:b/>
                <w:sz w:val="24"/>
                <w:szCs w:val="24"/>
                <w:lang w:eastAsia="en-GB"/>
              </w:rPr>
            </w:pPr>
            <w:r w:rsidRPr="000D5AD4">
              <w:rPr>
                <w:rFonts w:ascii="Arial" w:hAnsi="Arial" w:cs="Arial"/>
                <w:b/>
                <w:sz w:val="24"/>
                <w:szCs w:val="24"/>
                <w:lang w:eastAsia="en-GB"/>
              </w:rPr>
              <w:t>Action</w:t>
            </w:r>
          </w:p>
        </w:tc>
        <w:tc>
          <w:tcPr>
            <w:tcW w:w="545" w:type="pct"/>
          </w:tcPr>
          <w:p w:rsidR="00D95384" w:rsidRPr="000D5AD4" w:rsidRDefault="00D95384" w:rsidP="00D95384">
            <w:pPr>
              <w:rPr>
                <w:rFonts w:ascii="Arial" w:hAnsi="Arial" w:cs="Arial"/>
                <w:b/>
                <w:sz w:val="24"/>
                <w:szCs w:val="24"/>
                <w:lang w:eastAsia="en-GB"/>
              </w:rPr>
            </w:pPr>
            <w:r w:rsidRPr="000D5AD4">
              <w:rPr>
                <w:rFonts w:ascii="Arial" w:hAnsi="Arial" w:cs="Arial"/>
                <w:b/>
                <w:sz w:val="24"/>
                <w:szCs w:val="24"/>
                <w:lang w:eastAsia="en-GB"/>
              </w:rPr>
              <w:t>Owner</w:t>
            </w:r>
          </w:p>
        </w:tc>
        <w:tc>
          <w:tcPr>
            <w:tcW w:w="599" w:type="pct"/>
          </w:tcPr>
          <w:p w:rsidR="00D95384" w:rsidRPr="000D5AD4" w:rsidRDefault="00D95384" w:rsidP="00D95384">
            <w:pPr>
              <w:rPr>
                <w:rFonts w:ascii="Arial" w:hAnsi="Arial" w:cs="Arial"/>
                <w:b/>
                <w:sz w:val="24"/>
                <w:szCs w:val="24"/>
                <w:lang w:eastAsia="en-GB"/>
              </w:rPr>
            </w:pPr>
            <w:r w:rsidRPr="000D5AD4">
              <w:rPr>
                <w:rFonts w:ascii="Arial" w:hAnsi="Arial" w:cs="Arial"/>
                <w:b/>
                <w:sz w:val="24"/>
                <w:szCs w:val="24"/>
                <w:lang w:eastAsia="en-GB"/>
              </w:rPr>
              <w:t xml:space="preserve">Date for Completion </w:t>
            </w:r>
          </w:p>
        </w:tc>
      </w:tr>
      <w:tr w:rsidR="00306E0F" w:rsidRPr="000D5AD4" w:rsidTr="00561137">
        <w:tc>
          <w:tcPr>
            <w:tcW w:w="227" w:type="pct"/>
          </w:tcPr>
          <w:p w:rsidR="00306E0F" w:rsidRPr="000D5AD4" w:rsidRDefault="00306E0F" w:rsidP="00D95384">
            <w:pPr>
              <w:rPr>
                <w:rFonts w:ascii="Arial" w:hAnsi="Arial" w:cs="Arial"/>
              </w:rPr>
            </w:pPr>
            <w:r w:rsidRPr="000D5AD4">
              <w:rPr>
                <w:rFonts w:ascii="Arial" w:hAnsi="Arial" w:cs="Arial"/>
              </w:rPr>
              <w:t>1.</w:t>
            </w:r>
          </w:p>
        </w:tc>
        <w:tc>
          <w:tcPr>
            <w:tcW w:w="2639" w:type="pct"/>
          </w:tcPr>
          <w:p w:rsidR="00A62435" w:rsidRPr="000D5AD4" w:rsidRDefault="00A62435" w:rsidP="007363EE">
            <w:pPr>
              <w:pStyle w:val="Body"/>
              <w:rPr>
                <w:rFonts w:ascii="Arial"/>
                <w:b/>
                <w:bCs/>
                <w:color w:val="auto"/>
                <w:lang w:val="en-GB"/>
              </w:rPr>
            </w:pPr>
            <w:r w:rsidRPr="000D5AD4">
              <w:rPr>
                <w:rFonts w:ascii="Arial"/>
                <w:b/>
                <w:bCs/>
                <w:color w:val="auto"/>
                <w:lang w:val="en-GB"/>
              </w:rPr>
              <w:t>Apologies</w:t>
            </w:r>
          </w:p>
          <w:p w:rsidR="0026558A" w:rsidRPr="000D5AD4" w:rsidRDefault="0026558A" w:rsidP="007363EE">
            <w:pPr>
              <w:pStyle w:val="Body"/>
              <w:rPr>
                <w:rFonts w:ascii="Arial"/>
                <w:b/>
                <w:bCs/>
                <w:color w:val="auto"/>
                <w:lang w:val="en-GB"/>
              </w:rPr>
            </w:pPr>
          </w:p>
          <w:p w:rsidR="00306E0F" w:rsidRPr="000D5AD4" w:rsidRDefault="00306E0F" w:rsidP="007363EE">
            <w:pPr>
              <w:pStyle w:val="Body"/>
              <w:rPr>
                <w:rFonts w:ascii="Arial" w:eastAsia="Arial" w:hAnsi="Arial" w:cs="Arial"/>
                <w:b/>
                <w:bCs/>
                <w:color w:val="auto"/>
                <w:lang w:val="en-GB"/>
              </w:rPr>
            </w:pPr>
            <w:r w:rsidRPr="000D5AD4">
              <w:rPr>
                <w:rFonts w:ascii="Arial"/>
                <w:b/>
                <w:bCs/>
                <w:color w:val="auto"/>
                <w:lang w:val="en-GB"/>
              </w:rPr>
              <w:t>Matters Arising &amp; Minutes of the last meeting</w:t>
            </w:r>
          </w:p>
          <w:p w:rsidR="00306E0F" w:rsidRDefault="00306E0F" w:rsidP="007363EE">
            <w:pPr>
              <w:pStyle w:val="Body"/>
              <w:rPr>
                <w:rFonts w:ascii="Arial" w:eastAsia="Arial" w:hAnsi="Arial" w:cs="Arial"/>
                <w:color w:val="auto"/>
                <w:lang w:val="en-GB"/>
              </w:rPr>
            </w:pPr>
          </w:p>
          <w:p w:rsidR="00AD4D51" w:rsidRDefault="00AD4D51" w:rsidP="007363EE">
            <w:pPr>
              <w:pStyle w:val="Body"/>
              <w:rPr>
                <w:rFonts w:ascii="Arial" w:eastAsia="Arial" w:hAnsi="Arial" w:cs="Arial"/>
                <w:color w:val="auto"/>
                <w:lang w:val="en-GB"/>
              </w:rPr>
            </w:pPr>
            <w:r>
              <w:rPr>
                <w:rFonts w:ascii="Arial" w:eastAsia="Arial" w:hAnsi="Arial" w:cs="Arial"/>
                <w:color w:val="auto"/>
                <w:lang w:val="en-GB"/>
              </w:rPr>
              <w:t xml:space="preserve">40/16 – VH provided an update regarding the </w:t>
            </w:r>
            <w:r w:rsidR="00BE554B">
              <w:rPr>
                <w:rFonts w:ascii="Arial" w:eastAsia="Arial" w:hAnsi="Arial" w:cs="Arial"/>
                <w:color w:val="auto"/>
                <w:lang w:val="en-GB"/>
              </w:rPr>
              <w:t xml:space="preserve">crime tree and the harm index. The ranking has been based on the average sentence length for the crime types and doesn’t include volume. </w:t>
            </w:r>
            <w:r w:rsidR="00753BF1">
              <w:rPr>
                <w:rFonts w:ascii="Arial" w:eastAsia="Arial" w:hAnsi="Arial" w:cs="Arial"/>
                <w:color w:val="auto"/>
                <w:lang w:val="en-GB"/>
              </w:rPr>
              <w:t xml:space="preserve">VH said that Office of National Statistics is completing a crime harm index of each force based on </w:t>
            </w:r>
            <w:r w:rsidR="00753BF1">
              <w:rPr>
                <w:rFonts w:ascii="Arial" w:eastAsia="Arial" w:hAnsi="Arial" w:cs="Arial"/>
                <w:color w:val="auto"/>
                <w:lang w:val="en-GB"/>
              </w:rPr>
              <w:lastRenderedPageBreak/>
              <w:t xml:space="preserve">average sentence data. The main purpose of </w:t>
            </w:r>
            <w:r w:rsidR="001E6866">
              <w:rPr>
                <w:rFonts w:ascii="Arial" w:eastAsia="Arial" w:hAnsi="Arial" w:cs="Arial"/>
                <w:color w:val="auto"/>
                <w:lang w:val="en-GB"/>
              </w:rPr>
              <w:t xml:space="preserve">including </w:t>
            </w:r>
            <w:r w:rsidR="00753BF1">
              <w:rPr>
                <w:rFonts w:ascii="Arial" w:eastAsia="Arial" w:hAnsi="Arial" w:cs="Arial"/>
                <w:color w:val="auto"/>
                <w:lang w:val="en-GB"/>
              </w:rPr>
              <w:t>the ranking is to show the public which areas are important</w:t>
            </w:r>
            <w:r w:rsidR="00BE7A0D">
              <w:rPr>
                <w:rFonts w:ascii="Arial" w:eastAsia="Arial" w:hAnsi="Arial" w:cs="Arial"/>
                <w:color w:val="auto"/>
                <w:lang w:val="en-GB"/>
              </w:rPr>
              <w:t xml:space="preserve"> and to help inform the force priorities and resource deployment. SH and VH to review and propose how the ranking should be applied and presented to the public. </w:t>
            </w:r>
            <w:r w:rsidR="000A6926">
              <w:rPr>
                <w:rFonts w:ascii="Arial" w:eastAsia="Arial" w:hAnsi="Arial" w:cs="Arial"/>
                <w:color w:val="auto"/>
                <w:lang w:val="en-GB"/>
              </w:rPr>
              <w:t>MG noted that this work will feed into the funding formula technical group. Updated version to be presented at the next meeting.</w:t>
            </w:r>
          </w:p>
          <w:p w:rsidR="00AD4D51" w:rsidRPr="000D5AD4" w:rsidRDefault="00AD4D51" w:rsidP="007363EE">
            <w:pPr>
              <w:pStyle w:val="Body"/>
              <w:rPr>
                <w:rFonts w:ascii="Arial" w:eastAsia="Arial" w:hAnsi="Arial" w:cs="Arial"/>
                <w:color w:val="auto"/>
                <w:lang w:val="en-GB"/>
              </w:rPr>
            </w:pPr>
          </w:p>
          <w:p w:rsidR="00473114" w:rsidRDefault="00AD4D51" w:rsidP="00AD4D51">
            <w:pPr>
              <w:pStyle w:val="Body"/>
              <w:rPr>
                <w:rFonts w:ascii="Arial"/>
                <w:color w:val="auto"/>
                <w:lang w:val="en-GB"/>
              </w:rPr>
            </w:pPr>
            <w:r>
              <w:rPr>
                <w:rFonts w:ascii="Arial"/>
                <w:color w:val="auto"/>
                <w:lang w:val="en-GB"/>
              </w:rPr>
              <w:t xml:space="preserve">63/16 </w:t>
            </w:r>
            <w:r>
              <w:rPr>
                <w:rFonts w:ascii="Arial"/>
                <w:color w:val="auto"/>
                <w:lang w:val="en-GB"/>
              </w:rPr>
              <w:t>–</w:t>
            </w:r>
            <w:r>
              <w:rPr>
                <w:rFonts w:ascii="Arial"/>
                <w:color w:val="auto"/>
                <w:lang w:val="en-GB"/>
              </w:rPr>
              <w:t xml:space="preserve"> MG provided a procurement update noting that four Sharpe Pritchard employees had been hired to provide </w:t>
            </w:r>
            <w:r w:rsidR="000B771E">
              <w:rPr>
                <w:rFonts w:ascii="Arial"/>
                <w:color w:val="auto"/>
                <w:lang w:val="en-GB"/>
              </w:rPr>
              <w:t xml:space="preserve">short term </w:t>
            </w:r>
            <w:r>
              <w:rPr>
                <w:rFonts w:ascii="Arial"/>
                <w:color w:val="auto"/>
                <w:lang w:val="en-GB"/>
              </w:rPr>
              <w:t>specialist support to the procurement team</w:t>
            </w:r>
            <w:r w:rsidR="000B771E">
              <w:rPr>
                <w:rFonts w:ascii="Arial"/>
                <w:color w:val="auto"/>
                <w:lang w:val="en-GB"/>
              </w:rPr>
              <w:t>,</w:t>
            </w:r>
            <w:r>
              <w:rPr>
                <w:rFonts w:ascii="Arial"/>
                <w:color w:val="auto"/>
                <w:lang w:val="en-GB"/>
              </w:rPr>
              <w:t>. Dave Edw</w:t>
            </w:r>
            <w:r w:rsidR="000A6926">
              <w:rPr>
                <w:rFonts w:ascii="Arial"/>
                <w:color w:val="auto"/>
                <w:lang w:val="en-GB"/>
              </w:rPr>
              <w:t>ards</w:t>
            </w:r>
            <w:r w:rsidR="000B771E">
              <w:rPr>
                <w:rFonts w:ascii="Arial"/>
                <w:color w:val="auto"/>
                <w:lang w:val="en-GB"/>
              </w:rPr>
              <w:t xml:space="preserve"> new Head of Procurement</w:t>
            </w:r>
            <w:r w:rsidR="000A6926">
              <w:rPr>
                <w:rFonts w:ascii="Arial"/>
                <w:color w:val="auto"/>
                <w:lang w:val="en-GB"/>
              </w:rPr>
              <w:t xml:space="preserve"> due to return on 14/11/16. </w:t>
            </w:r>
          </w:p>
          <w:p w:rsidR="000B771E" w:rsidRPr="009603BF" w:rsidRDefault="000B771E" w:rsidP="00AD4D51">
            <w:pPr>
              <w:pStyle w:val="Body"/>
              <w:rPr>
                <w:rFonts w:ascii="Arial"/>
                <w:color w:val="auto"/>
                <w:lang w:val="en-GB"/>
              </w:rPr>
            </w:pPr>
          </w:p>
        </w:tc>
        <w:tc>
          <w:tcPr>
            <w:tcW w:w="989" w:type="pct"/>
          </w:tcPr>
          <w:p w:rsidR="00306E0F" w:rsidRPr="000D5AD4" w:rsidRDefault="00306E0F" w:rsidP="007363EE">
            <w:pPr>
              <w:pStyle w:val="Body"/>
              <w:rPr>
                <w:rFonts w:ascii="Arial" w:eastAsia="Arial" w:hAnsi="Arial" w:cs="Arial"/>
                <w:b/>
                <w:bCs/>
                <w:color w:val="auto"/>
                <w:lang w:val="en-GB"/>
              </w:rPr>
            </w:pPr>
          </w:p>
          <w:p w:rsidR="00306E0F" w:rsidRPr="000D5AD4" w:rsidRDefault="00306E0F" w:rsidP="007363EE">
            <w:pPr>
              <w:pStyle w:val="Body"/>
              <w:rPr>
                <w:rFonts w:ascii="Arial" w:eastAsia="Arial" w:hAnsi="Arial" w:cs="Arial"/>
                <w:b/>
                <w:bCs/>
                <w:color w:val="auto"/>
                <w:lang w:val="en-GB"/>
              </w:rPr>
            </w:pPr>
          </w:p>
          <w:p w:rsidR="00A62435" w:rsidRDefault="00A62435" w:rsidP="007363EE">
            <w:pPr>
              <w:pStyle w:val="Body"/>
              <w:rPr>
                <w:rFonts w:ascii="Arial" w:eastAsia="Arial" w:hAnsi="Arial" w:cs="Arial"/>
                <w:b/>
                <w:bCs/>
                <w:color w:val="auto"/>
                <w:lang w:val="en-GB"/>
              </w:rPr>
            </w:pPr>
          </w:p>
          <w:p w:rsidR="00572073" w:rsidRDefault="00572073" w:rsidP="007363EE">
            <w:pPr>
              <w:pStyle w:val="Body"/>
              <w:rPr>
                <w:rFonts w:ascii="Arial" w:eastAsia="Arial" w:hAnsi="Arial" w:cs="Arial"/>
                <w:b/>
                <w:bCs/>
                <w:color w:val="auto"/>
                <w:lang w:val="en-GB"/>
              </w:rPr>
            </w:pPr>
          </w:p>
          <w:p w:rsidR="00572073" w:rsidRDefault="00572073" w:rsidP="007363EE">
            <w:pPr>
              <w:pStyle w:val="Body"/>
              <w:rPr>
                <w:rFonts w:ascii="Arial" w:eastAsia="Arial" w:hAnsi="Arial" w:cs="Arial"/>
                <w:b/>
                <w:bCs/>
                <w:color w:val="auto"/>
                <w:lang w:val="en-GB"/>
              </w:rPr>
            </w:pPr>
          </w:p>
          <w:p w:rsidR="00572073" w:rsidRDefault="00572073" w:rsidP="007363EE">
            <w:pPr>
              <w:pStyle w:val="Body"/>
              <w:rPr>
                <w:rFonts w:ascii="Arial" w:eastAsia="Arial" w:hAnsi="Arial" w:cs="Arial"/>
                <w:b/>
                <w:bCs/>
                <w:color w:val="auto"/>
                <w:lang w:val="en-GB"/>
              </w:rPr>
            </w:pPr>
          </w:p>
          <w:p w:rsidR="00572073" w:rsidRDefault="00572073" w:rsidP="007363EE">
            <w:pPr>
              <w:pStyle w:val="Body"/>
              <w:rPr>
                <w:rFonts w:ascii="Arial" w:eastAsia="Arial" w:hAnsi="Arial" w:cs="Arial"/>
                <w:b/>
                <w:bCs/>
                <w:color w:val="auto"/>
                <w:lang w:val="en-GB"/>
              </w:rPr>
            </w:pPr>
          </w:p>
          <w:p w:rsidR="003310A2" w:rsidRDefault="003310A2" w:rsidP="007363EE">
            <w:pPr>
              <w:pStyle w:val="Body"/>
              <w:rPr>
                <w:rFonts w:ascii="Arial" w:eastAsia="Arial" w:hAnsi="Arial" w:cs="Arial"/>
                <w:b/>
                <w:bCs/>
                <w:color w:val="auto"/>
                <w:lang w:val="en-GB"/>
              </w:rPr>
            </w:pPr>
          </w:p>
          <w:p w:rsidR="00572073" w:rsidRDefault="003310A2" w:rsidP="007363EE">
            <w:pPr>
              <w:pStyle w:val="Body"/>
              <w:rPr>
                <w:rFonts w:ascii="Arial" w:eastAsia="Arial" w:hAnsi="Arial" w:cs="Arial"/>
                <w:b/>
                <w:bCs/>
                <w:color w:val="auto"/>
                <w:lang w:val="en-GB"/>
              </w:rPr>
            </w:pPr>
            <w:r>
              <w:rPr>
                <w:rFonts w:ascii="Arial" w:eastAsia="Arial" w:hAnsi="Arial" w:cs="Arial"/>
                <w:b/>
                <w:bCs/>
                <w:color w:val="auto"/>
                <w:lang w:val="en-GB"/>
              </w:rPr>
              <w:lastRenderedPageBreak/>
              <w:t xml:space="preserve">65/16 - </w:t>
            </w:r>
            <w:proofErr w:type="spellStart"/>
            <w:r w:rsidR="000A6926">
              <w:rPr>
                <w:rFonts w:ascii="Arial" w:eastAsia="Arial" w:hAnsi="Arial" w:cs="Arial"/>
                <w:b/>
                <w:bCs/>
                <w:color w:val="auto"/>
                <w:lang w:val="en-GB"/>
              </w:rPr>
              <w:t>SH</w:t>
            </w:r>
            <w:proofErr w:type="spellEnd"/>
            <w:r w:rsidR="000A6926">
              <w:rPr>
                <w:rFonts w:ascii="Arial" w:eastAsia="Arial" w:hAnsi="Arial" w:cs="Arial"/>
                <w:b/>
                <w:bCs/>
                <w:color w:val="auto"/>
                <w:lang w:val="en-GB"/>
              </w:rPr>
              <w:t>/</w:t>
            </w:r>
            <w:proofErr w:type="spellStart"/>
            <w:r w:rsidR="000A6926">
              <w:rPr>
                <w:rFonts w:ascii="Arial" w:eastAsia="Arial" w:hAnsi="Arial" w:cs="Arial"/>
                <w:b/>
                <w:bCs/>
                <w:color w:val="auto"/>
                <w:lang w:val="en-GB"/>
              </w:rPr>
              <w:t>VH</w:t>
            </w:r>
            <w:proofErr w:type="spellEnd"/>
            <w:r w:rsidR="000A6926">
              <w:rPr>
                <w:rFonts w:ascii="Arial" w:eastAsia="Arial" w:hAnsi="Arial" w:cs="Arial"/>
                <w:b/>
                <w:bCs/>
                <w:color w:val="auto"/>
                <w:lang w:val="en-GB"/>
              </w:rPr>
              <w:t xml:space="preserve"> to discuss ways to present </w:t>
            </w:r>
            <w:r>
              <w:rPr>
                <w:rFonts w:ascii="Arial" w:eastAsia="Arial" w:hAnsi="Arial" w:cs="Arial"/>
                <w:b/>
                <w:bCs/>
                <w:color w:val="auto"/>
                <w:lang w:val="en-GB"/>
              </w:rPr>
              <w:t>t</w:t>
            </w:r>
            <w:r w:rsidR="000A6926">
              <w:rPr>
                <w:rFonts w:ascii="Arial" w:eastAsia="Arial" w:hAnsi="Arial" w:cs="Arial"/>
                <w:b/>
                <w:bCs/>
                <w:color w:val="auto"/>
                <w:lang w:val="en-GB"/>
              </w:rPr>
              <w:t>he harm index and ranking</w:t>
            </w:r>
          </w:p>
          <w:p w:rsidR="00572073" w:rsidRDefault="00572073" w:rsidP="007363EE">
            <w:pPr>
              <w:pStyle w:val="Body"/>
              <w:rPr>
                <w:rFonts w:ascii="Arial" w:eastAsia="Arial" w:hAnsi="Arial" w:cs="Arial"/>
                <w:b/>
                <w:bCs/>
                <w:color w:val="auto"/>
                <w:lang w:val="en-GB"/>
              </w:rPr>
            </w:pPr>
          </w:p>
          <w:p w:rsidR="00572073" w:rsidRDefault="00572073" w:rsidP="007363EE">
            <w:pPr>
              <w:pStyle w:val="Body"/>
              <w:rPr>
                <w:rFonts w:ascii="Arial" w:eastAsia="Arial" w:hAnsi="Arial" w:cs="Arial"/>
                <w:b/>
                <w:bCs/>
                <w:color w:val="auto"/>
                <w:lang w:val="en-GB"/>
              </w:rPr>
            </w:pPr>
          </w:p>
          <w:p w:rsidR="00A64AA5" w:rsidRPr="000D5AD4" w:rsidRDefault="00A64AA5" w:rsidP="00596313">
            <w:pPr>
              <w:pStyle w:val="Body"/>
              <w:rPr>
                <w:color w:val="auto"/>
                <w:lang w:val="en-GB"/>
              </w:rPr>
            </w:pPr>
          </w:p>
        </w:tc>
        <w:tc>
          <w:tcPr>
            <w:tcW w:w="545" w:type="pct"/>
          </w:tcPr>
          <w:p w:rsidR="00306E0F" w:rsidRPr="000D5AD4" w:rsidRDefault="00306E0F" w:rsidP="007363EE">
            <w:pPr>
              <w:pStyle w:val="Body"/>
              <w:rPr>
                <w:rFonts w:ascii="Arial" w:eastAsia="Arial" w:hAnsi="Arial" w:cs="Arial"/>
                <w:color w:val="auto"/>
                <w:lang w:val="en-GB"/>
              </w:rPr>
            </w:pPr>
          </w:p>
          <w:p w:rsidR="00306E0F" w:rsidRPr="000D5AD4" w:rsidRDefault="00306E0F" w:rsidP="007363EE">
            <w:pPr>
              <w:pStyle w:val="Body"/>
              <w:rPr>
                <w:rFonts w:ascii="Arial" w:eastAsia="Arial" w:hAnsi="Arial" w:cs="Arial"/>
                <w:color w:val="auto"/>
                <w:lang w:val="en-GB"/>
              </w:rPr>
            </w:pPr>
          </w:p>
          <w:p w:rsidR="00306E0F" w:rsidRDefault="00306E0F" w:rsidP="007363EE">
            <w:pPr>
              <w:pStyle w:val="Body"/>
              <w:rPr>
                <w:color w:val="auto"/>
                <w:lang w:val="en-GB"/>
              </w:rPr>
            </w:pPr>
          </w:p>
          <w:p w:rsidR="00110E84" w:rsidRDefault="00110E84" w:rsidP="007363EE">
            <w:pPr>
              <w:pStyle w:val="Body"/>
              <w:rPr>
                <w:color w:val="auto"/>
                <w:lang w:val="en-GB"/>
              </w:rPr>
            </w:pPr>
          </w:p>
          <w:p w:rsidR="00572073" w:rsidRDefault="00572073" w:rsidP="007363EE">
            <w:pPr>
              <w:pStyle w:val="Body"/>
              <w:rPr>
                <w:color w:val="auto"/>
                <w:lang w:val="en-GB"/>
              </w:rPr>
            </w:pPr>
          </w:p>
          <w:p w:rsidR="000A6926" w:rsidRDefault="000A6926" w:rsidP="007363EE">
            <w:pPr>
              <w:pStyle w:val="Body"/>
              <w:rPr>
                <w:color w:val="auto"/>
                <w:lang w:val="en-GB"/>
              </w:rPr>
            </w:pPr>
          </w:p>
          <w:p w:rsidR="003310A2" w:rsidRDefault="003310A2" w:rsidP="007363EE">
            <w:pPr>
              <w:pStyle w:val="Body"/>
              <w:rPr>
                <w:color w:val="auto"/>
                <w:lang w:val="en-GB"/>
              </w:rPr>
            </w:pPr>
          </w:p>
          <w:p w:rsidR="000A6926" w:rsidRDefault="000A6926" w:rsidP="007363EE">
            <w:pPr>
              <w:pStyle w:val="Body"/>
              <w:rPr>
                <w:color w:val="auto"/>
                <w:lang w:val="en-GB"/>
              </w:rPr>
            </w:pPr>
          </w:p>
          <w:p w:rsidR="000A6926" w:rsidRPr="000D5AD4" w:rsidRDefault="000A6926" w:rsidP="007363EE">
            <w:pPr>
              <w:pStyle w:val="Body"/>
              <w:rPr>
                <w:color w:val="auto"/>
                <w:lang w:val="en-GB"/>
              </w:rPr>
            </w:pPr>
            <w:r>
              <w:rPr>
                <w:color w:val="auto"/>
                <w:lang w:val="en-GB"/>
              </w:rPr>
              <w:lastRenderedPageBreak/>
              <w:t>SH/VH</w:t>
            </w:r>
          </w:p>
        </w:tc>
        <w:tc>
          <w:tcPr>
            <w:tcW w:w="599" w:type="pct"/>
          </w:tcPr>
          <w:p w:rsidR="00306E0F" w:rsidRPr="000D5AD4" w:rsidRDefault="00306E0F" w:rsidP="007363EE">
            <w:pPr>
              <w:pStyle w:val="Body"/>
              <w:rPr>
                <w:rFonts w:ascii="Arial" w:eastAsia="Arial" w:hAnsi="Arial" w:cs="Arial"/>
                <w:color w:val="auto"/>
                <w:lang w:val="en-GB"/>
              </w:rPr>
            </w:pPr>
          </w:p>
          <w:p w:rsidR="00306E0F" w:rsidRPr="000D5AD4" w:rsidRDefault="00306E0F" w:rsidP="007363EE">
            <w:pPr>
              <w:pStyle w:val="Body"/>
              <w:rPr>
                <w:rFonts w:ascii="Arial" w:eastAsia="Arial" w:hAnsi="Arial" w:cs="Arial"/>
                <w:color w:val="auto"/>
                <w:lang w:val="en-GB"/>
              </w:rPr>
            </w:pPr>
          </w:p>
          <w:p w:rsidR="00A62435" w:rsidRDefault="00A62435" w:rsidP="009603BF">
            <w:pPr>
              <w:pStyle w:val="Body"/>
              <w:rPr>
                <w:color w:val="auto"/>
                <w:lang w:val="en-GB"/>
              </w:rPr>
            </w:pPr>
          </w:p>
          <w:p w:rsidR="00572073" w:rsidRDefault="00572073" w:rsidP="009D132A">
            <w:pPr>
              <w:pStyle w:val="Body"/>
              <w:rPr>
                <w:rFonts w:ascii="Arial" w:hAnsi="Arial" w:cs="Arial"/>
                <w:color w:val="auto"/>
                <w:lang w:val="en-GB"/>
              </w:rPr>
            </w:pPr>
          </w:p>
          <w:p w:rsidR="000A6926" w:rsidRDefault="000A6926" w:rsidP="009D132A">
            <w:pPr>
              <w:pStyle w:val="Body"/>
              <w:rPr>
                <w:rFonts w:ascii="Arial" w:hAnsi="Arial" w:cs="Arial"/>
                <w:color w:val="auto"/>
                <w:lang w:val="en-GB"/>
              </w:rPr>
            </w:pPr>
          </w:p>
          <w:p w:rsidR="000A6926" w:rsidRDefault="000A6926" w:rsidP="009D132A">
            <w:pPr>
              <w:pStyle w:val="Body"/>
              <w:rPr>
                <w:rFonts w:ascii="Arial" w:hAnsi="Arial" w:cs="Arial"/>
                <w:color w:val="auto"/>
                <w:lang w:val="en-GB"/>
              </w:rPr>
            </w:pPr>
          </w:p>
          <w:p w:rsidR="003310A2" w:rsidRDefault="003310A2" w:rsidP="009D132A">
            <w:pPr>
              <w:pStyle w:val="Body"/>
              <w:rPr>
                <w:rFonts w:ascii="Arial" w:hAnsi="Arial" w:cs="Arial"/>
                <w:color w:val="auto"/>
                <w:lang w:val="en-GB"/>
              </w:rPr>
            </w:pPr>
          </w:p>
          <w:p w:rsidR="000A6926" w:rsidRDefault="000A6926" w:rsidP="009D132A">
            <w:pPr>
              <w:pStyle w:val="Body"/>
              <w:rPr>
                <w:rFonts w:ascii="Arial" w:hAnsi="Arial" w:cs="Arial"/>
                <w:color w:val="auto"/>
                <w:lang w:val="en-GB"/>
              </w:rPr>
            </w:pPr>
          </w:p>
          <w:p w:rsidR="000A6926" w:rsidRPr="007D5200" w:rsidRDefault="00516072" w:rsidP="009D132A">
            <w:pPr>
              <w:pStyle w:val="Body"/>
              <w:rPr>
                <w:rFonts w:ascii="Arial" w:hAnsi="Arial" w:cs="Arial"/>
                <w:color w:val="auto"/>
                <w:lang w:val="en-GB"/>
              </w:rPr>
            </w:pPr>
            <w:r>
              <w:rPr>
                <w:color w:val="auto"/>
                <w:lang w:val="en-GB"/>
              </w:rPr>
              <w:lastRenderedPageBreak/>
              <w:t>22</w:t>
            </w:r>
            <w:r w:rsidRPr="00516072">
              <w:rPr>
                <w:color w:val="auto"/>
                <w:vertAlign w:val="superscript"/>
                <w:lang w:val="en-GB"/>
              </w:rPr>
              <w:t>nd</w:t>
            </w:r>
            <w:r>
              <w:rPr>
                <w:color w:val="auto"/>
                <w:lang w:val="en-GB"/>
              </w:rPr>
              <w:t xml:space="preserve"> December</w:t>
            </w:r>
          </w:p>
        </w:tc>
      </w:tr>
      <w:tr w:rsidR="00306E0F" w:rsidRPr="000D5AD4" w:rsidTr="00561137">
        <w:tc>
          <w:tcPr>
            <w:tcW w:w="227" w:type="pct"/>
          </w:tcPr>
          <w:p w:rsidR="00306E0F" w:rsidRPr="000D5AD4" w:rsidRDefault="00306E0F" w:rsidP="001F3F9E">
            <w:pPr>
              <w:rPr>
                <w:rFonts w:ascii="Arial" w:hAnsi="Arial" w:cs="Arial"/>
              </w:rPr>
            </w:pPr>
            <w:r w:rsidRPr="000D5AD4">
              <w:rPr>
                <w:rFonts w:ascii="Arial" w:hAnsi="Arial" w:cs="Arial"/>
              </w:rPr>
              <w:lastRenderedPageBreak/>
              <w:t>2.</w:t>
            </w:r>
          </w:p>
        </w:tc>
        <w:tc>
          <w:tcPr>
            <w:tcW w:w="2639" w:type="pct"/>
          </w:tcPr>
          <w:p w:rsidR="00306E0F" w:rsidRPr="000D5AD4" w:rsidRDefault="00040830" w:rsidP="007363EE">
            <w:pPr>
              <w:pStyle w:val="Body"/>
              <w:rPr>
                <w:rFonts w:ascii="Arial" w:eastAsia="Arial" w:hAnsi="Arial" w:cs="Arial"/>
                <w:color w:val="auto"/>
                <w:lang w:val="en-GB"/>
              </w:rPr>
            </w:pPr>
            <w:r>
              <w:rPr>
                <w:rFonts w:ascii="Arial"/>
                <w:b/>
                <w:bCs/>
                <w:color w:val="auto"/>
                <w:lang w:val="en-GB"/>
              </w:rPr>
              <w:t>Attendance Report</w:t>
            </w:r>
          </w:p>
          <w:p w:rsidR="00952C4E" w:rsidRDefault="00B4234B" w:rsidP="00850E89">
            <w:pPr>
              <w:pStyle w:val="Body"/>
              <w:rPr>
                <w:rFonts w:ascii="Arial" w:hAnsi="Arial" w:cs="Arial"/>
                <w:color w:val="auto"/>
                <w:lang w:val="en-GB"/>
              </w:rPr>
            </w:pPr>
            <w:r>
              <w:rPr>
                <w:rFonts w:ascii="Arial" w:hAnsi="Arial" w:cs="Arial"/>
                <w:color w:val="auto"/>
                <w:lang w:val="en-GB"/>
              </w:rPr>
              <w:t xml:space="preserve">DC noted that there has been a reduction in the number of payroll hours lost in quarter 2 compared to quarter 2 in 2015. DC said that in average 2015 people reported sick per day compared to 260 per day previously. Psychological sickness continues to have the highest sickness levels. </w:t>
            </w:r>
          </w:p>
          <w:p w:rsidR="00B4234B" w:rsidRDefault="00B4234B" w:rsidP="00850E89">
            <w:pPr>
              <w:pStyle w:val="Body"/>
              <w:rPr>
                <w:rFonts w:ascii="Arial" w:hAnsi="Arial" w:cs="Arial"/>
                <w:color w:val="auto"/>
                <w:lang w:val="en-GB"/>
              </w:rPr>
            </w:pPr>
          </w:p>
          <w:p w:rsidR="00B4234B" w:rsidRDefault="00B4234B" w:rsidP="00850E89">
            <w:pPr>
              <w:pStyle w:val="Body"/>
              <w:rPr>
                <w:rFonts w:ascii="Arial" w:hAnsi="Arial" w:cs="Arial"/>
                <w:color w:val="auto"/>
                <w:lang w:val="en-GB"/>
              </w:rPr>
            </w:pPr>
            <w:r>
              <w:rPr>
                <w:rFonts w:ascii="Arial" w:hAnsi="Arial" w:cs="Arial"/>
                <w:color w:val="auto"/>
                <w:lang w:val="en-GB"/>
              </w:rPr>
              <w:t xml:space="preserve">It was noted that the current year end forecast suggests a significant improvement in sickness. EP is on track for the lowest sickness levels in three years. DC noted that over 400 individuals are on restricted duties and confirmed that the figure </w:t>
            </w:r>
            <w:r w:rsidR="009E0D15">
              <w:rPr>
                <w:rFonts w:ascii="Arial" w:hAnsi="Arial" w:cs="Arial"/>
                <w:color w:val="auto"/>
                <w:lang w:val="en-GB"/>
              </w:rPr>
              <w:t xml:space="preserve">is high and EP is working to ensure that officers are deployed to their full ability. </w:t>
            </w:r>
          </w:p>
          <w:p w:rsidR="009E0D15" w:rsidRDefault="009E0D15" w:rsidP="00850E89">
            <w:pPr>
              <w:pStyle w:val="Body"/>
              <w:rPr>
                <w:rFonts w:ascii="Arial" w:hAnsi="Arial" w:cs="Arial"/>
                <w:color w:val="auto"/>
                <w:lang w:val="en-GB"/>
              </w:rPr>
            </w:pPr>
          </w:p>
          <w:p w:rsidR="009E0D15" w:rsidRDefault="009E0D15" w:rsidP="00E818EE">
            <w:pPr>
              <w:pStyle w:val="Body"/>
              <w:rPr>
                <w:rFonts w:ascii="Arial" w:hAnsi="Arial" w:cs="Arial"/>
                <w:color w:val="auto"/>
                <w:lang w:val="en-GB"/>
              </w:rPr>
            </w:pPr>
            <w:r>
              <w:rPr>
                <w:rFonts w:ascii="Arial" w:hAnsi="Arial" w:cs="Arial"/>
                <w:color w:val="auto"/>
                <w:lang w:val="en-GB"/>
              </w:rPr>
              <w:t xml:space="preserve">Work is on-going to educate officers and staff of medical conditions and a cultural shift is starting to take place. </w:t>
            </w:r>
            <w:r w:rsidR="00E818EE">
              <w:rPr>
                <w:rFonts w:ascii="Arial" w:hAnsi="Arial" w:cs="Arial"/>
                <w:color w:val="auto"/>
                <w:lang w:val="en-GB"/>
              </w:rPr>
              <w:t>MH praised the timely work undertake by Occupational Health. MH said that EP is higher than the national average for the number of individuals on restricted duties however he was confident in the recording of these individuals and noted forces hav</w:t>
            </w:r>
            <w:r w:rsidR="001E6866">
              <w:rPr>
                <w:rFonts w:ascii="Arial" w:hAnsi="Arial" w:cs="Arial"/>
                <w:color w:val="auto"/>
                <w:lang w:val="en-GB"/>
              </w:rPr>
              <w:t>e different recording processes which mean that the raw data is not comparable with other forces as Home Office guidelines are applied differently.</w:t>
            </w:r>
          </w:p>
          <w:p w:rsidR="00E818EE" w:rsidRDefault="00E818EE" w:rsidP="00E818EE">
            <w:pPr>
              <w:pStyle w:val="Body"/>
              <w:rPr>
                <w:rFonts w:ascii="Arial" w:hAnsi="Arial" w:cs="Arial"/>
                <w:color w:val="auto"/>
                <w:lang w:val="en-GB"/>
              </w:rPr>
            </w:pPr>
          </w:p>
          <w:p w:rsidR="00E818EE" w:rsidRDefault="00E818EE" w:rsidP="00E818EE">
            <w:pPr>
              <w:pStyle w:val="Body"/>
              <w:rPr>
                <w:rFonts w:ascii="Arial" w:hAnsi="Arial" w:cs="Arial"/>
                <w:color w:val="auto"/>
                <w:lang w:val="en-GB"/>
              </w:rPr>
            </w:pPr>
            <w:r>
              <w:rPr>
                <w:rFonts w:ascii="Arial" w:hAnsi="Arial" w:cs="Arial"/>
                <w:color w:val="auto"/>
                <w:lang w:val="en-GB"/>
              </w:rPr>
              <w:t>SH said that the trend was improving however in order for this to continue was more of the same required</w:t>
            </w:r>
            <w:r w:rsidR="000B771E">
              <w:rPr>
                <w:rFonts w:ascii="Arial" w:hAnsi="Arial" w:cs="Arial"/>
                <w:color w:val="auto"/>
                <w:lang w:val="en-GB"/>
              </w:rPr>
              <w:t xml:space="preserve"> or something additional</w:t>
            </w:r>
            <w:r>
              <w:rPr>
                <w:rFonts w:ascii="Arial" w:hAnsi="Arial" w:cs="Arial"/>
                <w:color w:val="auto"/>
                <w:lang w:val="en-GB"/>
              </w:rPr>
              <w:t xml:space="preserve">? RL said that the </w:t>
            </w:r>
            <w:r>
              <w:rPr>
                <w:rFonts w:ascii="Arial" w:hAnsi="Arial" w:cs="Arial"/>
                <w:color w:val="auto"/>
                <w:lang w:val="en-GB"/>
              </w:rPr>
              <w:lastRenderedPageBreak/>
              <w:t xml:space="preserve">education work undertaken by EP is likely to result in an increase in sickness for a time as the stigma is removed, in particular psychological sickness. </w:t>
            </w:r>
          </w:p>
          <w:p w:rsidR="00E818EE" w:rsidRDefault="00E818EE" w:rsidP="00E818EE">
            <w:pPr>
              <w:pStyle w:val="Body"/>
              <w:rPr>
                <w:rFonts w:ascii="Arial" w:hAnsi="Arial" w:cs="Arial"/>
                <w:color w:val="auto"/>
                <w:lang w:val="en-GB"/>
              </w:rPr>
            </w:pPr>
          </w:p>
          <w:p w:rsidR="00E818EE" w:rsidRDefault="00E818EE" w:rsidP="00E818EE">
            <w:pPr>
              <w:pStyle w:val="Body"/>
              <w:rPr>
                <w:rFonts w:ascii="Arial" w:hAnsi="Arial" w:cs="Arial"/>
                <w:color w:val="auto"/>
                <w:lang w:val="en-GB"/>
              </w:rPr>
            </w:pPr>
            <w:r>
              <w:rPr>
                <w:rFonts w:ascii="Arial" w:hAnsi="Arial" w:cs="Arial"/>
                <w:color w:val="auto"/>
                <w:lang w:val="en-GB"/>
              </w:rPr>
              <w:t xml:space="preserve">MH said that a continuation of the work that is taking place including </w:t>
            </w:r>
            <w:r w:rsidR="00334E6A">
              <w:rPr>
                <w:rFonts w:ascii="Arial" w:hAnsi="Arial" w:cs="Arial"/>
                <w:color w:val="auto"/>
                <w:lang w:val="en-GB"/>
              </w:rPr>
              <w:t xml:space="preserve">absence support meetings, interventions and review of restricted duties. Work is taking place to review the occupational capacity and what the deployable resource is from those that are on restricted duties. </w:t>
            </w:r>
          </w:p>
          <w:p w:rsidR="00334E6A" w:rsidRDefault="00334E6A" w:rsidP="00E818EE">
            <w:pPr>
              <w:pStyle w:val="Body"/>
              <w:rPr>
                <w:rFonts w:ascii="Arial" w:hAnsi="Arial" w:cs="Arial"/>
                <w:color w:val="auto"/>
                <w:lang w:val="en-GB"/>
              </w:rPr>
            </w:pPr>
          </w:p>
          <w:p w:rsidR="00334E6A" w:rsidRPr="000D5AD4" w:rsidRDefault="00334E6A" w:rsidP="00E818EE">
            <w:pPr>
              <w:pStyle w:val="Body"/>
              <w:rPr>
                <w:rFonts w:ascii="Arial" w:hAnsi="Arial" w:cs="Arial"/>
                <w:color w:val="auto"/>
                <w:lang w:val="en-GB"/>
              </w:rPr>
            </w:pPr>
            <w:r>
              <w:rPr>
                <w:rFonts w:ascii="Arial" w:hAnsi="Arial" w:cs="Arial"/>
                <w:color w:val="auto"/>
                <w:lang w:val="en-GB"/>
              </w:rPr>
              <w:t xml:space="preserve">RH ask RL to come back in January with details of the restricted duties review including a forward looking statement, actions being taken and results expected. </w:t>
            </w:r>
          </w:p>
        </w:tc>
        <w:tc>
          <w:tcPr>
            <w:tcW w:w="989" w:type="pct"/>
          </w:tcPr>
          <w:p w:rsidR="00306E0F" w:rsidRPr="000D5AD4" w:rsidRDefault="00306E0F" w:rsidP="007363EE">
            <w:pPr>
              <w:pStyle w:val="Body"/>
              <w:rPr>
                <w:rFonts w:ascii="Arial" w:eastAsia="Arial" w:hAnsi="Arial" w:cs="Arial"/>
                <w:color w:val="auto"/>
                <w:lang w:val="en-GB"/>
              </w:rPr>
            </w:pPr>
          </w:p>
          <w:p w:rsidR="00D05B7D" w:rsidRDefault="00D05B7D" w:rsidP="009603BF">
            <w:pPr>
              <w:pStyle w:val="Body"/>
              <w:rPr>
                <w:rFonts w:ascii="Arial" w:eastAsia="Arial" w:hAnsi="Arial" w:cs="Arial"/>
                <w:b/>
                <w:bCs/>
                <w:color w:val="auto"/>
                <w:lang w:val="en-GB"/>
              </w:rPr>
            </w:pPr>
          </w:p>
          <w:p w:rsidR="009D132A" w:rsidRDefault="009D132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334E6A" w:rsidRDefault="00334E6A" w:rsidP="009D132A">
            <w:pPr>
              <w:pStyle w:val="Body"/>
              <w:rPr>
                <w:rFonts w:ascii="Arial" w:eastAsia="Arial" w:hAnsi="Arial" w:cs="Arial"/>
                <w:b/>
                <w:bCs/>
                <w:color w:val="auto"/>
                <w:lang w:val="en-GB"/>
              </w:rPr>
            </w:pPr>
          </w:p>
          <w:p w:rsidR="007E300B" w:rsidRDefault="00334E6A" w:rsidP="007E300B">
            <w:pPr>
              <w:rPr>
                <w:color w:val="1F497D"/>
              </w:rPr>
            </w:pPr>
            <w:r>
              <w:rPr>
                <w:rFonts w:ascii="Arial" w:eastAsia="Arial" w:hAnsi="Arial" w:cs="Arial"/>
                <w:b/>
                <w:bCs/>
              </w:rPr>
              <w:t>6</w:t>
            </w:r>
            <w:r w:rsidR="003310A2">
              <w:rPr>
                <w:rFonts w:ascii="Arial" w:eastAsia="Arial" w:hAnsi="Arial" w:cs="Arial"/>
                <w:b/>
                <w:bCs/>
              </w:rPr>
              <w:t>6</w:t>
            </w:r>
            <w:r>
              <w:rPr>
                <w:rFonts w:ascii="Arial" w:eastAsia="Arial" w:hAnsi="Arial" w:cs="Arial"/>
                <w:b/>
                <w:bCs/>
              </w:rPr>
              <w:t xml:space="preserve">/16 – </w:t>
            </w:r>
            <w:r w:rsidR="007E300B" w:rsidRPr="007E300B">
              <w:rPr>
                <w:rFonts w:ascii="Arial" w:eastAsia="Arial" w:hAnsi="Arial" w:cs="Arial"/>
                <w:b/>
                <w:bCs/>
              </w:rPr>
              <w:t xml:space="preserve"> The absence paper in January 2017 to include an update on the on-going work relating to limited duties; this should include an update on the work being undertaken by the Strategic Change Team on the classification of limited duties roles and expected next steps.</w:t>
            </w:r>
            <w:r w:rsidR="007E300B">
              <w:rPr>
                <w:color w:val="1F497D"/>
              </w:rPr>
              <w:t xml:space="preserve"> </w:t>
            </w:r>
          </w:p>
          <w:p w:rsidR="00334E6A" w:rsidRPr="000D5AD4" w:rsidRDefault="00334E6A" w:rsidP="003310A2">
            <w:pPr>
              <w:pStyle w:val="Body"/>
              <w:rPr>
                <w:rFonts w:ascii="Arial" w:eastAsia="Arial" w:hAnsi="Arial" w:cs="Arial"/>
                <w:b/>
                <w:bCs/>
                <w:color w:val="auto"/>
                <w:lang w:val="en-GB"/>
              </w:rPr>
            </w:pPr>
          </w:p>
        </w:tc>
        <w:tc>
          <w:tcPr>
            <w:tcW w:w="545" w:type="pct"/>
          </w:tcPr>
          <w:p w:rsidR="00306E0F" w:rsidRPr="000D5AD4" w:rsidRDefault="00306E0F" w:rsidP="007363EE">
            <w:pPr>
              <w:pStyle w:val="Body"/>
              <w:rPr>
                <w:rFonts w:ascii="Arial" w:eastAsia="Arial" w:hAnsi="Arial" w:cs="Arial"/>
                <w:color w:val="auto"/>
                <w:lang w:val="en-GB"/>
              </w:rPr>
            </w:pPr>
          </w:p>
          <w:p w:rsidR="00D05B7D" w:rsidRDefault="00D05B7D" w:rsidP="007363EE">
            <w:pPr>
              <w:pStyle w:val="Body"/>
              <w:rPr>
                <w:color w:val="auto"/>
                <w:lang w:val="en-GB"/>
              </w:rPr>
            </w:pPr>
          </w:p>
          <w:p w:rsidR="00980D81" w:rsidRDefault="00980D81" w:rsidP="007363EE">
            <w:pPr>
              <w:pStyle w:val="Body"/>
              <w:rPr>
                <w:color w:val="auto"/>
                <w:lang w:val="en-GB"/>
              </w:rPr>
            </w:pPr>
          </w:p>
          <w:p w:rsidR="00D677C0" w:rsidRDefault="00D677C0"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Default="00334E6A" w:rsidP="007363EE">
            <w:pPr>
              <w:pStyle w:val="Body"/>
              <w:rPr>
                <w:color w:val="auto"/>
                <w:lang w:val="en-GB"/>
              </w:rPr>
            </w:pPr>
          </w:p>
          <w:p w:rsidR="00334E6A" w:rsidRPr="000D5AD4" w:rsidRDefault="00334E6A" w:rsidP="007363EE">
            <w:pPr>
              <w:pStyle w:val="Body"/>
              <w:rPr>
                <w:color w:val="auto"/>
                <w:lang w:val="en-GB"/>
              </w:rPr>
            </w:pPr>
            <w:r>
              <w:rPr>
                <w:color w:val="auto"/>
                <w:lang w:val="en-GB"/>
              </w:rPr>
              <w:t>RL/DC</w:t>
            </w:r>
          </w:p>
        </w:tc>
        <w:tc>
          <w:tcPr>
            <w:tcW w:w="599" w:type="pct"/>
          </w:tcPr>
          <w:p w:rsidR="00306E0F" w:rsidRPr="000D5AD4" w:rsidRDefault="00306E0F" w:rsidP="007363EE">
            <w:pPr>
              <w:pStyle w:val="Body"/>
              <w:rPr>
                <w:rFonts w:ascii="Arial" w:eastAsia="Arial" w:hAnsi="Arial" w:cs="Arial"/>
                <w:color w:val="auto"/>
                <w:lang w:val="en-GB"/>
              </w:rPr>
            </w:pPr>
          </w:p>
          <w:p w:rsidR="00306E0F" w:rsidRPr="000D5AD4" w:rsidRDefault="00306E0F" w:rsidP="007363EE">
            <w:pPr>
              <w:pStyle w:val="Body"/>
              <w:rPr>
                <w:rFonts w:ascii="Arial" w:eastAsia="Arial" w:hAnsi="Arial" w:cs="Arial"/>
                <w:color w:val="auto"/>
                <w:lang w:val="en-GB"/>
              </w:rPr>
            </w:pPr>
          </w:p>
          <w:p w:rsidR="00D05B7D" w:rsidRDefault="00D05B7D" w:rsidP="007363EE">
            <w:pPr>
              <w:pStyle w:val="Body"/>
              <w:rPr>
                <w:rFonts w:ascii="Arial" w:eastAsia="Arial" w:hAnsi="Arial" w:cs="Arial"/>
                <w:color w:val="auto"/>
                <w:lang w:val="en-GB"/>
              </w:rPr>
            </w:pPr>
          </w:p>
          <w:p w:rsidR="00D677C0" w:rsidRDefault="00D677C0"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Default="00334E6A" w:rsidP="009603BF">
            <w:pPr>
              <w:pStyle w:val="Body"/>
              <w:rPr>
                <w:color w:val="auto"/>
                <w:lang w:val="en-GB"/>
              </w:rPr>
            </w:pPr>
          </w:p>
          <w:p w:rsidR="00334E6A" w:rsidRPr="000D5AD4" w:rsidRDefault="003310A2" w:rsidP="009603BF">
            <w:pPr>
              <w:pStyle w:val="Body"/>
              <w:rPr>
                <w:color w:val="auto"/>
                <w:lang w:val="en-GB"/>
              </w:rPr>
            </w:pPr>
            <w:r>
              <w:rPr>
                <w:color w:val="auto"/>
                <w:lang w:val="en-GB"/>
              </w:rPr>
              <w:t>27</w:t>
            </w:r>
            <w:r w:rsidRPr="003310A2">
              <w:rPr>
                <w:color w:val="auto"/>
                <w:vertAlign w:val="superscript"/>
                <w:lang w:val="en-GB"/>
              </w:rPr>
              <w:t>th</w:t>
            </w:r>
            <w:r>
              <w:rPr>
                <w:color w:val="auto"/>
                <w:lang w:val="en-GB"/>
              </w:rPr>
              <w:t xml:space="preserve"> </w:t>
            </w:r>
            <w:r w:rsidR="00334E6A">
              <w:rPr>
                <w:color w:val="auto"/>
                <w:lang w:val="en-GB"/>
              </w:rPr>
              <w:t>January 2017</w:t>
            </w:r>
          </w:p>
        </w:tc>
      </w:tr>
      <w:tr w:rsidR="00306E0F" w:rsidRPr="000D5AD4" w:rsidTr="00561137">
        <w:tc>
          <w:tcPr>
            <w:tcW w:w="227" w:type="pct"/>
          </w:tcPr>
          <w:p w:rsidR="00306E0F" w:rsidRPr="000D5AD4" w:rsidRDefault="00306E0F" w:rsidP="001F3F9E">
            <w:pPr>
              <w:rPr>
                <w:rFonts w:ascii="Arial" w:hAnsi="Arial" w:cs="Arial"/>
                <w:color w:val="0070C0"/>
              </w:rPr>
            </w:pPr>
            <w:r w:rsidRPr="000D5AD4">
              <w:rPr>
                <w:rFonts w:ascii="Arial" w:hAnsi="Arial" w:cs="Arial"/>
              </w:rPr>
              <w:lastRenderedPageBreak/>
              <w:t>3.</w:t>
            </w:r>
          </w:p>
        </w:tc>
        <w:tc>
          <w:tcPr>
            <w:tcW w:w="2639" w:type="pct"/>
          </w:tcPr>
          <w:p w:rsidR="00306E0F" w:rsidRPr="000D5AD4" w:rsidRDefault="00040830" w:rsidP="007363EE">
            <w:pPr>
              <w:pStyle w:val="Body"/>
              <w:rPr>
                <w:rFonts w:ascii="Arial" w:eastAsia="Arial" w:hAnsi="Arial" w:cs="Arial"/>
                <w:b/>
                <w:bCs/>
                <w:color w:val="auto"/>
                <w:lang w:val="en-GB"/>
              </w:rPr>
            </w:pPr>
            <w:r>
              <w:rPr>
                <w:rFonts w:ascii="Arial"/>
                <w:b/>
                <w:bCs/>
                <w:color w:val="auto"/>
                <w:lang w:val="en-GB"/>
              </w:rPr>
              <w:t>Local Policing</w:t>
            </w:r>
          </w:p>
          <w:p w:rsidR="00306E0F" w:rsidRDefault="00FD34D9" w:rsidP="009603BF">
            <w:pPr>
              <w:pStyle w:val="Body"/>
              <w:rPr>
                <w:rFonts w:ascii="Arial" w:eastAsia="Arial" w:hAnsi="Arial" w:cs="Arial"/>
                <w:color w:val="auto"/>
                <w:lang w:val="en-GB"/>
              </w:rPr>
            </w:pPr>
            <w:r>
              <w:rPr>
                <w:rFonts w:ascii="Arial" w:eastAsia="Arial" w:hAnsi="Arial" w:cs="Arial"/>
                <w:color w:val="auto"/>
                <w:lang w:val="en-GB"/>
              </w:rPr>
              <w:t>SD said that the community hubs were focused in the Community Policing Teams (CPT)</w:t>
            </w:r>
            <w:proofErr w:type="gramStart"/>
            <w:r>
              <w:rPr>
                <w:rFonts w:ascii="Arial" w:eastAsia="Arial" w:hAnsi="Arial" w:cs="Arial"/>
                <w:color w:val="auto"/>
                <w:lang w:val="en-GB"/>
              </w:rPr>
              <w:t>,</w:t>
            </w:r>
            <w:proofErr w:type="gramEnd"/>
            <w:r>
              <w:rPr>
                <w:rFonts w:ascii="Arial" w:eastAsia="Arial" w:hAnsi="Arial" w:cs="Arial"/>
                <w:color w:val="auto"/>
                <w:lang w:val="en-GB"/>
              </w:rPr>
              <w:t xml:space="preserve"> SD noted that the CPTs are no longer being used to deal with day to day demand which meant that they were better able to deal with </w:t>
            </w:r>
            <w:r w:rsidR="008B3EC4">
              <w:rPr>
                <w:rFonts w:ascii="Arial" w:eastAsia="Arial" w:hAnsi="Arial" w:cs="Arial"/>
                <w:color w:val="auto"/>
                <w:lang w:val="en-GB"/>
              </w:rPr>
              <w:t xml:space="preserve">CSP priorities. </w:t>
            </w:r>
          </w:p>
          <w:p w:rsidR="008B3EC4" w:rsidRDefault="008B3EC4" w:rsidP="009603BF">
            <w:pPr>
              <w:pStyle w:val="Body"/>
              <w:rPr>
                <w:rFonts w:ascii="Arial" w:eastAsia="Arial" w:hAnsi="Arial" w:cs="Arial"/>
                <w:color w:val="auto"/>
                <w:lang w:val="en-GB"/>
              </w:rPr>
            </w:pPr>
          </w:p>
          <w:p w:rsidR="008B3EC4" w:rsidRDefault="008B3EC4" w:rsidP="009603BF">
            <w:pPr>
              <w:pStyle w:val="Body"/>
              <w:rPr>
                <w:rFonts w:ascii="Arial" w:eastAsia="Arial" w:hAnsi="Arial" w:cs="Arial"/>
                <w:color w:val="auto"/>
                <w:lang w:val="en-GB"/>
              </w:rPr>
            </w:pPr>
            <w:r>
              <w:rPr>
                <w:rFonts w:ascii="Arial" w:eastAsia="Arial" w:hAnsi="Arial" w:cs="Arial"/>
                <w:color w:val="auto"/>
                <w:lang w:val="en-GB"/>
              </w:rPr>
              <w:t>SD provided an update on the progress with community hubs</w:t>
            </w:r>
            <w:r w:rsidR="00A47673">
              <w:rPr>
                <w:rFonts w:ascii="Arial" w:eastAsia="Arial" w:hAnsi="Arial" w:cs="Arial"/>
                <w:color w:val="auto"/>
                <w:lang w:val="en-GB"/>
              </w:rPr>
              <w:t>:</w:t>
            </w:r>
          </w:p>
          <w:p w:rsidR="00A47673" w:rsidRDefault="00A47673" w:rsidP="009603BF">
            <w:pPr>
              <w:pStyle w:val="Body"/>
              <w:rPr>
                <w:rFonts w:ascii="Arial" w:eastAsia="Arial" w:hAnsi="Arial" w:cs="Arial"/>
                <w:color w:val="auto"/>
                <w:lang w:val="en-GB"/>
              </w:rPr>
            </w:pPr>
            <w:proofErr w:type="spellStart"/>
            <w:r>
              <w:rPr>
                <w:rFonts w:ascii="Arial" w:eastAsia="Arial" w:hAnsi="Arial" w:cs="Arial"/>
                <w:color w:val="auto"/>
                <w:lang w:val="en-GB"/>
              </w:rPr>
              <w:t>Tendring</w:t>
            </w:r>
            <w:proofErr w:type="spellEnd"/>
            <w:r>
              <w:rPr>
                <w:rFonts w:ascii="Arial" w:eastAsia="Arial" w:hAnsi="Arial" w:cs="Arial"/>
                <w:color w:val="auto"/>
                <w:lang w:val="en-GB"/>
              </w:rPr>
              <w:t xml:space="preserve"> – Currently working out of the police station however more space is required. RH suggested the local library.</w:t>
            </w:r>
          </w:p>
          <w:p w:rsidR="00A47673" w:rsidRDefault="00A47673" w:rsidP="009603BF">
            <w:pPr>
              <w:pStyle w:val="Body"/>
              <w:rPr>
                <w:rFonts w:ascii="Arial" w:eastAsia="Arial" w:hAnsi="Arial" w:cs="Arial"/>
                <w:color w:val="auto"/>
                <w:lang w:val="en-GB"/>
              </w:rPr>
            </w:pPr>
            <w:r>
              <w:rPr>
                <w:rFonts w:ascii="Arial" w:eastAsia="Arial" w:hAnsi="Arial" w:cs="Arial"/>
                <w:color w:val="auto"/>
                <w:lang w:val="en-GB"/>
              </w:rPr>
              <w:t xml:space="preserve">Colchester – SD said that the hub </w:t>
            </w:r>
            <w:r w:rsidR="000B771E">
              <w:rPr>
                <w:rFonts w:ascii="Arial" w:eastAsia="Arial" w:hAnsi="Arial" w:cs="Arial"/>
                <w:color w:val="auto"/>
                <w:lang w:val="en-GB"/>
              </w:rPr>
              <w:t xml:space="preserve">had now been launched and </w:t>
            </w:r>
            <w:r>
              <w:rPr>
                <w:rFonts w:ascii="Arial" w:eastAsia="Arial" w:hAnsi="Arial" w:cs="Arial"/>
                <w:color w:val="auto"/>
                <w:lang w:val="en-GB"/>
              </w:rPr>
              <w:t>was working well</w:t>
            </w:r>
          </w:p>
          <w:p w:rsidR="00A47673" w:rsidRDefault="00A47673" w:rsidP="009603BF">
            <w:pPr>
              <w:pStyle w:val="Body"/>
              <w:rPr>
                <w:rFonts w:ascii="Arial" w:eastAsia="Arial" w:hAnsi="Arial" w:cs="Arial"/>
                <w:color w:val="auto"/>
                <w:lang w:val="en-GB"/>
              </w:rPr>
            </w:pPr>
            <w:r>
              <w:rPr>
                <w:rFonts w:ascii="Arial" w:eastAsia="Arial" w:hAnsi="Arial" w:cs="Arial"/>
                <w:color w:val="auto"/>
                <w:lang w:val="en-GB"/>
              </w:rPr>
              <w:t>Braintree – currently operating at Braintree station</w:t>
            </w:r>
            <w:r w:rsidR="000B771E">
              <w:rPr>
                <w:rFonts w:ascii="Arial" w:eastAsia="Arial" w:hAnsi="Arial" w:cs="Arial"/>
                <w:color w:val="auto"/>
                <w:lang w:val="en-GB"/>
              </w:rPr>
              <w:t>. Currently less desire for physical co-location</w:t>
            </w:r>
          </w:p>
          <w:p w:rsidR="00A47673" w:rsidRDefault="00A47673" w:rsidP="009603BF">
            <w:pPr>
              <w:pStyle w:val="Body"/>
              <w:rPr>
                <w:rFonts w:ascii="Arial" w:eastAsia="Arial" w:hAnsi="Arial" w:cs="Arial"/>
                <w:color w:val="auto"/>
                <w:lang w:val="en-GB"/>
              </w:rPr>
            </w:pPr>
            <w:proofErr w:type="spellStart"/>
            <w:r>
              <w:rPr>
                <w:rFonts w:ascii="Arial" w:eastAsia="Arial" w:hAnsi="Arial" w:cs="Arial"/>
                <w:color w:val="auto"/>
                <w:lang w:val="en-GB"/>
              </w:rPr>
              <w:t>Uttlesford</w:t>
            </w:r>
            <w:proofErr w:type="spellEnd"/>
            <w:r>
              <w:rPr>
                <w:rFonts w:ascii="Arial" w:eastAsia="Arial" w:hAnsi="Arial" w:cs="Arial"/>
                <w:color w:val="auto"/>
                <w:lang w:val="en-GB"/>
              </w:rPr>
              <w:t xml:space="preserve"> – SD noted that there was a fee to be paid however this was be offset by the sale Saffron Walden and the CPT was be within the lodge</w:t>
            </w:r>
          </w:p>
          <w:p w:rsidR="00A47673" w:rsidRDefault="00A47673" w:rsidP="009603BF">
            <w:pPr>
              <w:pStyle w:val="Body"/>
              <w:rPr>
                <w:rFonts w:ascii="Arial" w:eastAsia="Arial" w:hAnsi="Arial" w:cs="Arial"/>
                <w:color w:val="auto"/>
                <w:lang w:val="en-GB"/>
              </w:rPr>
            </w:pPr>
            <w:r>
              <w:rPr>
                <w:rFonts w:ascii="Arial" w:eastAsia="Arial" w:hAnsi="Arial" w:cs="Arial"/>
                <w:color w:val="auto"/>
                <w:lang w:val="en-GB"/>
              </w:rPr>
              <w:lastRenderedPageBreak/>
              <w:t>Chelmsford – currently working out of the police station, potential to work out of the council offices however there is a rent charge</w:t>
            </w:r>
          </w:p>
          <w:p w:rsidR="00A47673" w:rsidRDefault="00A47673" w:rsidP="009603BF">
            <w:pPr>
              <w:pStyle w:val="Body"/>
              <w:rPr>
                <w:rFonts w:ascii="Arial" w:eastAsia="Arial" w:hAnsi="Arial" w:cs="Arial"/>
                <w:color w:val="auto"/>
                <w:lang w:val="en-GB"/>
              </w:rPr>
            </w:pPr>
            <w:r>
              <w:rPr>
                <w:rFonts w:ascii="Arial" w:eastAsia="Arial" w:hAnsi="Arial" w:cs="Arial"/>
                <w:color w:val="auto"/>
                <w:lang w:val="en-GB"/>
              </w:rPr>
              <w:t xml:space="preserve">Southend </w:t>
            </w:r>
            <w:r w:rsidR="0034397E">
              <w:rPr>
                <w:rFonts w:ascii="Arial" w:eastAsia="Arial" w:hAnsi="Arial" w:cs="Arial"/>
                <w:color w:val="auto"/>
                <w:lang w:val="en-GB"/>
              </w:rPr>
              <w:t>–</w:t>
            </w:r>
            <w:r>
              <w:rPr>
                <w:rFonts w:ascii="Arial" w:eastAsia="Arial" w:hAnsi="Arial" w:cs="Arial"/>
                <w:color w:val="auto"/>
                <w:lang w:val="en-GB"/>
              </w:rPr>
              <w:t xml:space="preserve"> </w:t>
            </w:r>
            <w:r w:rsidR="0034397E">
              <w:rPr>
                <w:rFonts w:ascii="Arial" w:eastAsia="Arial" w:hAnsi="Arial" w:cs="Arial"/>
                <w:color w:val="auto"/>
                <w:lang w:val="en-GB"/>
              </w:rPr>
              <w:t>recently refurbished and a number of partners working from the hub</w:t>
            </w:r>
          </w:p>
          <w:p w:rsidR="0034397E" w:rsidRDefault="0034397E" w:rsidP="009603BF">
            <w:pPr>
              <w:pStyle w:val="Body"/>
              <w:rPr>
                <w:rFonts w:ascii="Arial" w:eastAsia="Arial" w:hAnsi="Arial" w:cs="Arial"/>
                <w:color w:val="auto"/>
                <w:lang w:val="en-GB"/>
              </w:rPr>
            </w:pPr>
            <w:r>
              <w:rPr>
                <w:rFonts w:ascii="Arial" w:eastAsia="Arial" w:hAnsi="Arial" w:cs="Arial"/>
                <w:color w:val="auto"/>
                <w:lang w:val="en-GB"/>
              </w:rPr>
              <w:t>Castle Point/Rochford – location has been identified</w:t>
            </w:r>
          </w:p>
          <w:p w:rsidR="0034397E" w:rsidRDefault="0034397E" w:rsidP="009603BF">
            <w:pPr>
              <w:pStyle w:val="Body"/>
              <w:rPr>
                <w:rFonts w:ascii="Arial" w:eastAsia="Arial" w:hAnsi="Arial" w:cs="Arial"/>
                <w:color w:val="auto"/>
                <w:lang w:val="en-GB"/>
              </w:rPr>
            </w:pPr>
            <w:r>
              <w:rPr>
                <w:rFonts w:ascii="Arial" w:eastAsia="Arial" w:hAnsi="Arial" w:cs="Arial"/>
                <w:color w:val="auto"/>
                <w:lang w:val="en-GB"/>
              </w:rPr>
              <w:t>Basildon – potential options are being considered including the local fire station</w:t>
            </w:r>
          </w:p>
          <w:p w:rsidR="0034397E" w:rsidRDefault="0034397E" w:rsidP="009603BF">
            <w:pPr>
              <w:pStyle w:val="Body"/>
              <w:rPr>
                <w:rFonts w:ascii="Arial" w:eastAsia="Arial" w:hAnsi="Arial" w:cs="Arial"/>
                <w:color w:val="auto"/>
                <w:lang w:val="en-GB"/>
              </w:rPr>
            </w:pPr>
            <w:r>
              <w:rPr>
                <w:rFonts w:ascii="Arial" w:eastAsia="Arial" w:hAnsi="Arial" w:cs="Arial"/>
                <w:color w:val="auto"/>
                <w:lang w:val="en-GB"/>
              </w:rPr>
              <w:t>Thurrock – work on-going to identify space</w:t>
            </w:r>
          </w:p>
          <w:p w:rsidR="0034397E" w:rsidRDefault="0034397E" w:rsidP="009603BF">
            <w:pPr>
              <w:pStyle w:val="Body"/>
              <w:rPr>
                <w:rFonts w:ascii="Arial" w:eastAsia="Arial" w:hAnsi="Arial" w:cs="Arial"/>
                <w:color w:val="auto"/>
                <w:lang w:val="en-GB"/>
              </w:rPr>
            </w:pPr>
            <w:r>
              <w:rPr>
                <w:rFonts w:ascii="Arial" w:eastAsia="Arial" w:hAnsi="Arial" w:cs="Arial"/>
                <w:color w:val="auto"/>
                <w:lang w:val="en-GB"/>
              </w:rPr>
              <w:t xml:space="preserve">Epping – currently hot-desking however there has been some </w:t>
            </w:r>
            <w:r w:rsidR="000B771E">
              <w:rPr>
                <w:rFonts w:ascii="Arial" w:eastAsia="Arial" w:hAnsi="Arial" w:cs="Arial"/>
                <w:color w:val="auto"/>
                <w:lang w:val="en-GB"/>
              </w:rPr>
              <w:t xml:space="preserve">reluctance </w:t>
            </w:r>
            <w:r>
              <w:rPr>
                <w:rFonts w:ascii="Arial" w:eastAsia="Arial" w:hAnsi="Arial" w:cs="Arial"/>
                <w:color w:val="auto"/>
                <w:lang w:val="en-GB"/>
              </w:rPr>
              <w:t>from the local council</w:t>
            </w:r>
            <w:r w:rsidR="000B771E">
              <w:rPr>
                <w:rFonts w:ascii="Arial" w:eastAsia="Arial" w:hAnsi="Arial" w:cs="Arial"/>
                <w:color w:val="auto"/>
                <w:lang w:val="en-GB"/>
              </w:rPr>
              <w:t xml:space="preserve"> to co-locate</w:t>
            </w:r>
            <w:r>
              <w:rPr>
                <w:rFonts w:ascii="Arial" w:eastAsia="Arial" w:hAnsi="Arial" w:cs="Arial"/>
                <w:color w:val="auto"/>
                <w:lang w:val="en-GB"/>
              </w:rPr>
              <w:t>. Harlow – currently working out of police station however due to assess the local fire station as a potential site</w:t>
            </w:r>
            <w:r w:rsidR="000B771E">
              <w:rPr>
                <w:rFonts w:ascii="Arial" w:eastAsia="Arial" w:hAnsi="Arial" w:cs="Arial"/>
                <w:color w:val="auto"/>
                <w:lang w:val="en-GB"/>
              </w:rPr>
              <w:t>.</w:t>
            </w:r>
          </w:p>
          <w:p w:rsidR="000B771E" w:rsidRDefault="000B771E" w:rsidP="009603BF">
            <w:pPr>
              <w:pStyle w:val="Body"/>
              <w:rPr>
                <w:rFonts w:ascii="Arial" w:eastAsia="Arial" w:hAnsi="Arial" w:cs="Arial"/>
                <w:color w:val="auto"/>
                <w:lang w:val="en-GB"/>
              </w:rPr>
            </w:pPr>
          </w:p>
          <w:p w:rsidR="000B771E" w:rsidRDefault="000B771E" w:rsidP="009603BF">
            <w:pPr>
              <w:pStyle w:val="Body"/>
              <w:rPr>
                <w:rFonts w:ascii="Arial" w:eastAsia="Arial" w:hAnsi="Arial" w:cs="Arial"/>
                <w:color w:val="auto"/>
                <w:lang w:val="en-GB"/>
              </w:rPr>
            </w:pPr>
            <w:r>
              <w:rPr>
                <w:rFonts w:ascii="Arial" w:eastAsia="Arial" w:hAnsi="Arial" w:cs="Arial"/>
                <w:color w:val="auto"/>
                <w:lang w:val="en-GB"/>
              </w:rPr>
              <w:t xml:space="preserve">RH agreed to have discussions with local council leaders to progress hub issues. </w:t>
            </w:r>
          </w:p>
          <w:p w:rsidR="009D1AFD" w:rsidRDefault="009D1AFD" w:rsidP="009D132A">
            <w:pPr>
              <w:pStyle w:val="Body"/>
              <w:rPr>
                <w:rFonts w:ascii="Arial" w:eastAsia="Arial" w:hAnsi="Arial" w:cs="Arial"/>
                <w:color w:val="auto"/>
                <w:lang w:val="en-GB"/>
              </w:rPr>
            </w:pPr>
          </w:p>
          <w:p w:rsidR="00B6236F" w:rsidRDefault="003E61F0" w:rsidP="009D132A">
            <w:pPr>
              <w:pStyle w:val="Body"/>
              <w:rPr>
                <w:rFonts w:ascii="Arial" w:eastAsia="Arial" w:hAnsi="Arial" w:cs="Arial"/>
                <w:color w:val="auto"/>
                <w:lang w:val="en-GB"/>
              </w:rPr>
            </w:pPr>
            <w:r>
              <w:rPr>
                <w:rFonts w:ascii="Arial" w:eastAsia="Arial" w:hAnsi="Arial" w:cs="Arial"/>
                <w:color w:val="auto"/>
                <w:lang w:val="en-GB"/>
              </w:rPr>
              <w:t>Discussion was held on how the success of the hubs can be measured. SD said that all CSP have different priorities, some of which overlap, therefore the success measure</w:t>
            </w:r>
            <w:r w:rsidR="00B6236F">
              <w:rPr>
                <w:rFonts w:ascii="Arial" w:eastAsia="Arial" w:hAnsi="Arial" w:cs="Arial"/>
                <w:color w:val="auto"/>
                <w:lang w:val="en-GB"/>
              </w:rPr>
              <w:t xml:space="preserve">s should be linked to the priority areas. </w:t>
            </w:r>
            <w:proofErr w:type="spellStart"/>
            <w:r w:rsidR="00B6236F">
              <w:rPr>
                <w:rFonts w:ascii="Arial" w:eastAsia="Arial" w:hAnsi="Arial" w:cs="Arial"/>
                <w:color w:val="auto"/>
                <w:lang w:val="en-GB"/>
              </w:rPr>
              <w:t>Tendring</w:t>
            </w:r>
            <w:proofErr w:type="spellEnd"/>
            <w:r w:rsidR="00B6236F">
              <w:rPr>
                <w:rFonts w:ascii="Arial" w:eastAsia="Arial" w:hAnsi="Arial" w:cs="Arial"/>
                <w:color w:val="auto"/>
                <w:lang w:val="en-GB"/>
              </w:rPr>
              <w:t xml:space="preserve"> has seen a reduction in key crime types since the introduction of the hub. </w:t>
            </w:r>
          </w:p>
          <w:p w:rsidR="00B6236F" w:rsidRDefault="00B6236F" w:rsidP="009D132A">
            <w:pPr>
              <w:pStyle w:val="Body"/>
              <w:rPr>
                <w:rFonts w:ascii="Arial" w:eastAsia="Arial" w:hAnsi="Arial" w:cs="Arial"/>
                <w:color w:val="auto"/>
                <w:lang w:val="en-GB"/>
              </w:rPr>
            </w:pPr>
          </w:p>
          <w:p w:rsidR="00D542E9" w:rsidRDefault="00B6236F" w:rsidP="009D132A">
            <w:pPr>
              <w:pStyle w:val="Body"/>
              <w:rPr>
                <w:rFonts w:ascii="Arial" w:eastAsia="Arial" w:hAnsi="Arial" w:cs="Arial"/>
                <w:color w:val="auto"/>
                <w:lang w:val="en-GB"/>
              </w:rPr>
            </w:pPr>
            <w:r>
              <w:rPr>
                <w:rFonts w:ascii="Arial" w:eastAsia="Arial" w:hAnsi="Arial" w:cs="Arial"/>
                <w:color w:val="auto"/>
                <w:lang w:val="en-GB"/>
              </w:rPr>
              <w:t xml:space="preserve">SH noted that success measures were included within the original community hub document and that the document should be revisited and updated. </w:t>
            </w:r>
          </w:p>
          <w:p w:rsidR="00D542E9" w:rsidRDefault="00D542E9" w:rsidP="009D132A">
            <w:pPr>
              <w:pStyle w:val="Body"/>
              <w:rPr>
                <w:rFonts w:ascii="Arial" w:eastAsia="Arial" w:hAnsi="Arial" w:cs="Arial"/>
                <w:color w:val="auto"/>
                <w:lang w:val="en-GB"/>
              </w:rPr>
            </w:pPr>
          </w:p>
          <w:p w:rsidR="003E0407" w:rsidRPr="000D5AD4" w:rsidRDefault="00D542E9" w:rsidP="001E6866">
            <w:pPr>
              <w:pStyle w:val="Body"/>
              <w:rPr>
                <w:rFonts w:ascii="Arial" w:eastAsia="Arial" w:hAnsi="Arial" w:cs="Arial"/>
                <w:color w:val="auto"/>
                <w:lang w:val="en-GB"/>
              </w:rPr>
            </w:pPr>
            <w:r>
              <w:rPr>
                <w:rFonts w:ascii="Arial" w:eastAsia="Arial" w:hAnsi="Arial" w:cs="Arial"/>
                <w:color w:val="auto"/>
                <w:lang w:val="en-GB"/>
              </w:rPr>
              <w:t xml:space="preserve">VH said that LSE </w:t>
            </w:r>
            <w:r w:rsidR="001E6866">
              <w:rPr>
                <w:rFonts w:ascii="Arial" w:eastAsia="Arial" w:hAnsi="Arial" w:cs="Arial"/>
                <w:color w:val="auto"/>
                <w:lang w:val="en-GB"/>
              </w:rPr>
              <w:t>are undertaking work on</w:t>
            </w:r>
            <w:r>
              <w:rPr>
                <w:rFonts w:ascii="Arial" w:eastAsia="Arial" w:hAnsi="Arial" w:cs="Arial"/>
                <w:color w:val="auto"/>
                <w:lang w:val="en-GB"/>
              </w:rPr>
              <w:t xml:space="preserve"> crime prevention and that actuals and forecast data could be compared. SH said that the success measures need to be developed and include all parties including Safer Essex. </w:t>
            </w:r>
            <w:r w:rsidR="002A71B9">
              <w:rPr>
                <w:rFonts w:ascii="Arial" w:eastAsia="Arial" w:hAnsi="Arial" w:cs="Arial"/>
                <w:color w:val="auto"/>
                <w:lang w:val="en-GB"/>
              </w:rPr>
              <w:t xml:space="preserve"> </w:t>
            </w:r>
          </w:p>
        </w:tc>
        <w:tc>
          <w:tcPr>
            <w:tcW w:w="989" w:type="pct"/>
          </w:tcPr>
          <w:p w:rsidR="003E0407" w:rsidRDefault="003E0407" w:rsidP="007363EE">
            <w:pPr>
              <w:pStyle w:val="Body"/>
              <w:rPr>
                <w:rFonts w:ascii="Arial" w:eastAsia="Arial" w:hAnsi="Arial" w:cs="Arial"/>
                <w:b/>
                <w:bCs/>
                <w:color w:val="auto"/>
                <w:lang w:val="en-GB"/>
              </w:rPr>
            </w:pPr>
            <w:r w:rsidRPr="003E0407">
              <w:rPr>
                <w:rFonts w:ascii="Arial" w:eastAsia="Arial" w:hAnsi="Arial" w:cs="Arial"/>
                <w:b/>
                <w:bCs/>
                <w:color w:val="auto"/>
                <w:lang w:val="en-GB"/>
              </w:rPr>
              <w:lastRenderedPageBreak/>
              <w:t xml:space="preserve"> </w:t>
            </w:r>
          </w:p>
          <w:p w:rsidR="00AA6BBE" w:rsidRDefault="00AA6BBE" w:rsidP="007363EE">
            <w:pPr>
              <w:pStyle w:val="Body"/>
              <w:rPr>
                <w:rFonts w:ascii="Arial" w:eastAsia="Arial" w:hAnsi="Arial" w:cs="Arial"/>
                <w:b/>
                <w:bCs/>
                <w:color w:val="auto"/>
                <w:lang w:val="en-GB"/>
              </w:rPr>
            </w:pPr>
          </w:p>
          <w:p w:rsidR="00AA6BBE" w:rsidRDefault="00AA6BBE" w:rsidP="007363EE">
            <w:pPr>
              <w:pStyle w:val="Body"/>
              <w:rPr>
                <w:rFonts w:ascii="Arial" w:eastAsia="Arial" w:hAnsi="Arial" w:cs="Arial"/>
                <w:b/>
                <w:bCs/>
                <w:color w:val="auto"/>
                <w:lang w:val="en-GB"/>
              </w:rPr>
            </w:pPr>
          </w:p>
          <w:p w:rsidR="00AA6BBE" w:rsidRDefault="00AA6BBE" w:rsidP="007363EE">
            <w:pPr>
              <w:pStyle w:val="Body"/>
              <w:rPr>
                <w:rFonts w:ascii="Arial" w:eastAsia="Arial" w:hAnsi="Arial" w:cs="Arial"/>
                <w:b/>
                <w:bCs/>
                <w:color w:val="auto"/>
                <w:lang w:val="en-GB"/>
              </w:rPr>
            </w:pPr>
          </w:p>
          <w:p w:rsidR="00AA6BBE" w:rsidRDefault="00AA6BBE" w:rsidP="007363EE">
            <w:pPr>
              <w:pStyle w:val="Body"/>
              <w:rPr>
                <w:rFonts w:ascii="Arial" w:eastAsia="Arial" w:hAnsi="Arial" w:cs="Arial"/>
                <w:b/>
                <w:bCs/>
                <w:color w:val="auto"/>
                <w:lang w:val="en-GB"/>
              </w:rPr>
            </w:pPr>
          </w:p>
          <w:p w:rsidR="00AA6BBE" w:rsidRDefault="00AA6BBE" w:rsidP="007363EE">
            <w:pPr>
              <w:pStyle w:val="Body"/>
              <w:rPr>
                <w:rFonts w:ascii="Arial" w:eastAsia="Arial" w:hAnsi="Arial" w:cs="Arial"/>
                <w:b/>
                <w:bCs/>
                <w:color w:val="auto"/>
                <w:lang w:val="en-GB"/>
              </w:rPr>
            </w:pPr>
          </w:p>
          <w:p w:rsidR="00AA6BBE" w:rsidRDefault="00AA6BBE" w:rsidP="007363EE">
            <w:pPr>
              <w:pStyle w:val="Body"/>
              <w:rPr>
                <w:rFonts w:ascii="Arial" w:eastAsia="Arial" w:hAnsi="Arial" w:cs="Arial"/>
                <w:b/>
                <w:bCs/>
                <w:color w:val="auto"/>
                <w:lang w:val="en-GB"/>
              </w:rPr>
            </w:pPr>
          </w:p>
          <w:p w:rsidR="00AA6BBE" w:rsidRDefault="003310A2" w:rsidP="007363EE">
            <w:pPr>
              <w:pStyle w:val="Body"/>
              <w:rPr>
                <w:rFonts w:ascii="Arial" w:eastAsia="Arial" w:hAnsi="Arial" w:cs="Arial"/>
                <w:b/>
                <w:bCs/>
                <w:color w:val="auto"/>
                <w:lang w:val="en-GB"/>
              </w:rPr>
            </w:pPr>
            <w:r>
              <w:rPr>
                <w:rFonts w:ascii="Arial" w:eastAsia="Arial" w:hAnsi="Arial" w:cs="Arial"/>
                <w:b/>
                <w:bCs/>
                <w:color w:val="auto"/>
                <w:lang w:val="en-GB"/>
              </w:rPr>
              <w:t>67</w:t>
            </w:r>
            <w:r w:rsidR="00AA6BBE">
              <w:rPr>
                <w:rFonts w:ascii="Arial" w:eastAsia="Arial" w:hAnsi="Arial" w:cs="Arial"/>
                <w:b/>
                <w:bCs/>
                <w:color w:val="auto"/>
                <w:lang w:val="en-GB"/>
              </w:rPr>
              <w:t xml:space="preserve">/16 – RH to </w:t>
            </w:r>
            <w:r w:rsidR="000B771E">
              <w:rPr>
                <w:rFonts w:ascii="Arial" w:eastAsia="Arial" w:hAnsi="Arial" w:cs="Arial"/>
                <w:b/>
                <w:bCs/>
                <w:color w:val="auto"/>
                <w:lang w:val="en-GB"/>
              </w:rPr>
              <w:t xml:space="preserve">discuss </w:t>
            </w:r>
            <w:r w:rsidR="00AA6BBE">
              <w:rPr>
                <w:rFonts w:ascii="Arial" w:eastAsia="Arial" w:hAnsi="Arial" w:cs="Arial"/>
                <w:b/>
                <w:bCs/>
                <w:color w:val="auto"/>
                <w:lang w:val="en-GB"/>
              </w:rPr>
              <w:t>community hubs with Chelmsford, Braintree and Thurrock</w:t>
            </w: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Default="003026A6" w:rsidP="007363EE">
            <w:pPr>
              <w:pStyle w:val="Body"/>
              <w:rPr>
                <w:rFonts w:ascii="Arial" w:eastAsia="Arial" w:hAnsi="Arial" w:cs="Arial"/>
                <w:b/>
                <w:bCs/>
                <w:color w:val="auto"/>
                <w:lang w:val="en-GB"/>
              </w:rPr>
            </w:pPr>
          </w:p>
          <w:p w:rsidR="003026A6" w:rsidRPr="000D5AD4" w:rsidRDefault="003310A2" w:rsidP="007363EE">
            <w:pPr>
              <w:pStyle w:val="Body"/>
              <w:rPr>
                <w:color w:val="auto"/>
                <w:lang w:val="en-GB"/>
              </w:rPr>
            </w:pPr>
            <w:r>
              <w:rPr>
                <w:rFonts w:ascii="Arial" w:eastAsia="Arial" w:hAnsi="Arial" w:cs="Arial"/>
                <w:b/>
                <w:bCs/>
                <w:color w:val="auto"/>
                <w:lang w:val="en-GB"/>
              </w:rPr>
              <w:t>68</w:t>
            </w:r>
            <w:r w:rsidR="003026A6">
              <w:rPr>
                <w:rFonts w:ascii="Arial" w:eastAsia="Arial" w:hAnsi="Arial" w:cs="Arial"/>
                <w:b/>
                <w:bCs/>
                <w:color w:val="auto"/>
                <w:lang w:val="en-GB"/>
              </w:rPr>
              <w:t>/16 – Success measures to be reviewed per CSP. To include discussions with CSPs and LSE data</w:t>
            </w:r>
          </w:p>
        </w:tc>
        <w:tc>
          <w:tcPr>
            <w:tcW w:w="545" w:type="pct"/>
          </w:tcPr>
          <w:p w:rsidR="00863158" w:rsidRDefault="00863158" w:rsidP="007363EE">
            <w:pPr>
              <w:pStyle w:val="Body"/>
              <w:rPr>
                <w:color w:val="auto"/>
                <w:lang w:val="en-GB"/>
              </w:rPr>
            </w:pPr>
          </w:p>
          <w:p w:rsidR="003E0407" w:rsidRDefault="003E0407"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r>
              <w:rPr>
                <w:color w:val="auto"/>
                <w:lang w:val="en-GB"/>
              </w:rPr>
              <w:t>RH</w:t>
            </w: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Pr="000D5AD4" w:rsidRDefault="003026A6" w:rsidP="007363EE">
            <w:pPr>
              <w:pStyle w:val="Body"/>
              <w:rPr>
                <w:color w:val="auto"/>
                <w:lang w:val="en-GB"/>
              </w:rPr>
            </w:pPr>
            <w:r>
              <w:rPr>
                <w:color w:val="auto"/>
                <w:lang w:val="en-GB"/>
              </w:rPr>
              <w:t>SH/VH/SD</w:t>
            </w:r>
          </w:p>
        </w:tc>
        <w:tc>
          <w:tcPr>
            <w:tcW w:w="599" w:type="pct"/>
          </w:tcPr>
          <w:p w:rsidR="003E0407" w:rsidRDefault="003E0407"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p>
          <w:p w:rsidR="00AA6BBE" w:rsidRDefault="00AA6BBE" w:rsidP="007363EE">
            <w:pPr>
              <w:pStyle w:val="Body"/>
              <w:rPr>
                <w:color w:val="auto"/>
                <w:lang w:val="en-GB"/>
              </w:rPr>
            </w:pPr>
            <w:r>
              <w:rPr>
                <w:color w:val="auto"/>
                <w:lang w:val="en-GB"/>
              </w:rPr>
              <w:t>24</w:t>
            </w:r>
            <w:r w:rsidRPr="00AA6BBE">
              <w:rPr>
                <w:color w:val="auto"/>
                <w:vertAlign w:val="superscript"/>
                <w:lang w:val="en-GB"/>
              </w:rPr>
              <w:t>th</w:t>
            </w:r>
            <w:r>
              <w:rPr>
                <w:color w:val="auto"/>
                <w:lang w:val="en-GB"/>
              </w:rPr>
              <w:t xml:space="preserve"> November 2016</w:t>
            </w: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Default="003026A6" w:rsidP="007363EE">
            <w:pPr>
              <w:pStyle w:val="Body"/>
              <w:rPr>
                <w:color w:val="auto"/>
                <w:lang w:val="en-GB"/>
              </w:rPr>
            </w:pPr>
          </w:p>
          <w:p w:rsidR="003026A6" w:rsidRPr="000D5AD4" w:rsidRDefault="003026A6" w:rsidP="007363EE">
            <w:pPr>
              <w:pStyle w:val="Body"/>
              <w:rPr>
                <w:color w:val="auto"/>
                <w:lang w:val="en-GB"/>
              </w:rPr>
            </w:pPr>
            <w:r>
              <w:rPr>
                <w:color w:val="auto"/>
                <w:lang w:val="en-GB"/>
              </w:rPr>
              <w:t>22</w:t>
            </w:r>
            <w:r w:rsidRPr="003026A6">
              <w:rPr>
                <w:color w:val="auto"/>
                <w:vertAlign w:val="superscript"/>
                <w:lang w:val="en-GB"/>
              </w:rPr>
              <w:t>nd</w:t>
            </w:r>
            <w:r>
              <w:rPr>
                <w:color w:val="auto"/>
                <w:lang w:val="en-GB"/>
              </w:rPr>
              <w:t xml:space="preserve"> December</w:t>
            </w:r>
          </w:p>
        </w:tc>
      </w:tr>
      <w:tr w:rsidR="00306E0F" w:rsidRPr="000D5AD4" w:rsidTr="00561137">
        <w:tc>
          <w:tcPr>
            <w:tcW w:w="227" w:type="pct"/>
          </w:tcPr>
          <w:p w:rsidR="00306E0F" w:rsidRPr="000D5AD4" w:rsidRDefault="00306E0F" w:rsidP="001F3F9E">
            <w:pPr>
              <w:rPr>
                <w:rFonts w:ascii="Arial" w:hAnsi="Arial" w:cs="Arial"/>
              </w:rPr>
            </w:pPr>
            <w:r w:rsidRPr="000D5AD4">
              <w:rPr>
                <w:rFonts w:ascii="Arial" w:hAnsi="Arial" w:cs="Arial"/>
              </w:rPr>
              <w:lastRenderedPageBreak/>
              <w:t>4.</w:t>
            </w:r>
          </w:p>
        </w:tc>
        <w:tc>
          <w:tcPr>
            <w:tcW w:w="2639" w:type="pct"/>
          </w:tcPr>
          <w:p w:rsidR="00306E0F" w:rsidRDefault="00040830" w:rsidP="007363EE">
            <w:pPr>
              <w:rPr>
                <w:rFonts w:ascii="Arial" w:hAnsi="Arial" w:cs="Arial"/>
                <w:b/>
              </w:rPr>
            </w:pPr>
            <w:r>
              <w:rPr>
                <w:rFonts w:ascii="Arial" w:hAnsi="Arial" w:cs="Arial"/>
                <w:b/>
              </w:rPr>
              <w:t>Performance Reports</w:t>
            </w:r>
          </w:p>
          <w:p w:rsidR="003E0407" w:rsidRDefault="00C9434B" w:rsidP="007363EE">
            <w:pPr>
              <w:rPr>
                <w:rFonts w:ascii="Arial" w:hAnsi="Arial" w:cs="Arial"/>
              </w:rPr>
            </w:pPr>
            <w:r>
              <w:rPr>
                <w:rFonts w:ascii="Arial" w:hAnsi="Arial" w:cs="Arial"/>
              </w:rPr>
              <w:t xml:space="preserve">VH confirmed that the </w:t>
            </w:r>
            <w:r w:rsidR="00D73D06">
              <w:rPr>
                <w:rFonts w:ascii="Arial" w:hAnsi="Arial" w:cs="Arial"/>
              </w:rPr>
              <w:t xml:space="preserve">three month trend data was a comparison to the previous three months and wouldn’t include seasonal variations. It was noted that </w:t>
            </w:r>
            <w:r w:rsidR="00D954C1">
              <w:rPr>
                <w:rFonts w:ascii="Arial" w:hAnsi="Arial" w:cs="Arial"/>
              </w:rPr>
              <w:t>levels of domestic abuse remain high; RH asked when the impact of DA work will begin to take effect.</w:t>
            </w:r>
          </w:p>
          <w:p w:rsidR="00D954C1" w:rsidRDefault="00D954C1" w:rsidP="007363EE">
            <w:pPr>
              <w:rPr>
                <w:rFonts w:ascii="Arial" w:hAnsi="Arial" w:cs="Arial"/>
              </w:rPr>
            </w:pPr>
          </w:p>
          <w:p w:rsidR="00D954C1" w:rsidRPr="00C9434B" w:rsidRDefault="00D954C1" w:rsidP="007363EE">
            <w:pPr>
              <w:rPr>
                <w:rFonts w:ascii="Arial" w:hAnsi="Arial" w:cs="Arial"/>
              </w:rPr>
            </w:pPr>
            <w:r>
              <w:rPr>
                <w:rFonts w:ascii="Arial" w:hAnsi="Arial" w:cs="Arial"/>
              </w:rPr>
              <w:lastRenderedPageBreak/>
              <w:t xml:space="preserve">SH said that the DA programme </w:t>
            </w:r>
            <w:r w:rsidR="000B771E">
              <w:rPr>
                <w:rFonts w:ascii="Arial" w:hAnsi="Arial" w:cs="Arial"/>
              </w:rPr>
              <w:t xml:space="preserve">has a strong focus on </w:t>
            </w:r>
            <w:r>
              <w:rPr>
                <w:rFonts w:ascii="Arial" w:hAnsi="Arial" w:cs="Arial"/>
              </w:rPr>
              <w:t xml:space="preserve">high risk cases through MARAC and that is </w:t>
            </w:r>
            <w:r w:rsidR="000B771E">
              <w:rPr>
                <w:rFonts w:ascii="Arial" w:hAnsi="Arial" w:cs="Arial"/>
              </w:rPr>
              <w:t xml:space="preserve">beginning to </w:t>
            </w:r>
            <w:r>
              <w:rPr>
                <w:rFonts w:ascii="Arial" w:hAnsi="Arial" w:cs="Arial"/>
              </w:rPr>
              <w:t>work</w:t>
            </w:r>
            <w:r w:rsidR="000B771E">
              <w:rPr>
                <w:rFonts w:ascii="Arial" w:hAnsi="Arial" w:cs="Arial"/>
              </w:rPr>
              <w:t xml:space="preserve"> well</w:t>
            </w:r>
            <w:r>
              <w:rPr>
                <w:rFonts w:ascii="Arial" w:hAnsi="Arial" w:cs="Arial"/>
              </w:rPr>
              <w:t xml:space="preserve">. SH said the challenge was to move </w:t>
            </w:r>
            <w:r w:rsidR="000B771E">
              <w:rPr>
                <w:rFonts w:ascii="Arial" w:hAnsi="Arial" w:cs="Arial"/>
              </w:rPr>
              <w:t xml:space="preserve">focus </w:t>
            </w:r>
            <w:r>
              <w:rPr>
                <w:rFonts w:ascii="Arial" w:hAnsi="Arial" w:cs="Arial"/>
              </w:rPr>
              <w:t xml:space="preserve">to medium </w:t>
            </w:r>
            <w:r w:rsidR="000B771E">
              <w:rPr>
                <w:rFonts w:ascii="Arial" w:hAnsi="Arial" w:cs="Arial"/>
              </w:rPr>
              <w:t xml:space="preserve">and lower </w:t>
            </w:r>
            <w:r>
              <w:rPr>
                <w:rFonts w:ascii="Arial" w:hAnsi="Arial" w:cs="Arial"/>
              </w:rPr>
              <w:t>risk cases</w:t>
            </w:r>
            <w:r w:rsidR="000B771E">
              <w:rPr>
                <w:rFonts w:ascii="Arial" w:hAnsi="Arial" w:cs="Arial"/>
              </w:rPr>
              <w:t>, and start having an impact at an earlier stage</w:t>
            </w:r>
            <w:r>
              <w:rPr>
                <w:rFonts w:ascii="Arial" w:hAnsi="Arial" w:cs="Arial"/>
              </w:rPr>
              <w:t xml:space="preserve">. RH asked if any work had been done to assess the impact the benefits caps may have on DA. VH said that no work had been completed by EP on this however VH said that there may be some work at a national level. SH also noted that ECC may have some forward looking work on the impact on DA number. </w:t>
            </w:r>
          </w:p>
          <w:p w:rsidR="00306E0F" w:rsidRDefault="00306E0F" w:rsidP="009603BF">
            <w:pPr>
              <w:rPr>
                <w:rFonts w:ascii="Arial" w:hAnsi="Arial" w:cs="Arial"/>
              </w:rPr>
            </w:pPr>
          </w:p>
          <w:p w:rsidR="00523C87" w:rsidRPr="00686A4A" w:rsidRDefault="00D14DC2" w:rsidP="001E6866">
            <w:pPr>
              <w:rPr>
                <w:rFonts w:ascii="Arial" w:hAnsi="Arial" w:cs="Arial"/>
              </w:rPr>
            </w:pPr>
            <w:r>
              <w:rPr>
                <w:rFonts w:ascii="Arial" w:hAnsi="Arial" w:cs="Arial"/>
              </w:rPr>
              <w:t xml:space="preserve">It was agreed that work should take place to identify at a high level questions which should be posed to the analysts in order to provide key answers. Questions should link into the success measures for the police and crime plan. </w:t>
            </w:r>
          </w:p>
        </w:tc>
        <w:tc>
          <w:tcPr>
            <w:tcW w:w="989" w:type="pct"/>
          </w:tcPr>
          <w:p w:rsidR="00306E0F" w:rsidRPr="007E794C" w:rsidRDefault="00306E0F" w:rsidP="007363EE">
            <w:pPr>
              <w:rPr>
                <w:rFonts w:ascii="Arial" w:eastAsia="Arial" w:hAnsi="Arial" w:cs="Arial"/>
                <w:b/>
                <w:bCs/>
                <w:u w:color="000000"/>
                <w:bdr w:val="nil"/>
                <w:lang w:eastAsia="en-GB"/>
              </w:rPr>
            </w:pPr>
          </w:p>
          <w:p w:rsidR="00B6116C" w:rsidRPr="007E794C" w:rsidRDefault="00306E0F" w:rsidP="00596313">
            <w:pPr>
              <w:pStyle w:val="Body"/>
              <w:rPr>
                <w:rFonts w:ascii="Arial" w:eastAsia="Arial" w:hAnsi="Arial" w:cs="Arial"/>
                <w:b/>
                <w:bCs/>
                <w:color w:val="auto"/>
                <w:lang w:val="en-GB"/>
              </w:rPr>
            </w:pPr>
            <w:r w:rsidRPr="007E794C">
              <w:rPr>
                <w:rFonts w:ascii="Arial" w:eastAsia="Arial" w:hAnsi="Arial" w:cs="Arial"/>
                <w:b/>
                <w:bCs/>
                <w:color w:val="auto"/>
                <w:lang w:val="en-GB"/>
              </w:rPr>
              <w:t xml:space="preserve"> </w:t>
            </w:r>
          </w:p>
          <w:p w:rsidR="00B6116C" w:rsidRPr="007E794C" w:rsidRDefault="00B6116C" w:rsidP="007363EE">
            <w:pPr>
              <w:pStyle w:val="Body"/>
              <w:rPr>
                <w:rFonts w:ascii="Arial" w:eastAsia="Arial" w:hAnsi="Arial" w:cs="Arial"/>
                <w:b/>
                <w:bCs/>
                <w:color w:val="auto"/>
                <w:lang w:val="en-GB"/>
              </w:rPr>
            </w:pPr>
          </w:p>
          <w:p w:rsidR="00B6116C" w:rsidRPr="007E794C" w:rsidRDefault="00B6116C" w:rsidP="007363EE">
            <w:pPr>
              <w:pStyle w:val="Body"/>
              <w:rPr>
                <w:rFonts w:ascii="Arial" w:eastAsia="Arial" w:hAnsi="Arial" w:cs="Arial"/>
                <w:b/>
                <w:bCs/>
                <w:color w:val="auto"/>
                <w:lang w:val="en-GB"/>
              </w:rPr>
            </w:pPr>
          </w:p>
          <w:p w:rsidR="00A01A24" w:rsidRPr="007E794C" w:rsidRDefault="00A01A24" w:rsidP="007363EE">
            <w:pPr>
              <w:pStyle w:val="Body"/>
              <w:rPr>
                <w:rFonts w:ascii="Arial" w:eastAsia="Arial" w:hAnsi="Arial" w:cs="Arial"/>
                <w:b/>
                <w:bCs/>
                <w:color w:val="auto"/>
                <w:lang w:val="en-GB"/>
              </w:rPr>
            </w:pPr>
          </w:p>
          <w:p w:rsidR="00A01A24" w:rsidRPr="007E794C" w:rsidRDefault="00A01A24" w:rsidP="007363EE">
            <w:pPr>
              <w:pStyle w:val="Body"/>
              <w:rPr>
                <w:rFonts w:ascii="Arial" w:eastAsia="Arial" w:hAnsi="Arial" w:cs="Arial"/>
                <w:b/>
                <w:bCs/>
                <w:color w:val="auto"/>
                <w:lang w:val="en-GB"/>
              </w:rPr>
            </w:pPr>
          </w:p>
          <w:p w:rsidR="00A01A24" w:rsidRPr="007E794C" w:rsidRDefault="00A01A24" w:rsidP="007363EE">
            <w:pPr>
              <w:pStyle w:val="Body"/>
              <w:rPr>
                <w:rFonts w:ascii="Arial" w:eastAsia="Arial" w:hAnsi="Arial" w:cs="Arial"/>
                <w:b/>
                <w:bCs/>
                <w:color w:val="auto"/>
                <w:lang w:val="en-GB"/>
              </w:rPr>
            </w:pPr>
          </w:p>
          <w:p w:rsidR="00A01A24" w:rsidRPr="007E794C" w:rsidRDefault="003310A2" w:rsidP="007363EE">
            <w:pPr>
              <w:pStyle w:val="Body"/>
              <w:rPr>
                <w:rFonts w:ascii="Arial" w:eastAsia="Arial" w:hAnsi="Arial" w:cs="Arial"/>
                <w:b/>
                <w:bCs/>
                <w:color w:val="auto"/>
                <w:lang w:val="en-GB"/>
              </w:rPr>
            </w:pPr>
            <w:r>
              <w:rPr>
                <w:rFonts w:ascii="Arial" w:eastAsia="Arial" w:hAnsi="Arial" w:cs="Arial"/>
                <w:b/>
                <w:bCs/>
                <w:color w:val="auto"/>
                <w:lang w:val="en-GB"/>
              </w:rPr>
              <w:t>69</w:t>
            </w:r>
            <w:r w:rsidR="00A01A24" w:rsidRPr="007E794C">
              <w:rPr>
                <w:rFonts w:ascii="Arial" w:eastAsia="Arial" w:hAnsi="Arial" w:cs="Arial"/>
                <w:b/>
                <w:bCs/>
                <w:color w:val="auto"/>
                <w:lang w:val="en-GB"/>
              </w:rPr>
              <w:t xml:space="preserve">/16 – </w:t>
            </w:r>
            <w:proofErr w:type="spellStart"/>
            <w:r w:rsidR="00A01A24" w:rsidRPr="007E794C">
              <w:rPr>
                <w:rFonts w:ascii="Arial" w:eastAsia="Arial" w:hAnsi="Arial" w:cs="Arial"/>
                <w:b/>
                <w:bCs/>
                <w:color w:val="auto"/>
                <w:lang w:val="en-GB"/>
              </w:rPr>
              <w:t>VH</w:t>
            </w:r>
            <w:proofErr w:type="spellEnd"/>
            <w:r w:rsidR="00A01A24" w:rsidRPr="007E794C">
              <w:rPr>
                <w:rFonts w:ascii="Arial" w:eastAsia="Arial" w:hAnsi="Arial" w:cs="Arial"/>
                <w:b/>
                <w:bCs/>
                <w:color w:val="auto"/>
                <w:lang w:val="en-GB"/>
              </w:rPr>
              <w:t xml:space="preserve"> to consider impact of benefits cap on DA numbers</w:t>
            </w:r>
          </w:p>
          <w:p w:rsidR="00D14DC2" w:rsidRPr="007E794C" w:rsidRDefault="00D14DC2" w:rsidP="007363EE">
            <w:pPr>
              <w:pStyle w:val="Body"/>
              <w:rPr>
                <w:rFonts w:ascii="Arial" w:eastAsia="Arial" w:hAnsi="Arial" w:cs="Arial"/>
                <w:b/>
                <w:bCs/>
                <w:color w:val="auto"/>
                <w:lang w:val="en-GB"/>
              </w:rPr>
            </w:pPr>
          </w:p>
          <w:p w:rsidR="00D14DC2" w:rsidRPr="007E794C" w:rsidRDefault="00D14DC2" w:rsidP="007363EE">
            <w:pPr>
              <w:pStyle w:val="Body"/>
              <w:rPr>
                <w:rFonts w:ascii="Arial" w:eastAsia="Arial" w:hAnsi="Arial" w:cs="Arial"/>
                <w:b/>
                <w:bCs/>
                <w:color w:val="auto"/>
                <w:lang w:val="en-GB"/>
              </w:rPr>
            </w:pPr>
          </w:p>
          <w:p w:rsidR="00D14DC2" w:rsidRPr="007E794C" w:rsidRDefault="00D14DC2" w:rsidP="007363EE">
            <w:pPr>
              <w:pStyle w:val="Body"/>
              <w:rPr>
                <w:rFonts w:ascii="Arial" w:eastAsia="Arial" w:hAnsi="Arial" w:cs="Arial"/>
                <w:b/>
                <w:bCs/>
                <w:color w:val="auto"/>
                <w:lang w:val="en-GB"/>
              </w:rPr>
            </w:pPr>
          </w:p>
          <w:p w:rsidR="00D14DC2" w:rsidRPr="007E794C" w:rsidRDefault="003310A2" w:rsidP="000B771E">
            <w:pPr>
              <w:pStyle w:val="Body"/>
              <w:rPr>
                <w:rFonts w:ascii="Arial" w:eastAsia="Arial" w:hAnsi="Arial" w:cs="Arial"/>
                <w:b/>
                <w:bCs/>
                <w:color w:val="auto"/>
                <w:lang w:val="en-GB"/>
              </w:rPr>
            </w:pPr>
            <w:r>
              <w:rPr>
                <w:rFonts w:ascii="Arial" w:eastAsia="Arial" w:hAnsi="Arial" w:cs="Arial"/>
                <w:b/>
                <w:bCs/>
                <w:color w:val="auto"/>
                <w:lang w:val="en-GB"/>
              </w:rPr>
              <w:t>70</w:t>
            </w:r>
            <w:r w:rsidR="00D14DC2" w:rsidRPr="007E794C">
              <w:rPr>
                <w:rFonts w:ascii="Arial" w:eastAsia="Arial" w:hAnsi="Arial" w:cs="Arial"/>
                <w:b/>
                <w:bCs/>
                <w:color w:val="auto"/>
                <w:lang w:val="en-GB"/>
              </w:rPr>
              <w:t xml:space="preserve">/16 – </w:t>
            </w:r>
            <w:proofErr w:type="spellStart"/>
            <w:r w:rsidR="00D14DC2" w:rsidRPr="007E794C">
              <w:rPr>
                <w:rFonts w:ascii="Arial" w:eastAsia="Arial" w:hAnsi="Arial" w:cs="Arial"/>
                <w:b/>
                <w:bCs/>
                <w:color w:val="auto"/>
                <w:lang w:val="en-GB"/>
              </w:rPr>
              <w:t>VH</w:t>
            </w:r>
            <w:proofErr w:type="spellEnd"/>
            <w:r w:rsidR="00D14DC2" w:rsidRPr="007E794C">
              <w:rPr>
                <w:rFonts w:ascii="Arial" w:eastAsia="Arial" w:hAnsi="Arial" w:cs="Arial"/>
                <w:b/>
                <w:bCs/>
                <w:color w:val="auto"/>
                <w:lang w:val="en-GB"/>
              </w:rPr>
              <w:t>/</w:t>
            </w:r>
            <w:proofErr w:type="spellStart"/>
            <w:r w:rsidR="00D14DC2" w:rsidRPr="007E794C">
              <w:rPr>
                <w:rFonts w:ascii="Arial" w:eastAsia="Arial" w:hAnsi="Arial" w:cs="Arial"/>
                <w:b/>
                <w:bCs/>
                <w:color w:val="auto"/>
                <w:lang w:val="en-GB"/>
              </w:rPr>
              <w:t>SH</w:t>
            </w:r>
            <w:proofErr w:type="spellEnd"/>
            <w:r w:rsidR="00D14DC2" w:rsidRPr="007E794C">
              <w:rPr>
                <w:rFonts w:ascii="Arial" w:eastAsia="Arial" w:hAnsi="Arial" w:cs="Arial"/>
                <w:b/>
                <w:bCs/>
                <w:color w:val="auto"/>
                <w:lang w:val="en-GB"/>
              </w:rPr>
              <w:t xml:space="preserve"> to </w:t>
            </w:r>
            <w:r w:rsidR="000B771E">
              <w:rPr>
                <w:rFonts w:ascii="Arial" w:eastAsia="Arial" w:hAnsi="Arial" w:cs="Arial"/>
                <w:b/>
                <w:bCs/>
                <w:color w:val="auto"/>
                <w:lang w:val="en-GB"/>
              </w:rPr>
              <w:t xml:space="preserve">identify key questions for analysts. </w:t>
            </w:r>
          </w:p>
        </w:tc>
        <w:tc>
          <w:tcPr>
            <w:tcW w:w="545" w:type="pct"/>
          </w:tcPr>
          <w:p w:rsidR="00306E0F" w:rsidRPr="000D5AD4" w:rsidRDefault="00306E0F" w:rsidP="007363EE">
            <w:pPr>
              <w:pStyle w:val="Body"/>
              <w:rPr>
                <w:rFonts w:ascii="Arial" w:eastAsia="Arial" w:hAnsi="Arial" w:cs="Arial"/>
                <w:color w:val="auto"/>
                <w:lang w:val="en-GB"/>
              </w:rPr>
            </w:pPr>
          </w:p>
          <w:p w:rsidR="00946231" w:rsidRDefault="00946231" w:rsidP="007363EE">
            <w:pPr>
              <w:pStyle w:val="Body"/>
              <w:rPr>
                <w:color w:val="auto"/>
                <w:lang w:val="en-GB"/>
              </w:rPr>
            </w:pPr>
          </w:p>
          <w:p w:rsidR="00A01A24" w:rsidRDefault="00A01A24" w:rsidP="007363EE">
            <w:pPr>
              <w:pStyle w:val="Body"/>
              <w:rPr>
                <w:color w:val="auto"/>
                <w:lang w:val="en-GB"/>
              </w:rPr>
            </w:pPr>
          </w:p>
          <w:p w:rsidR="00A01A24" w:rsidRDefault="00A01A24" w:rsidP="007363EE">
            <w:pPr>
              <w:pStyle w:val="Body"/>
              <w:rPr>
                <w:color w:val="auto"/>
                <w:lang w:val="en-GB"/>
              </w:rPr>
            </w:pPr>
          </w:p>
          <w:p w:rsidR="00A01A24" w:rsidRDefault="00A01A24" w:rsidP="007363EE">
            <w:pPr>
              <w:pStyle w:val="Body"/>
              <w:rPr>
                <w:color w:val="auto"/>
                <w:lang w:val="en-GB"/>
              </w:rPr>
            </w:pPr>
          </w:p>
          <w:p w:rsidR="00A01A24" w:rsidRDefault="00A01A24" w:rsidP="007363EE">
            <w:pPr>
              <w:pStyle w:val="Body"/>
              <w:rPr>
                <w:color w:val="auto"/>
                <w:lang w:val="en-GB"/>
              </w:rPr>
            </w:pPr>
          </w:p>
          <w:p w:rsidR="00A01A24" w:rsidRDefault="00A01A24" w:rsidP="007363EE">
            <w:pPr>
              <w:pStyle w:val="Body"/>
              <w:rPr>
                <w:color w:val="auto"/>
                <w:lang w:val="en-GB"/>
              </w:rPr>
            </w:pPr>
          </w:p>
          <w:p w:rsidR="00A01A24" w:rsidRDefault="00A01A24" w:rsidP="007363EE">
            <w:pPr>
              <w:pStyle w:val="Body"/>
              <w:rPr>
                <w:color w:val="auto"/>
                <w:lang w:val="en-GB"/>
              </w:rPr>
            </w:pPr>
            <w:r>
              <w:rPr>
                <w:color w:val="auto"/>
                <w:lang w:val="en-GB"/>
              </w:rPr>
              <w:t>VH</w:t>
            </w:r>
          </w:p>
          <w:p w:rsidR="00D14DC2" w:rsidRDefault="00D14DC2" w:rsidP="007363EE">
            <w:pPr>
              <w:pStyle w:val="Body"/>
              <w:rPr>
                <w:color w:val="auto"/>
                <w:lang w:val="en-GB"/>
              </w:rPr>
            </w:pPr>
          </w:p>
          <w:p w:rsidR="00D14DC2" w:rsidRDefault="00D14DC2" w:rsidP="007363EE">
            <w:pPr>
              <w:pStyle w:val="Body"/>
              <w:rPr>
                <w:color w:val="auto"/>
                <w:lang w:val="en-GB"/>
              </w:rPr>
            </w:pPr>
          </w:p>
          <w:p w:rsidR="00D14DC2" w:rsidRDefault="00D14DC2" w:rsidP="007363EE">
            <w:pPr>
              <w:pStyle w:val="Body"/>
              <w:rPr>
                <w:color w:val="auto"/>
                <w:lang w:val="en-GB"/>
              </w:rPr>
            </w:pPr>
          </w:p>
          <w:p w:rsidR="00D14DC2" w:rsidRDefault="00D14DC2" w:rsidP="007363EE">
            <w:pPr>
              <w:pStyle w:val="Body"/>
              <w:rPr>
                <w:color w:val="auto"/>
                <w:lang w:val="en-GB"/>
              </w:rPr>
            </w:pPr>
          </w:p>
          <w:p w:rsidR="00D14DC2" w:rsidRDefault="00D14DC2" w:rsidP="007363EE">
            <w:pPr>
              <w:pStyle w:val="Body"/>
              <w:rPr>
                <w:color w:val="auto"/>
                <w:lang w:val="en-GB"/>
              </w:rPr>
            </w:pPr>
          </w:p>
          <w:p w:rsidR="00D14DC2" w:rsidRPr="000D5AD4" w:rsidRDefault="00D14DC2" w:rsidP="007363EE">
            <w:pPr>
              <w:pStyle w:val="Body"/>
              <w:rPr>
                <w:color w:val="auto"/>
                <w:lang w:val="en-GB"/>
              </w:rPr>
            </w:pPr>
            <w:r>
              <w:rPr>
                <w:color w:val="auto"/>
                <w:lang w:val="en-GB"/>
              </w:rPr>
              <w:t>SH/VH</w:t>
            </w:r>
          </w:p>
        </w:tc>
        <w:tc>
          <w:tcPr>
            <w:tcW w:w="599" w:type="pct"/>
          </w:tcPr>
          <w:p w:rsidR="00306E0F" w:rsidRPr="000D5AD4" w:rsidRDefault="00306E0F" w:rsidP="007363EE">
            <w:pPr>
              <w:rPr>
                <w:rFonts w:ascii="Arial" w:hAnsi="Arial" w:cs="Arial"/>
              </w:rPr>
            </w:pPr>
          </w:p>
          <w:p w:rsidR="00306E0F" w:rsidRDefault="00306E0F" w:rsidP="009D132A">
            <w:pPr>
              <w:pStyle w:val="Body"/>
              <w:rPr>
                <w:color w:val="auto"/>
                <w:lang w:val="en-GB"/>
              </w:rPr>
            </w:pPr>
          </w:p>
          <w:p w:rsidR="00A01A24" w:rsidRDefault="00A01A24" w:rsidP="009D132A">
            <w:pPr>
              <w:pStyle w:val="Body"/>
              <w:rPr>
                <w:color w:val="auto"/>
                <w:lang w:val="en-GB"/>
              </w:rPr>
            </w:pPr>
          </w:p>
          <w:p w:rsidR="00A01A24" w:rsidRDefault="00A01A24" w:rsidP="009D132A">
            <w:pPr>
              <w:pStyle w:val="Body"/>
              <w:rPr>
                <w:color w:val="auto"/>
                <w:lang w:val="en-GB"/>
              </w:rPr>
            </w:pPr>
          </w:p>
          <w:p w:rsidR="00A01A24" w:rsidRDefault="00A01A24" w:rsidP="009D132A">
            <w:pPr>
              <w:pStyle w:val="Body"/>
              <w:rPr>
                <w:color w:val="auto"/>
                <w:lang w:val="en-GB"/>
              </w:rPr>
            </w:pPr>
          </w:p>
          <w:p w:rsidR="00A01A24" w:rsidRDefault="00A01A24" w:rsidP="009D132A">
            <w:pPr>
              <w:pStyle w:val="Body"/>
              <w:rPr>
                <w:color w:val="auto"/>
                <w:lang w:val="en-GB"/>
              </w:rPr>
            </w:pPr>
          </w:p>
          <w:p w:rsidR="00A01A24" w:rsidRDefault="00A01A24" w:rsidP="009D132A">
            <w:pPr>
              <w:pStyle w:val="Body"/>
              <w:rPr>
                <w:color w:val="auto"/>
                <w:lang w:val="en-GB"/>
              </w:rPr>
            </w:pPr>
          </w:p>
          <w:p w:rsidR="00A01A24" w:rsidRDefault="00A01A24" w:rsidP="009D132A">
            <w:pPr>
              <w:pStyle w:val="Body"/>
              <w:rPr>
                <w:color w:val="auto"/>
                <w:lang w:val="en-GB"/>
              </w:rPr>
            </w:pPr>
            <w:r>
              <w:rPr>
                <w:color w:val="auto"/>
                <w:lang w:val="en-GB"/>
              </w:rPr>
              <w:t>22</w:t>
            </w:r>
            <w:r w:rsidRPr="00A01A24">
              <w:rPr>
                <w:color w:val="auto"/>
                <w:vertAlign w:val="superscript"/>
                <w:lang w:val="en-GB"/>
              </w:rPr>
              <w:t>nd</w:t>
            </w:r>
            <w:r>
              <w:rPr>
                <w:color w:val="auto"/>
                <w:lang w:val="en-GB"/>
              </w:rPr>
              <w:t xml:space="preserve"> December</w:t>
            </w:r>
          </w:p>
          <w:p w:rsidR="00D14DC2" w:rsidRDefault="00D14DC2" w:rsidP="009D132A">
            <w:pPr>
              <w:pStyle w:val="Body"/>
              <w:rPr>
                <w:color w:val="auto"/>
                <w:lang w:val="en-GB"/>
              </w:rPr>
            </w:pPr>
          </w:p>
          <w:p w:rsidR="00D14DC2" w:rsidRDefault="00D14DC2" w:rsidP="009D132A">
            <w:pPr>
              <w:pStyle w:val="Body"/>
              <w:rPr>
                <w:color w:val="auto"/>
                <w:lang w:val="en-GB"/>
              </w:rPr>
            </w:pPr>
          </w:p>
          <w:p w:rsidR="00D14DC2" w:rsidRDefault="00D14DC2" w:rsidP="009D132A">
            <w:pPr>
              <w:pStyle w:val="Body"/>
              <w:rPr>
                <w:color w:val="auto"/>
                <w:lang w:val="en-GB"/>
              </w:rPr>
            </w:pPr>
          </w:p>
          <w:p w:rsidR="00D14DC2" w:rsidRDefault="00D14DC2" w:rsidP="009D132A">
            <w:pPr>
              <w:pStyle w:val="Body"/>
              <w:rPr>
                <w:color w:val="auto"/>
                <w:lang w:val="en-GB"/>
              </w:rPr>
            </w:pPr>
          </w:p>
          <w:p w:rsidR="00D14DC2" w:rsidRDefault="00D14DC2" w:rsidP="009D132A">
            <w:pPr>
              <w:pStyle w:val="Body"/>
              <w:rPr>
                <w:color w:val="auto"/>
                <w:lang w:val="en-GB"/>
              </w:rPr>
            </w:pPr>
          </w:p>
          <w:p w:rsidR="00D14DC2" w:rsidRPr="000D5AD4" w:rsidRDefault="003310A2" w:rsidP="009D132A">
            <w:pPr>
              <w:pStyle w:val="Body"/>
              <w:rPr>
                <w:color w:val="auto"/>
                <w:lang w:val="en-GB"/>
              </w:rPr>
            </w:pPr>
            <w:r>
              <w:rPr>
                <w:color w:val="auto"/>
                <w:lang w:val="en-GB"/>
              </w:rPr>
              <w:t>27</w:t>
            </w:r>
            <w:r w:rsidRPr="003310A2">
              <w:rPr>
                <w:color w:val="auto"/>
                <w:vertAlign w:val="superscript"/>
                <w:lang w:val="en-GB"/>
              </w:rPr>
              <w:t>th</w:t>
            </w:r>
            <w:r>
              <w:rPr>
                <w:color w:val="auto"/>
                <w:lang w:val="en-GB"/>
              </w:rPr>
              <w:t xml:space="preserve"> January 2017</w:t>
            </w:r>
          </w:p>
        </w:tc>
      </w:tr>
      <w:tr w:rsidR="00306E0F" w:rsidRPr="000D5AD4" w:rsidTr="00561137">
        <w:tc>
          <w:tcPr>
            <w:tcW w:w="227" w:type="pct"/>
          </w:tcPr>
          <w:p w:rsidR="00306E0F" w:rsidRPr="000D5AD4" w:rsidRDefault="00306E0F" w:rsidP="001F3F9E">
            <w:pPr>
              <w:rPr>
                <w:rFonts w:ascii="Arial" w:hAnsi="Arial" w:cs="Arial"/>
                <w:color w:val="0070C0"/>
              </w:rPr>
            </w:pPr>
            <w:r w:rsidRPr="000D5AD4">
              <w:rPr>
                <w:rFonts w:ascii="Arial" w:hAnsi="Arial" w:cs="Arial"/>
              </w:rPr>
              <w:lastRenderedPageBreak/>
              <w:t>5.</w:t>
            </w:r>
          </w:p>
        </w:tc>
        <w:tc>
          <w:tcPr>
            <w:tcW w:w="2639" w:type="pct"/>
          </w:tcPr>
          <w:p w:rsidR="00306E0F" w:rsidRDefault="00040830" w:rsidP="007363EE">
            <w:pPr>
              <w:pStyle w:val="Body"/>
              <w:rPr>
                <w:rFonts w:ascii="Arial"/>
                <w:b/>
                <w:bCs/>
                <w:color w:val="auto"/>
                <w:lang w:val="en-GB"/>
              </w:rPr>
            </w:pPr>
            <w:r>
              <w:rPr>
                <w:rFonts w:ascii="Arial"/>
                <w:b/>
                <w:bCs/>
                <w:color w:val="auto"/>
                <w:lang w:val="en-GB"/>
              </w:rPr>
              <w:t>Modern Day Slavery Independent Review</w:t>
            </w:r>
          </w:p>
          <w:p w:rsidR="00686A4A" w:rsidRDefault="00C06E58" w:rsidP="007363EE">
            <w:pPr>
              <w:pStyle w:val="Body"/>
              <w:rPr>
                <w:rFonts w:ascii="Arial"/>
                <w:bCs/>
                <w:color w:val="auto"/>
                <w:lang w:val="en-GB"/>
              </w:rPr>
            </w:pPr>
            <w:r>
              <w:rPr>
                <w:rFonts w:ascii="Arial"/>
                <w:bCs/>
                <w:color w:val="auto"/>
                <w:lang w:val="en-GB"/>
              </w:rPr>
              <w:t>DC said that EP had completed 10 days of targeted work on modern day slavery</w:t>
            </w:r>
            <w:r w:rsidR="003B709D">
              <w:rPr>
                <w:rFonts w:ascii="Arial"/>
                <w:bCs/>
                <w:color w:val="auto"/>
                <w:lang w:val="en-GB"/>
              </w:rPr>
              <w:t xml:space="preserve"> which led to a number of successful outcomes. This would be repeated again in December/January. </w:t>
            </w:r>
          </w:p>
          <w:p w:rsidR="003B709D" w:rsidRDefault="003B709D" w:rsidP="007363EE">
            <w:pPr>
              <w:pStyle w:val="Body"/>
              <w:rPr>
                <w:rFonts w:ascii="Arial"/>
                <w:bCs/>
                <w:color w:val="auto"/>
                <w:lang w:val="en-GB"/>
              </w:rPr>
            </w:pPr>
          </w:p>
          <w:p w:rsidR="007D0FB2" w:rsidRDefault="003B709D" w:rsidP="007363EE">
            <w:pPr>
              <w:pStyle w:val="Body"/>
              <w:rPr>
                <w:rFonts w:ascii="Arial"/>
                <w:bCs/>
                <w:color w:val="auto"/>
                <w:lang w:val="en-GB"/>
              </w:rPr>
            </w:pPr>
            <w:r>
              <w:rPr>
                <w:rFonts w:ascii="Arial"/>
                <w:bCs/>
                <w:color w:val="auto"/>
                <w:lang w:val="en-GB"/>
              </w:rPr>
              <w:t>CG said that training was being provided to all officers to enable them to identify victims of modern day slavery. CG said that there was a national transformation fund bid which</w:t>
            </w:r>
            <w:r w:rsidR="00FA320B">
              <w:rPr>
                <w:rFonts w:ascii="Arial"/>
                <w:bCs/>
                <w:color w:val="auto"/>
                <w:lang w:val="en-GB"/>
              </w:rPr>
              <w:t xml:space="preserve"> would provide funding for modern day slavery. In addition to this there is a smaller pot of funding </w:t>
            </w:r>
            <w:r w:rsidR="00FA320B">
              <w:rPr>
                <w:rFonts w:ascii="Arial"/>
                <w:bCs/>
                <w:color w:val="auto"/>
                <w:lang w:val="en-GB"/>
              </w:rPr>
              <w:t>£</w:t>
            </w:r>
            <w:r w:rsidR="00FA320B">
              <w:rPr>
                <w:rFonts w:ascii="Arial"/>
                <w:bCs/>
                <w:color w:val="auto"/>
                <w:lang w:val="en-GB"/>
              </w:rPr>
              <w:t>11m which is available for regional funding. MH said that it was important to consider what would happen once the funding is no longer available. CG noted that she was looking into alternative and partner funding.</w:t>
            </w:r>
            <w:r>
              <w:rPr>
                <w:rFonts w:ascii="Arial"/>
                <w:bCs/>
                <w:color w:val="auto"/>
                <w:lang w:val="en-GB"/>
              </w:rPr>
              <w:t xml:space="preserve">           </w:t>
            </w:r>
          </w:p>
          <w:p w:rsidR="007D0FB2" w:rsidRDefault="007D0FB2" w:rsidP="007363EE">
            <w:pPr>
              <w:pStyle w:val="Body"/>
              <w:rPr>
                <w:rFonts w:ascii="Arial"/>
                <w:bCs/>
                <w:color w:val="auto"/>
                <w:lang w:val="en-GB"/>
              </w:rPr>
            </w:pPr>
          </w:p>
          <w:p w:rsidR="003B709D" w:rsidRPr="00E8341E" w:rsidRDefault="007D0FB2" w:rsidP="007363EE">
            <w:pPr>
              <w:pStyle w:val="Body"/>
              <w:rPr>
                <w:rFonts w:ascii="Arial"/>
                <w:bCs/>
                <w:color w:val="auto"/>
                <w:lang w:val="en-GB"/>
              </w:rPr>
            </w:pPr>
            <w:r>
              <w:rPr>
                <w:rFonts w:ascii="Arial"/>
                <w:bCs/>
                <w:color w:val="auto"/>
                <w:lang w:val="en-GB"/>
              </w:rPr>
              <w:t xml:space="preserve">RH and MH noted positive progress underway in this area. </w:t>
            </w:r>
            <w:r w:rsidR="003B709D">
              <w:rPr>
                <w:rFonts w:ascii="Arial"/>
                <w:bCs/>
                <w:color w:val="auto"/>
                <w:lang w:val="en-GB"/>
              </w:rPr>
              <w:t xml:space="preserve">                                                                                                                                                                                                                                                              </w:t>
            </w:r>
          </w:p>
          <w:p w:rsidR="00843BE0" w:rsidRPr="000D5AD4" w:rsidRDefault="00843BE0" w:rsidP="007363EE">
            <w:pPr>
              <w:pStyle w:val="Body"/>
              <w:rPr>
                <w:rFonts w:ascii="Arial" w:eastAsia="Arial" w:hAnsi="Arial" w:cs="Arial"/>
                <w:color w:val="auto"/>
                <w:lang w:val="en-GB"/>
              </w:rPr>
            </w:pPr>
          </w:p>
        </w:tc>
        <w:tc>
          <w:tcPr>
            <w:tcW w:w="989" w:type="pct"/>
          </w:tcPr>
          <w:p w:rsidR="00D17F26" w:rsidRPr="007E794C" w:rsidRDefault="00D17F26" w:rsidP="007363EE">
            <w:pPr>
              <w:rPr>
                <w:rFonts w:ascii="Arial" w:eastAsia="Arial" w:hAnsi="Arial" w:cs="Arial"/>
                <w:b/>
                <w:bCs/>
                <w:u w:color="000000"/>
                <w:bdr w:val="nil"/>
                <w:lang w:eastAsia="en-GB"/>
              </w:rPr>
            </w:pPr>
          </w:p>
          <w:p w:rsidR="00F57D23" w:rsidRPr="007E794C" w:rsidRDefault="00F57D23" w:rsidP="007363EE">
            <w:pPr>
              <w:rPr>
                <w:rFonts w:ascii="Arial" w:eastAsia="Arial" w:hAnsi="Arial" w:cs="Arial"/>
                <w:b/>
                <w:bCs/>
                <w:u w:color="000000"/>
                <w:bdr w:val="nil"/>
                <w:lang w:eastAsia="en-GB"/>
              </w:rPr>
            </w:pPr>
          </w:p>
          <w:p w:rsidR="000C56F4" w:rsidRPr="007E794C" w:rsidRDefault="000C56F4" w:rsidP="007363EE">
            <w:pPr>
              <w:rPr>
                <w:rFonts w:ascii="Arial" w:eastAsia="Arial" w:hAnsi="Arial" w:cs="Arial"/>
                <w:b/>
                <w:bCs/>
                <w:u w:color="000000"/>
                <w:bdr w:val="nil"/>
                <w:lang w:eastAsia="en-GB"/>
              </w:rPr>
            </w:pPr>
          </w:p>
          <w:p w:rsidR="000C56F4" w:rsidRPr="007E794C" w:rsidRDefault="000C56F4" w:rsidP="007363EE">
            <w:pPr>
              <w:rPr>
                <w:rFonts w:ascii="Arial" w:eastAsia="Arial" w:hAnsi="Arial" w:cs="Arial"/>
                <w:b/>
                <w:bCs/>
                <w:u w:color="000000"/>
                <w:bdr w:val="nil"/>
                <w:lang w:eastAsia="en-GB"/>
              </w:rPr>
            </w:pPr>
          </w:p>
          <w:p w:rsidR="000C56F4" w:rsidRPr="007E794C" w:rsidRDefault="00125530" w:rsidP="007363EE">
            <w:pPr>
              <w:rPr>
                <w:rFonts w:ascii="Arial" w:eastAsia="Arial" w:hAnsi="Arial" w:cs="Arial"/>
                <w:b/>
                <w:bCs/>
                <w:u w:color="000000"/>
                <w:bdr w:val="nil"/>
                <w:lang w:eastAsia="en-GB"/>
              </w:rPr>
            </w:pPr>
            <w:r w:rsidRPr="007E794C">
              <w:rPr>
                <w:rFonts w:ascii="Arial" w:eastAsia="Arial" w:hAnsi="Arial" w:cs="Arial"/>
                <w:b/>
                <w:bCs/>
                <w:u w:color="000000"/>
                <w:bdr w:val="nil"/>
                <w:lang w:eastAsia="en-GB"/>
              </w:rPr>
              <w:t xml:space="preserve"> </w:t>
            </w:r>
          </w:p>
        </w:tc>
        <w:tc>
          <w:tcPr>
            <w:tcW w:w="545" w:type="pct"/>
          </w:tcPr>
          <w:p w:rsidR="00306E0F" w:rsidRPr="000D5AD4" w:rsidRDefault="00306E0F" w:rsidP="007363EE"/>
          <w:p w:rsidR="00F57D23" w:rsidRDefault="00F57D23" w:rsidP="007363EE"/>
          <w:p w:rsidR="000C56F4" w:rsidRDefault="000C56F4" w:rsidP="007363EE"/>
          <w:p w:rsidR="000C56F4" w:rsidRDefault="000C56F4" w:rsidP="007363EE"/>
          <w:p w:rsidR="000C56F4" w:rsidRPr="000D5AD4" w:rsidRDefault="000C56F4" w:rsidP="007363EE"/>
        </w:tc>
        <w:tc>
          <w:tcPr>
            <w:tcW w:w="599" w:type="pct"/>
          </w:tcPr>
          <w:p w:rsidR="00F57D23" w:rsidRDefault="00F57D23" w:rsidP="007363EE">
            <w:pPr>
              <w:pStyle w:val="Body"/>
              <w:rPr>
                <w:color w:val="auto"/>
                <w:lang w:val="en-GB"/>
              </w:rPr>
            </w:pPr>
          </w:p>
          <w:p w:rsidR="000C56F4" w:rsidRDefault="000C56F4" w:rsidP="007363EE">
            <w:pPr>
              <w:pStyle w:val="Body"/>
              <w:rPr>
                <w:color w:val="auto"/>
                <w:lang w:val="en-GB"/>
              </w:rPr>
            </w:pPr>
          </w:p>
          <w:p w:rsidR="000C56F4" w:rsidRDefault="000C56F4" w:rsidP="007363EE">
            <w:pPr>
              <w:pStyle w:val="Body"/>
              <w:rPr>
                <w:color w:val="auto"/>
                <w:lang w:val="en-GB"/>
              </w:rPr>
            </w:pPr>
          </w:p>
          <w:p w:rsidR="000C56F4" w:rsidRDefault="000C56F4" w:rsidP="007363EE">
            <w:pPr>
              <w:pStyle w:val="Body"/>
              <w:rPr>
                <w:color w:val="auto"/>
                <w:lang w:val="en-GB"/>
              </w:rPr>
            </w:pPr>
          </w:p>
          <w:p w:rsidR="000C56F4" w:rsidRPr="000D5AD4" w:rsidRDefault="000C56F4" w:rsidP="007363EE">
            <w:pPr>
              <w:pStyle w:val="Body"/>
              <w:rPr>
                <w:color w:val="auto"/>
                <w:lang w:val="en-GB"/>
              </w:rPr>
            </w:pPr>
          </w:p>
        </w:tc>
      </w:tr>
      <w:tr w:rsidR="00306E0F" w:rsidRPr="000D5AD4" w:rsidTr="00561137">
        <w:tc>
          <w:tcPr>
            <w:tcW w:w="227" w:type="pct"/>
          </w:tcPr>
          <w:p w:rsidR="00306E0F" w:rsidRPr="000D5AD4" w:rsidRDefault="00306E0F" w:rsidP="001F3F9E">
            <w:pPr>
              <w:rPr>
                <w:rFonts w:ascii="Arial" w:hAnsi="Arial" w:cs="Arial"/>
                <w:color w:val="0070C0"/>
              </w:rPr>
            </w:pPr>
            <w:r w:rsidRPr="000D5AD4">
              <w:rPr>
                <w:rFonts w:ascii="Arial" w:hAnsi="Arial" w:cs="Arial"/>
              </w:rPr>
              <w:t>6.</w:t>
            </w:r>
          </w:p>
        </w:tc>
        <w:tc>
          <w:tcPr>
            <w:tcW w:w="2639" w:type="pct"/>
          </w:tcPr>
          <w:p w:rsidR="00843BE0" w:rsidRDefault="00FA320B" w:rsidP="007363EE">
            <w:pPr>
              <w:pStyle w:val="Body"/>
              <w:rPr>
                <w:rFonts w:ascii="Arial"/>
                <w:b/>
                <w:bCs/>
                <w:lang w:val="en-GB"/>
              </w:rPr>
            </w:pPr>
            <w:r>
              <w:rPr>
                <w:rFonts w:ascii="Arial"/>
                <w:b/>
                <w:bCs/>
                <w:lang w:val="en-GB"/>
              </w:rPr>
              <w:t>HMIC Tracker</w:t>
            </w:r>
          </w:p>
          <w:p w:rsidR="00FA320B" w:rsidRDefault="00E608E7" w:rsidP="007363EE">
            <w:pPr>
              <w:pStyle w:val="Body"/>
              <w:rPr>
                <w:rFonts w:ascii="Arial"/>
                <w:bCs/>
                <w:lang w:val="en-GB"/>
              </w:rPr>
            </w:pPr>
            <w:r>
              <w:rPr>
                <w:rFonts w:ascii="Arial"/>
                <w:bCs/>
                <w:lang w:val="en-GB"/>
              </w:rPr>
              <w:t>MH said that the OPCC is able to review the tracker and should continue to do so outside of the meeting. MH asked if the OPCC could provide set themes which they would like to review on the HMIC Tracker to ensure a focused report.</w:t>
            </w:r>
          </w:p>
          <w:p w:rsidR="00E608E7" w:rsidRPr="00FA320B" w:rsidRDefault="00E608E7" w:rsidP="007363EE">
            <w:pPr>
              <w:pStyle w:val="Body"/>
              <w:rPr>
                <w:rFonts w:ascii="Arial"/>
                <w:bCs/>
                <w:lang w:val="en-GB"/>
              </w:rPr>
            </w:pPr>
          </w:p>
          <w:p w:rsidR="00183883" w:rsidRPr="000D5AD4" w:rsidRDefault="00183883" w:rsidP="00596313">
            <w:pPr>
              <w:pStyle w:val="Body"/>
              <w:rPr>
                <w:lang w:val="en-GB"/>
              </w:rPr>
            </w:pPr>
          </w:p>
        </w:tc>
        <w:tc>
          <w:tcPr>
            <w:tcW w:w="989" w:type="pct"/>
          </w:tcPr>
          <w:p w:rsidR="00306E0F" w:rsidRPr="007E794C" w:rsidRDefault="00306E0F" w:rsidP="007363EE">
            <w:pPr>
              <w:pStyle w:val="Body"/>
              <w:rPr>
                <w:rFonts w:ascii="Arial" w:eastAsia="Arial" w:hAnsi="Arial" w:cs="Arial"/>
                <w:b/>
                <w:bCs/>
                <w:color w:val="auto"/>
                <w:lang w:val="en-GB"/>
              </w:rPr>
            </w:pPr>
          </w:p>
        </w:tc>
        <w:tc>
          <w:tcPr>
            <w:tcW w:w="545" w:type="pct"/>
          </w:tcPr>
          <w:p w:rsidR="00306E0F" w:rsidRPr="000D5AD4" w:rsidRDefault="00306E0F" w:rsidP="007363EE">
            <w:pPr>
              <w:pStyle w:val="Body"/>
              <w:rPr>
                <w:rFonts w:ascii="Arial" w:eastAsia="Arial" w:hAnsi="Arial" w:cs="Arial"/>
                <w:lang w:val="en-GB"/>
              </w:rPr>
            </w:pPr>
          </w:p>
          <w:p w:rsidR="00306E0F" w:rsidRPr="000D5AD4" w:rsidRDefault="00306E0F" w:rsidP="009603BF">
            <w:pPr>
              <w:pStyle w:val="Body"/>
              <w:rPr>
                <w:lang w:val="en-GB"/>
              </w:rPr>
            </w:pPr>
          </w:p>
        </w:tc>
        <w:tc>
          <w:tcPr>
            <w:tcW w:w="599" w:type="pct"/>
          </w:tcPr>
          <w:p w:rsidR="00306E0F" w:rsidRPr="000D5AD4" w:rsidRDefault="00306E0F" w:rsidP="007363EE">
            <w:pPr>
              <w:pStyle w:val="Body"/>
              <w:rPr>
                <w:rFonts w:ascii="Arial" w:eastAsia="Arial" w:hAnsi="Arial" w:cs="Arial"/>
                <w:lang w:val="en-GB"/>
              </w:rPr>
            </w:pPr>
          </w:p>
          <w:p w:rsidR="00306E0F" w:rsidRPr="000D5AD4" w:rsidRDefault="00306E0F" w:rsidP="007363EE">
            <w:pPr>
              <w:pStyle w:val="Body"/>
              <w:rPr>
                <w:lang w:val="en-GB"/>
              </w:rPr>
            </w:pPr>
          </w:p>
        </w:tc>
      </w:tr>
      <w:tr w:rsidR="00B57689" w:rsidRPr="000D5AD4" w:rsidTr="00561137">
        <w:tc>
          <w:tcPr>
            <w:tcW w:w="227" w:type="pct"/>
          </w:tcPr>
          <w:p w:rsidR="00B57689" w:rsidRPr="000D5AD4" w:rsidRDefault="00B57689" w:rsidP="001F3F9E">
            <w:pPr>
              <w:rPr>
                <w:rFonts w:ascii="Arial" w:hAnsi="Arial" w:cs="Arial"/>
              </w:rPr>
            </w:pPr>
            <w:r w:rsidRPr="000D5AD4">
              <w:rPr>
                <w:rFonts w:ascii="Arial" w:hAnsi="Arial" w:cs="Arial"/>
              </w:rPr>
              <w:lastRenderedPageBreak/>
              <w:t>7.</w:t>
            </w:r>
          </w:p>
        </w:tc>
        <w:tc>
          <w:tcPr>
            <w:tcW w:w="2639" w:type="pct"/>
          </w:tcPr>
          <w:p w:rsidR="005152F6" w:rsidRDefault="005152F6" w:rsidP="005152F6">
            <w:pPr>
              <w:pStyle w:val="Body"/>
              <w:rPr>
                <w:rFonts w:ascii="Arial"/>
                <w:b/>
                <w:bCs/>
                <w:lang w:val="en-GB"/>
              </w:rPr>
            </w:pPr>
            <w:r>
              <w:rPr>
                <w:rFonts w:ascii="Arial"/>
                <w:b/>
                <w:bCs/>
                <w:lang w:val="en-GB"/>
              </w:rPr>
              <w:t>Transformation Savings</w:t>
            </w:r>
          </w:p>
          <w:p w:rsidR="00125530" w:rsidRPr="001144AE" w:rsidRDefault="005152F6" w:rsidP="00AE4507">
            <w:pPr>
              <w:pStyle w:val="Body"/>
              <w:rPr>
                <w:rFonts w:ascii="Arial"/>
                <w:bCs/>
                <w:lang w:val="en-GB"/>
              </w:rPr>
            </w:pPr>
            <w:r w:rsidRPr="005152F6">
              <w:rPr>
                <w:rFonts w:ascii="Arial"/>
                <w:bCs/>
                <w:lang w:val="en-GB"/>
              </w:rPr>
              <w:t>VH confirmed that the transformation saving plan was on target.</w:t>
            </w:r>
          </w:p>
        </w:tc>
        <w:tc>
          <w:tcPr>
            <w:tcW w:w="989" w:type="pct"/>
          </w:tcPr>
          <w:p w:rsidR="00125530" w:rsidRPr="007E794C" w:rsidRDefault="00125530" w:rsidP="00596313">
            <w:pPr>
              <w:pStyle w:val="Body"/>
              <w:rPr>
                <w:rFonts w:ascii="Arial" w:eastAsia="Arial" w:hAnsi="Arial" w:cs="Arial"/>
                <w:b/>
                <w:bCs/>
                <w:color w:val="auto"/>
                <w:lang w:val="en-GB"/>
              </w:rPr>
            </w:pPr>
          </w:p>
        </w:tc>
        <w:tc>
          <w:tcPr>
            <w:tcW w:w="545" w:type="pct"/>
          </w:tcPr>
          <w:p w:rsidR="00B57689" w:rsidRDefault="00B57689" w:rsidP="007363EE">
            <w:pPr>
              <w:pStyle w:val="Body"/>
              <w:rPr>
                <w:rFonts w:ascii="Arial" w:eastAsia="Arial" w:hAnsi="Arial" w:cs="Arial"/>
                <w:lang w:val="en-GB"/>
              </w:rPr>
            </w:pPr>
          </w:p>
          <w:p w:rsidR="009E6EFE" w:rsidRDefault="009E6EFE" w:rsidP="007363EE">
            <w:pPr>
              <w:pStyle w:val="Body"/>
              <w:rPr>
                <w:rFonts w:ascii="Arial" w:eastAsia="Arial" w:hAnsi="Arial" w:cs="Arial"/>
                <w:lang w:val="en-GB"/>
              </w:rPr>
            </w:pPr>
          </w:p>
          <w:p w:rsidR="006A62C6" w:rsidRPr="000D5AD4" w:rsidRDefault="006A62C6" w:rsidP="007363EE">
            <w:pPr>
              <w:pStyle w:val="Body"/>
              <w:rPr>
                <w:rFonts w:ascii="Arial" w:eastAsia="Arial" w:hAnsi="Arial" w:cs="Arial"/>
                <w:lang w:val="en-GB"/>
              </w:rPr>
            </w:pPr>
          </w:p>
        </w:tc>
        <w:tc>
          <w:tcPr>
            <w:tcW w:w="599" w:type="pct"/>
          </w:tcPr>
          <w:p w:rsidR="000A069C" w:rsidRDefault="000A069C" w:rsidP="007363EE">
            <w:pPr>
              <w:pStyle w:val="Body"/>
              <w:rPr>
                <w:rFonts w:ascii="Arial" w:eastAsia="Arial" w:hAnsi="Arial" w:cs="Arial"/>
                <w:lang w:val="en-GB"/>
              </w:rPr>
            </w:pPr>
          </w:p>
          <w:p w:rsidR="009E6EFE" w:rsidRDefault="009E6EFE" w:rsidP="007363EE">
            <w:pPr>
              <w:pStyle w:val="Body"/>
              <w:rPr>
                <w:rFonts w:ascii="Arial" w:eastAsia="Arial" w:hAnsi="Arial" w:cs="Arial"/>
                <w:lang w:val="en-GB"/>
              </w:rPr>
            </w:pPr>
          </w:p>
          <w:p w:rsidR="006A62C6" w:rsidRPr="000D5AD4" w:rsidRDefault="006A62C6" w:rsidP="007363EE">
            <w:pPr>
              <w:pStyle w:val="Body"/>
              <w:rPr>
                <w:rFonts w:ascii="Arial" w:eastAsia="Arial" w:hAnsi="Arial" w:cs="Arial"/>
                <w:lang w:val="en-GB"/>
              </w:rPr>
            </w:pPr>
          </w:p>
        </w:tc>
      </w:tr>
      <w:tr w:rsidR="00306E0F" w:rsidRPr="000D5AD4" w:rsidTr="00561137">
        <w:trPr>
          <w:trHeight w:val="751"/>
        </w:trPr>
        <w:tc>
          <w:tcPr>
            <w:tcW w:w="227" w:type="pct"/>
          </w:tcPr>
          <w:p w:rsidR="00306E0F" w:rsidRPr="000D5AD4" w:rsidRDefault="00B57689" w:rsidP="001F3F9E">
            <w:pPr>
              <w:rPr>
                <w:rFonts w:ascii="Arial" w:hAnsi="Arial" w:cs="Arial"/>
              </w:rPr>
            </w:pPr>
            <w:r w:rsidRPr="000D5AD4">
              <w:rPr>
                <w:rFonts w:ascii="Arial" w:hAnsi="Arial" w:cs="Arial"/>
              </w:rPr>
              <w:t>8.</w:t>
            </w:r>
          </w:p>
        </w:tc>
        <w:tc>
          <w:tcPr>
            <w:tcW w:w="2639" w:type="pct"/>
          </w:tcPr>
          <w:p w:rsidR="00BC3A69" w:rsidRDefault="00BC3A69" w:rsidP="00BC3A69">
            <w:pPr>
              <w:pStyle w:val="Body"/>
              <w:rPr>
                <w:rFonts w:ascii="Arial"/>
                <w:b/>
                <w:bCs/>
                <w:lang w:val="en-GB"/>
              </w:rPr>
            </w:pPr>
            <w:r>
              <w:rPr>
                <w:rFonts w:ascii="Arial"/>
                <w:b/>
                <w:bCs/>
                <w:lang w:val="en-GB"/>
              </w:rPr>
              <w:t>Quarterly Finance Report (underspend)</w:t>
            </w:r>
          </w:p>
          <w:p w:rsidR="00FC2AA1" w:rsidRDefault="00F150E1" w:rsidP="00BC3A69">
            <w:pPr>
              <w:pStyle w:val="Body"/>
              <w:tabs>
                <w:tab w:val="left" w:pos="2373"/>
              </w:tabs>
              <w:rPr>
                <w:rFonts w:ascii="Arial" w:eastAsia="Arial" w:hAnsi="Arial" w:cs="Arial"/>
                <w:lang w:val="en-GB"/>
              </w:rPr>
            </w:pPr>
            <w:r>
              <w:rPr>
                <w:rFonts w:ascii="Arial" w:eastAsia="Arial" w:hAnsi="Arial" w:cs="Arial"/>
                <w:lang w:val="en-GB"/>
              </w:rPr>
              <w:t>DM confirmed that the forecast underspend is cur</w:t>
            </w:r>
            <w:r w:rsidR="00FC2AA1">
              <w:rPr>
                <w:rFonts w:ascii="Arial" w:eastAsia="Arial" w:hAnsi="Arial" w:cs="Arial"/>
                <w:lang w:val="en-GB"/>
              </w:rPr>
              <w:t>rently £5.1m. DM noted that</w:t>
            </w:r>
            <w:r w:rsidR="00717B47">
              <w:rPr>
                <w:rFonts w:ascii="Arial" w:eastAsia="Arial" w:hAnsi="Arial" w:cs="Arial"/>
                <w:lang w:val="en-GB"/>
              </w:rPr>
              <w:t xml:space="preserve"> the capital receipt for the sale of Brentwood police station </w:t>
            </w:r>
            <w:r w:rsidR="00FC2AA1">
              <w:rPr>
                <w:rFonts w:ascii="Arial" w:eastAsia="Arial" w:hAnsi="Arial" w:cs="Arial"/>
                <w:lang w:val="en-GB"/>
              </w:rPr>
              <w:t xml:space="preserve">may not be received </w:t>
            </w:r>
            <w:r w:rsidR="00717B47">
              <w:rPr>
                <w:rFonts w:ascii="Arial" w:eastAsia="Arial" w:hAnsi="Arial" w:cs="Arial"/>
                <w:lang w:val="en-GB"/>
              </w:rPr>
              <w:t xml:space="preserve">in this financial year, however further updates would follow. </w:t>
            </w:r>
            <w:r w:rsidR="00FC2AA1">
              <w:rPr>
                <w:rFonts w:ascii="Arial" w:eastAsia="Arial" w:hAnsi="Arial" w:cs="Arial"/>
                <w:lang w:val="en-GB"/>
              </w:rPr>
              <w:t>DM said that spend on officer overtime was on target at £3.9m and a further £1.7m for bank holidays.</w:t>
            </w:r>
          </w:p>
          <w:p w:rsidR="00640F96" w:rsidRDefault="00640F96" w:rsidP="00BC3A69">
            <w:pPr>
              <w:pStyle w:val="Body"/>
              <w:tabs>
                <w:tab w:val="left" w:pos="2373"/>
              </w:tabs>
              <w:rPr>
                <w:rFonts w:ascii="Arial" w:eastAsia="Arial" w:hAnsi="Arial" w:cs="Arial"/>
                <w:lang w:val="en-GB"/>
              </w:rPr>
            </w:pPr>
          </w:p>
          <w:p w:rsidR="00640F96" w:rsidRDefault="00640F96" w:rsidP="00BC3A69">
            <w:pPr>
              <w:pStyle w:val="Body"/>
              <w:tabs>
                <w:tab w:val="left" w:pos="2373"/>
              </w:tabs>
              <w:rPr>
                <w:rFonts w:ascii="Arial" w:eastAsia="Arial" w:hAnsi="Arial" w:cs="Arial"/>
                <w:lang w:val="en-GB"/>
              </w:rPr>
            </w:pPr>
            <w:r>
              <w:rPr>
                <w:rFonts w:ascii="Arial" w:eastAsia="Arial" w:hAnsi="Arial" w:cs="Arial"/>
                <w:lang w:val="en-GB"/>
              </w:rPr>
              <w:t xml:space="preserve">RJ also noted that there have been additional forensic cost pressures in months 7 and 8. </w:t>
            </w:r>
          </w:p>
          <w:p w:rsidR="005E4C28" w:rsidRDefault="005E4C28" w:rsidP="00BC3A69">
            <w:pPr>
              <w:pStyle w:val="Body"/>
              <w:tabs>
                <w:tab w:val="left" w:pos="2373"/>
              </w:tabs>
              <w:rPr>
                <w:rFonts w:ascii="Arial" w:eastAsia="Arial" w:hAnsi="Arial" w:cs="Arial"/>
                <w:lang w:val="en-GB"/>
              </w:rPr>
            </w:pPr>
          </w:p>
          <w:p w:rsidR="005E4C28" w:rsidRDefault="005E4C28" w:rsidP="00BC3A69">
            <w:pPr>
              <w:pStyle w:val="Body"/>
              <w:tabs>
                <w:tab w:val="left" w:pos="2373"/>
              </w:tabs>
              <w:rPr>
                <w:rFonts w:ascii="Arial" w:eastAsia="Arial" w:hAnsi="Arial" w:cs="Arial"/>
                <w:lang w:val="en-GB"/>
              </w:rPr>
            </w:pPr>
            <w:r>
              <w:rPr>
                <w:rFonts w:ascii="Arial" w:eastAsia="Arial" w:hAnsi="Arial" w:cs="Arial"/>
                <w:lang w:val="en-GB"/>
              </w:rPr>
              <w:t>SH said that a finance paper was to be presented to the Police and Crime Panel on the 1</w:t>
            </w:r>
            <w:r w:rsidRPr="005E4C28">
              <w:rPr>
                <w:rFonts w:ascii="Arial" w:eastAsia="Arial" w:hAnsi="Arial" w:cs="Arial"/>
                <w:vertAlign w:val="superscript"/>
                <w:lang w:val="en-GB"/>
              </w:rPr>
              <w:t>st</w:t>
            </w:r>
            <w:r>
              <w:rPr>
                <w:rFonts w:ascii="Arial" w:eastAsia="Arial" w:hAnsi="Arial" w:cs="Arial"/>
                <w:lang w:val="en-GB"/>
              </w:rPr>
              <w:t xml:space="preserve"> December and asked that the relevant information could be passed to the OPCC in advance of this meeting to enable the paper to be written. </w:t>
            </w:r>
            <w:r w:rsidR="007E794C">
              <w:rPr>
                <w:rFonts w:ascii="Arial" w:eastAsia="Arial" w:hAnsi="Arial" w:cs="Arial"/>
                <w:lang w:val="en-GB"/>
              </w:rPr>
              <w:t>SH asked for time to b</w:t>
            </w:r>
            <w:r w:rsidR="000C47F4">
              <w:rPr>
                <w:rFonts w:ascii="Arial" w:eastAsia="Arial" w:hAnsi="Arial" w:cs="Arial"/>
                <w:lang w:val="en-GB"/>
              </w:rPr>
              <w:t>e set aside before this date to discuss the details.</w:t>
            </w:r>
          </w:p>
          <w:p w:rsidR="007E794C" w:rsidRPr="000D5AD4" w:rsidRDefault="007E794C" w:rsidP="00BC3A69">
            <w:pPr>
              <w:pStyle w:val="Body"/>
              <w:tabs>
                <w:tab w:val="left" w:pos="2373"/>
              </w:tabs>
              <w:rPr>
                <w:rFonts w:ascii="Arial" w:eastAsia="Arial" w:hAnsi="Arial" w:cs="Arial"/>
                <w:lang w:val="en-GB"/>
              </w:rPr>
            </w:pPr>
          </w:p>
        </w:tc>
        <w:tc>
          <w:tcPr>
            <w:tcW w:w="989" w:type="pct"/>
          </w:tcPr>
          <w:p w:rsidR="00306E0F" w:rsidRPr="007E794C" w:rsidRDefault="00306E0F" w:rsidP="007363EE">
            <w:pPr>
              <w:pStyle w:val="Body"/>
              <w:rPr>
                <w:rFonts w:ascii="Arial" w:eastAsia="Arial" w:hAnsi="Arial" w:cs="Arial"/>
                <w:b/>
                <w:bCs/>
                <w:color w:val="auto"/>
                <w:lang w:val="en-GB"/>
              </w:rPr>
            </w:pPr>
          </w:p>
          <w:p w:rsidR="00EB4539" w:rsidRPr="007E794C" w:rsidRDefault="00EB4539" w:rsidP="0013038F">
            <w:pPr>
              <w:pStyle w:val="Body"/>
              <w:rPr>
                <w:rFonts w:ascii="Arial" w:eastAsia="Arial" w:hAnsi="Arial" w:cs="Arial"/>
                <w:b/>
                <w:bCs/>
                <w:color w:val="auto"/>
                <w:lang w:val="en-GB"/>
              </w:rPr>
            </w:pPr>
          </w:p>
          <w:p w:rsidR="000C47F4" w:rsidRPr="007E794C" w:rsidRDefault="000C47F4" w:rsidP="0013038F">
            <w:pPr>
              <w:pStyle w:val="Body"/>
              <w:rPr>
                <w:rFonts w:ascii="Arial" w:eastAsia="Arial" w:hAnsi="Arial" w:cs="Arial"/>
                <w:b/>
                <w:bCs/>
                <w:color w:val="auto"/>
                <w:lang w:val="en-GB"/>
              </w:rPr>
            </w:pPr>
          </w:p>
          <w:p w:rsidR="000C47F4" w:rsidRPr="007E794C" w:rsidRDefault="000C47F4" w:rsidP="0013038F">
            <w:pPr>
              <w:pStyle w:val="Body"/>
              <w:rPr>
                <w:rFonts w:ascii="Arial" w:eastAsia="Arial" w:hAnsi="Arial" w:cs="Arial"/>
                <w:b/>
                <w:bCs/>
                <w:color w:val="auto"/>
                <w:lang w:val="en-GB"/>
              </w:rPr>
            </w:pPr>
          </w:p>
          <w:p w:rsidR="000C47F4" w:rsidRPr="007E794C" w:rsidRDefault="000C47F4" w:rsidP="0013038F">
            <w:pPr>
              <w:pStyle w:val="Body"/>
              <w:rPr>
                <w:rFonts w:ascii="Arial" w:eastAsia="Arial" w:hAnsi="Arial" w:cs="Arial"/>
                <w:b/>
                <w:bCs/>
                <w:color w:val="auto"/>
                <w:lang w:val="en-GB"/>
              </w:rPr>
            </w:pPr>
          </w:p>
          <w:p w:rsidR="000C47F4" w:rsidRPr="007E794C" w:rsidRDefault="000C47F4" w:rsidP="0013038F">
            <w:pPr>
              <w:pStyle w:val="Body"/>
              <w:rPr>
                <w:rFonts w:ascii="Arial" w:eastAsia="Arial" w:hAnsi="Arial" w:cs="Arial"/>
                <w:b/>
                <w:bCs/>
                <w:color w:val="auto"/>
                <w:lang w:val="en-GB"/>
              </w:rPr>
            </w:pPr>
          </w:p>
          <w:p w:rsidR="000C47F4" w:rsidRPr="007E794C" w:rsidRDefault="000C47F4" w:rsidP="0013038F">
            <w:pPr>
              <w:pStyle w:val="Body"/>
              <w:rPr>
                <w:rFonts w:ascii="Arial" w:eastAsia="Arial" w:hAnsi="Arial" w:cs="Arial"/>
                <w:b/>
                <w:bCs/>
                <w:color w:val="auto"/>
                <w:lang w:val="en-GB"/>
              </w:rPr>
            </w:pPr>
          </w:p>
          <w:p w:rsidR="000C47F4" w:rsidRPr="007E794C" w:rsidRDefault="000C47F4" w:rsidP="0013038F">
            <w:pPr>
              <w:pStyle w:val="Body"/>
              <w:rPr>
                <w:rFonts w:ascii="Arial" w:eastAsia="Arial" w:hAnsi="Arial" w:cs="Arial"/>
                <w:b/>
                <w:bCs/>
                <w:color w:val="auto"/>
                <w:lang w:val="en-GB"/>
              </w:rPr>
            </w:pPr>
          </w:p>
          <w:p w:rsidR="000C47F4" w:rsidRPr="007E794C" w:rsidRDefault="000C47F4" w:rsidP="0013038F">
            <w:pPr>
              <w:pStyle w:val="Body"/>
              <w:rPr>
                <w:rFonts w:ascii="Arial" w:eastAsia="Arial" w:hAnsi="Arial" w:cs="Arial"/>
                <w:b/>
                <w:bCs/>
                <w:color w:val="auto"/>
                <w:lang w:val="en-GB"/>
              </w:rPr>
            </w:pPr>
          </w:p>
          <w:p w:rsidR="000C47F4" w:rsidRPr="007E794C" w:rsidRDefault="000C47F4" w:rsidP="0013038F">
            <w:pPr>
              <w:pStyle w:val="Body"/>
              <w:rPr>
                <w:rFonts w:ascii="Arial" w:eastAsia="Arial" w:hAnsi="Arial" w:cs="Arial"/>
                <w:b/>
                <w:bCs/>
                <w:color w:val="auto"/>
                <w:lang w:val="en-GB"/>
              </w:rPr>
            </w:pPr>
          </w:p>
          <w:p w:rsidR="000C47F4" w:rsidRPr="007E794C" w:rsidRDefault="000C47F4" w:rsidP="003310A2">
            <w:pPr>
              <w:pStyle w:val="Body"/>
              <w:rPr>
                <w:rFonts w:ascii="Arial" w:eastAsia="Arial" w:hAnsi="Arial" w:cs="Arial"/>
                <w:b/>
                <w:bCs/>
                <w:color w:val="auto"/>
                <w:lang w:val="en-GB"/>
              </w:rPr>
            </w:pPr>
            <w:r w:rsidRPr="007E794C">
              <w:rPr>
                <w:rFonts w:ascii="Arial" w:eastAsia="Arial" w:hAnsi="Arial" w:cs="Arial"/>
                <w:b/>
                <w:bCs/>
                <w:color w:val="auto"/>
                <w:lang w:val="en-GB"/>
              </w:rPr>
              <w:t>7</w:t>
            </w:r>
            <w:r w:rsidR="003310A2">
              <w:rPr>
                <w:rFonts w:ascii="Arial" w:eastAsia="Arial" w:hAnsi="Arial" w:cs="Arial"/>
                <w:b/>
                <w:bCs/>
                <w:color w:val="auto"/>
                <w:lang w:val="en-GB"/>
              </w:rPr>
              <w:t>1</w:t>
            </w:r>
            <w:r w:rsidRPr="007E794C">
              <w:rPr>
                <w:rFonts w:ascii="Arial" w:eastAsia="Arial" w:hAnsi="Arial" w:cs="Arial"/>
                <w:b/>
                <w:bCs/>
                <w:color w:val="auto"/>
                <w:lang w:val="en-GB"/>
              </w:rPr>
              <w:t xml:space="preserve">/16 – </w:t>
            </w:r>
            <w:proofErr w:type="spellStart"/>
            <w:r w:rsidRPr="007E794C">
              <w:rPr>
                <w:rFonts w:ascii="Arial" w:eastAsia="Arial" w:hAnsi="Arial" w:cs="Arial"/>
                <w:b/>
                <w:bCs/>
                <w:color w:val="auto"/>
                <w:lang w:val="en-GB"/>
              </w:rPr>
              <w:t>DM</w:t>
            </w:r>
            <w:proofErr w:type="spellEnd"/>
            <w:r w:rsidRPr="007E794C">
              <w:rPr>
                <w:rFonts w:ascii="Arial" w:eastAsia="Arial" w:hAnsi="Arial" w:cs="Arial"/>
                <w:b/>
                <w:bCs/>
                <w:color w:val="auto"/>
                <w:lang w:val="en-GB"/>
              </w:rPr>
              <w:t>/RH/CG/</w:t>
            </w:r>
            <w:proofErr w:type="spellStart"/>
            <w:r w:rsidRPr="007E794C">
              <w:rPr>
                <w:rFonts w:ascii="Arial" w:eastAsia="Arial" w:hAnsi="Arial" w:cs="Arial"/>
                <w:b/>
                <w:bCs/>
                <w:color w:val="auto"/>
                <w:lang w:val="en-GB"/>
              </w:rPr>
              <w:t>SH</w:t>
            </w:r>
            <w:proofErr w:type="spellEnd"/>
            <w:r w:rsidRPr="007E794C">
              <w:rPr>
                <w:rFonts w:ascii="Arial" w:eastAsia="Arial" w:hAnsi="Arial" w:cs="Arial"/>
                <w:b/>
                <w:bCs/>
                <w:color w:val="auto"/>
                <w:lang w:val="en-GB"/>
              </w:rPr>
              <w:t xml:space="preserve"> to meet in advance of the Police and Crime Panel to discuss the budget details</w:t>
            </w:r>
          </w:p>
        </w:tc>
        <w:tc>
          <w:tcPr>
            <w:tcW w:w="545" w:type="pct"/>
          </w:tcPr>
          <w:p w:rsidR="00306E0F" w:rsidRPr="000D5AD4" w:rsidRDefault="00306E0F" w:rsidP="007363EE">
            <w:pPr>
              <w:pStyle w:val="Body"/>
              <w:rPr>
                <w:rFonts w:ascii="Arial" w:eastAsia="Arial" w:hAnsi="Arial" w:cs="Arial"/>
                <w:lang w:val="en-GB"/>
              </w:rPr>
            </w:pPr>
          </w:p>
          <w:p w:rsidR="00306E0F" w:rsidRDefault="00306E0F" w:rsidP="007363EE">
            <w:pPr>
              <w:pStyle w:val="Body"/>
              <w:rPr>
                <w:lang w:val="en-GB"/>
              </w:rPr>
            </w:pPr>
          </w:p>
          <w:p w:rsidR="00572073" w:rsidRDefault="00572073" w:rsidP="007363EE">
            <w:pPr>
              <w:pStyle w:val="Body"/>
              <w:rPr>
                <w:lang w:val="en-GB"/>
              </w:rPr>
            </w:pPr>
          </w:p>
          <w:p w:rsidR="00572073" w:rsidRDefault="00572073" w:rsidP="009D132A">
            <w:pPr>
              <w:pStyle w:val="Body"/>
              <w:rPr>
                <w:lang w:val="en-GB"/>
              </w:rPr>
            </w:pPr>
          </w:p>
          <w:p w:rsidR="000C47F4" w:rsidRDefault="000C47F4" w:rsidP="009D132A">
            <w:pPr>
              <w:pStyle w:val="Body"/>
              <w:rPr>
                <w:lang w:val="en-GB"/>
              </w:rPr>
            </w:pPr>
          </w:p>
          <w:p w:rsidR="000C47F4" w:rsidRDefault="000C47F4" w:rsidP="009D132A">
            <w:pPr>
              <w:pStyle w:val="Body"/>
              <w:rPr>
                <w:lang w:val="en-GB"/>
              </w:rPr>
            </w:pPr>
          </w:p>
          <w:p w:rsidR="000C47F4" w:rsidRDefault="000C47F4" w:rsidP="009D132A">
            <w:pPr>
              <w:pStyle w:val="Body"/>
              <w:rPr>
                <w:lang w:val="en-GB"/>
              </w:rPr>
            </w:pPr>
          </w:p>
          <w:p w:rsidR="000C47F4" w:rsidRDefault="000C47F4" w:rsidP="009D132A">
            <w:pPr>
              <w:pStyle w:val="Body"/>
              <w:rPr>
                <w:lang w:val="en-GB"/>
              </w:rPr>
            </w:pPr>
          </w:p>
          <w:p w:rsidR="000C47F4" w:rsidRDefault="000C47F4" w:rsidP="009D132A">
            <w:pPr>
              <w:pStyle w:val="Body"/>
              <w:rPr>
                <w:lang w:val="en-GB"/>
              </w:rPr>
            </w:pPr>
          </w:p>
          <w:p w:rsidR="000C47F4" w:rsidRDefault="000C47F4" w:rsidP="009D132A">
            <w:pPr>
              <w:pStyle w:val="Body"/>
              <w:rPr>
                <w:lang w:val="en-GB"/>
              </w:rPr>
            </w:pPr>
          </w:p>
          <w:p w:rsidR="000C47F4" w:rsidRPr="000D5AD4" w:rsidRDefault="000C47F4" w:rsidP="009D132A">
            <w:pPr>
              <w:pStyle w:val="Body"/>
              <w:rPr>
                <w:lang w:val="en-GB"/>
              </w:rPr>
            </w:pPr>
            <w:r>
              <w:rPr>
                <w:lang w:val="en-GB"/>
              </w:rPr>
              <w:t>DM/RH/CG/SH</w:t>
            </w:r>
          </w:p>
        </w:tc>
        <w:tc>
          <w:tcPr>
            <w:tcW w:w="599" w:type="pct"/>
          </w:tcPr>
          <w:p w:rsidR="00306E0F" w:rsidRDefault="00306E0F" w:rsidP="007363EE">
            <w:pPr>
              <w:pStyle w:val="Body"/>
              <w:rPr>
                <w:rFonts w:ascii="Arial" w:eastAsia="Arial" w:hAnsi="Arial" w:cs="Arial"/>
                <w:lang w:val="en-GB"/>
              </w:rPr>
            </w:pPr>
          </w:p>
          <w:p w:rsidR="00572073" w:rsidRDefault="00572073"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Default="000C47F4" w:rsidP="007363EE">
            <w:pPr>
              <w:pStyle w:val="Body"/>
              <w:rPr>
                <w:rFonts w:ascii="Arial" w:eastAsia="Arial" w:hAnsi="Arial" w:cs="Arial"/>
                <w:lang w:val="en-GB"/>
              </w:rPr>
            </w:pPr>
          </w:p>
          <w:p w:rsidR="000C47F4" w:rsidRPr="000D5AD4" w:rsidRDefault="000C47F4" w:rsidP="007363EE">
            <w:pPr>
              <w:pStyle w:val="Body"/>
              <w:rPr>
                <w:rFonts w:ascii="Arial" w:eastAsia="Arial" w:hAnsi="Arial" w:cs="Arial"/>
                <w:lang w:val="en-GB"/>
              </w:rPr>
            </w:pPr>
            <w:r>
              <w:rPr>
                <w:rFonts w:ascii="Arial" w:eastAsia="Arial" w:hAnsi="Arial" w:cs="Arial"/>
                <w:lang w:val="en-GB"/>
              </w:rPr>
              <w:t>30</w:t>
            </w:r>
            <w:r w:rsidRPr="000C47F4">
              <w:rPr>
                <w:rFonts w:ascii="Arial" w:eastAsia="Arial" w:hAnsi="Arial" w:cs="Arial"/>
                <w:vertAlign w:val="superscript"/>
                <w:lang w:val="en-GB"/>
              </w:rPr>
              <w:t>th</w:t>
            </w:r>
            <w:r>
              <w:rPr>
                <w:rFonts w:ascii="Arial" w:eastAsia="Arial" w:hAnsi="Arial" w:cs="Arial"/>
                <w:lang w:val="en-GB"/>
              </w:rPr>
              <w:t xml:space="preserve"> November</w:t>
            </w:r>
          </w:p>
        </w:tc>
      </w:tr>
      <w:tr w:rsidR="00E871D5" w:rsidRPr="000D5AD4" w:rsidTr="00561137">
        <w:trPr>
          <w:trHeight w:val="751"/>
        </w:trPr>
        <w:tc>
          <w:tcPr>
            <w:tcW w:w="227" w:type="pct"/>
          </w:tcPr>
          <w:p w:rsidR="00E871D5" w:rsidRPr="000D5AD4" w:rsidRDefault="00E871D5" w:rsidP="001F3F9E">
            <w:pPr>
              <w:rPr>
                <w:rFonts w:ascii="Arial" w:hAnsi="Arial" w:cs="Arial"/>
              </w:rPr>
            </w:pPr>
            <w:r>
              <w:rPr>
                <w:rFonts w:ascii="Arial" w:hAnsi="Arial" w:cs="Arial"/>
              </w:rPr>
              <w:t>9.</w:t>
            </w:r>
          </w:p>
        </w:tc>
        <w:tc>
          <w:tcPr>
            <w:tcW w:w="2639" w:type="pct"/>
          </w:tcPr>
          <w:p w:rsidR="00BC3A69" w:rsidRPr="005528B2" w:rsidRDefault="00BC3A69" w:rsidP="00BC3A69">
            <w:pPr>
              <w:pStyle w:val="Body"/>
              <w:tabs>
                <w:tab w:val="left" w:pos="2373"/>
              </w:tabs>
              <w:rPr>
                <w:rFonts w:ascii="Arial" w:eastAsia="Arial" w:hAnsi="Arial" w:cs="Arial"/>
                <w:b/>
                <w:lang w:val="en-GB"/>
              </w:rPr>
            </w:pPr>
            <w:r>
              <w:rPr>
                <w:rFonts w:ascii="Arial" w:eastAsia="Arial" w:hAnsi="Arial" w:cs="Arial"/>
                <w:b/>
                <w:lang w:val="en-GB"/>
              </w:rPr>
              <w:t>Deployment of Resources</w:t>
            </w:r>
          </w:p>
          <w:p w:rsidR="00E871D5" w:rsidRDefault="007E794C" w:rsidP="007363EE">
            <w:pPr>
              <w:pStyle w:val="Body"/>
              <w:tabs>
                <w:tab w:val="left" w:pos="2373"/>
              </w:tabs>
              <w:rPr>
                <w:rFonts w:ascii="Arial" w:eastAsia="Arial" w:hAnsi="Arial" w:cs="Arial"/>
                <w:lang w:val="en-GB"/>
              </w:rPr>
            </w:pPr>
            <w:r>
              <w:rPr>
                <w:rFonts w:ascii="Arial" w:eastAsia="Arial" w:hAnsi="Arial" w:cs="Arial"/>
                <w:lang w:val="en-GB"/>
              </w:rPr>
              <w:t>RH noted that half of all officers as located in the LPAs but said many shifts appeared to include only 4 to 6 officers. RL said restricted officers would be incl</w:t>
            </w:r>
            <w:r w:rsidR="005464CD">
              <w:rPr>
                <w:rFonts w:ascii="Arial" w:eastAsia="Arial" w:hAnsi="Arial" w:cs="Arial"/>
                <w:lang w:val="en-GB"/>
              </w:rPr>
              <w:t>uded within the overall figure, for example in the North LPA 88 officers are on restricted duties out of 790.</w:t>
            </w:r>
          </w:p>
          <w:p w:rsidR="005464CD" w:rsidRDefault="005464CD" w:rsidP="007363EE">
            <w:pPr>
              <w:pStyle w:val="Body"/>
              <w:tabs>
                <w:tab w:val="left" w:pos="2373"/>
              </w:tabs>
              <w:rPr>
                <w:rFonts w:ascii="Arial" w:eastAsia="Arial" w:hAnsi="Arial" w:cs="Arial"/>
                <w:lang w:val="en-GB"/>
              </w:rPr>
            </w:pPr>
          </w:p>
          <w:p w:rsidR="005464CD" w:rsidRDefault="005464CD" w:rsidP="007363EE">
            <w:pPr>
              <w:pStyle w:val="Body"/>
              <w:tabs>
                <w:tab w:val="left" w:pos="2373"/>
              </w:tabs>
              <w:rPr>
                <w:rFonts w:ascii="Arial" w:eastAsia="Arial" w:hAnsi="Arial" w:cs="Arial"/>
                <w:lang w:val="en-GB"/>
              </w:rPr>
            </w:pPr>
            <w:r>
              <w:rPr>
                <w:rFonts w:ascii="Arial" w:eastAsia="Arial" w:hAnsi="Arial" w:cs="Arial"/>
                <w:lang w:val="en-GB"/>
              </w:rPr>
              <w:t xml:space="preserve">MH said that EP would provide the OPCC with examples of shifts and how training, sickness and annual leave can affect the attrition of a shift, to provide the deployable resource.  </w:t>
            </w:r>
          </w:p>
          <w:p w:rsidR="005464CD" w:rsidRDefault="005464CD" w:rsidP="007363EE">
            <w:pPr>
              <w:pStyle w:val="Body"/>
              <w:tabs>
                <w:tab w:val="left" w:pos="2373"/>
              </w:tabs>
              <w:rPr>
                <w:rFonts w:ascii="Arial" w:eastAsia="Arial" w:hAnsi="Arial" w:cs="Arial"/>
                <w:lang w:val="en-GB"/>
              </w:rPr>
            </w:pPr>
          </w:p>
          <w:p w:rsidR="005464CD" w:rsidRPr="007E794C" w:rsidRDefault="005464CD" w:rsidP="007363EE">
            <w:pPr>
              <w:pStyle w:val="Body"/>
              <w:tabs>
                <w:tab w:val="left" w:pos="2373"/>
              </w:tabs>
              <w:rPr>
                <w:rFonts w:ascii="Arial" w:eastAsia="Arial" w:hAnsi="Arial" w:cs="Arial"/>
                <w:lang w:val="en-GB"/>
              </w:rPr>
            </w:pPr>
          </w:p>
          <w:p w:rsidR="00E871D5" w:rsidRPr="00E871D5" w:rsidRDefault="00E871D5" w:rsidP="005152F6">
            <w:pPr>
              <w:pStyle w:val="Body"/>
              <w:rPr>
                <w:rFonts w:ascii="Arial" w:eastAsia="Arial" w:hAnsi="Arial" w:cs="Arial"/>
                <w:lang w:val="en-GB"/>
              </w:rPr>
            </w:pPr>
          </w:p>
        </w:tc>
        <w:tc>
          <w:tcPr>
            <w:tcW w:w="989" w:type="pct"/>
          </w:tcPr>
          <w:p w:rsidR="009D132A" w:rsidRDefault="009D132A" w:rsidP="007363EE">
            <w:pPr>
              <w:pStyle w:val="Body"/>
              <w:rPr>
                <w:b/>
                <w:lang w:val="en-GB"/>
              </w:rPr>
            </w:pPr>
          </w:p>
          <w:p w:rsidR="005464CD" w:rsidRDefault="005464CD" w:rsidP="007363EE">
            <w:pPr>
              <w:pStyle w:val="Body"/>
              <w:rPr>
                <w:b/>
                <w:lang w:val="en-GB"/>
              </w:rPr>
            </w:pPr>
          </w:p>
          <w:p w:rsidR="005464CD" w:rsidRDefault="005464CD" w:rsidP="007363EE">
            <w:pPr>
              <w:pStyle w:val="Body"/>
              <w:rPr>
                <w:b/>
                <w:lang w:val="en-GB"/>
              </w:rPr>
            </w:pPr>
          </w:p>
          <w:p w:rsidR="005464CD" w:rsidRDefault="005464CD" w:rsidP="007363EE">
            <w:pPr>
              <w:pStyle w:val="Body"/>
              <w:rPr>
                <w:b/>
                <w:lang w:val="en-GB"/>
              </w:rPr>
            </w:pPr>
          </w:p>
          <w:p w:rsidR="005464CD" w:rsidRDefault="005464CD" w:rsidP="007363EE">
            <w:pPr>
              <w:pStyle w:val="Body"/>
              <w:rPr>
                <w:b/>
                <w:lang w:val="en-GB"/>
              </w:rPr>
            </w:pPr>
          </w:p>
          <w:p w:rsidR="005464CD" w:rsidRDefault="005464CD" w:rsidP="007363EE">
            <w:pPr>
              <w:pStyle w:val="Body"/>
              <w:rPr>
                <w:b/>
                <w:lang w:val="en-GB"/>
              </w:rPr>
            </w:pPr>
          </w:p>
          <w:p w:rsidR="005464CD" w:rsidRPr="009D132A" w:rsidRDefault="003310A2" w:rsidP="001E6866">
            <w:pPr>
              <w:pStyle w:val="Body"/>
              <w:rPr>
                <w:b/>
                <w:lang w:val="en-GB"/>
              </w:rPr>
            </w:pPr>
            <w:r>
              <w:rPr>
                <w:rFonts w:ascii="Arial" w:eastAsia="Arial" w:hAnsi="Arial" w:cs="Arial"/>
                <w:b/>
                <w:bCs/>
                <w:color w:val="auto"/>
                <w:lang w:val="en-GB"/>
              </w:rPr>
              <w:t>72</w:t>
            </w:r>
            <w:r w:rsidR="005464CD" w:rsidRPr="001503E5">
              <w:rPr>
                <w:rFonts w:ascii="Arial" w:eastAsia="Arial" w:hAnsi="Arial" w:cs="Arial"/>
                <w:b/>
                <w:bCs/>
                <w:color w:val="auto"/>
                <w:lang w:val="en-GB"/>
              </w:rPr>
              <w:t>/16 –</w:t>
            </w:r>
            <w:r w:rsidR="001E6866">
              <w:rPr>
                <w:rFonts w:ascii="Arial" w:eastAsia="Arial" w:hAnsi="Arial" w:cs="Arial"/>
                <w:b/>
                <w:bCs/>
                <w:color w:val="auto"/>
                <w:lang w:val="en-GB"/>
              </w:rPr>
              <w:t xml:space="preserve"> </w:t>
            </w:r>
            <w:proofErr w:type="spellStart"/>
            <w:r w:rsidR="001E6866">
              <w:rPr>
                <w:rFonts w:ascii="Arial" w:eastAsia="Arial" w:hAnsi="Arial" w:cs="Arial"/>
                <w:b/>
                <w:bCs/>
                <w:color w:val="auto"/>
                <w:lang w:val="en-GB"/>
              </w:rPr>
              <w:t>RL</w:t>
            </w:r>
            <w:proofErr w:type="spellEnd"/>
            <w:r w:rsidR="001E6866">
              <w:rPr>
                <w:rFonts w:ascii="Arial" w:eastAsia="Arial" w:hAnsi="Arial" w:cs="Arial"/>
                <w:b/>
                <w:bCs/>
                <w:color w:val="auto"/>
                <w:lang w:val="en-GB"/>
              </w:rPr>
              <w:t xml:space="preserve"> to provide shift examples which demonstrate </w:t>
            </w:r>
            <w:r w:rsidR="005464CD" w:rsidRPr="001503E5">
              <w:rPr>
                <w:rFonts w:ascii="Arial" w:eastAsia="Arial" w:hAnsi="Arial" w:cs="Arial"/>
                <w:b/>
                <w:bCs/>
                <w:color w:val="auto"/>
                <w:lang w:val="en-GB"/>
              </w:rPr>
              <w:t>deployable strength following attrition factors</w:t>
            </w:r>
          </w:p>
        </w:tc>
        <w:tc>
          <w:tcPr>
            <w:tcW w:w="545" w:type="pct"/>
          </w:tcPr>
          <w:p w:rsidR="009D132A" w:rsidRDefault="009D132A" w:rsidP="00596313">
            <w:pPr>
              <w:pStyle w:val="Body"/>
              <w:rPr>
                <w:rFonts w:ascii="Arial" w:eastAsia="Arial" w:hAnsi="Arial" w:cs="Arial"/>
                <w:lang w:val="en-GB"/>
              </w:rPr>
            </w:pPr>
          </w:p>
          <w:p w:rsidR="005464CD" w:rsidRDefault="005464CD" w:rsidP="00596313">
            <w:pPr>
              <w:pStyle w:val="Body"/>
              <w:rPr>
                <w:rFonts w:ascii="Arial" w:eastAsia="Arial" w:hAnsi="Arial" w:cs="Arial"/>
                <w:lang w:val="en-GB"/>
              </w:rPr>
            </w:pPr>
          </w:p>
          <w:p w:rsidR="005464CD" w:rsidRDefault="005464CD" w:rsidP="00596313">
            <w:pPr>
              <w:pStyle w:val="Body"/>
              <w:rPr>
                <w:rFonts w:ascii="Arial" w:eastAsia="Arial" w:hAnsi="Arial" w:cs="Arial"/>
                <w:lang w:val="en-GB"/>
              </w:rPr>
            </w:pPr>
          </w:p>
          <w:p w:rsidR="005464CD" w:rsidRDefault="005464CD" w:rsidP="00596313">
            <w:pPr>
              <w:pStyle w:val="Body"/>
              <w:rPr>
                <w:rFonts w:ascii="Arial" w:eastAsia="Arial" w:hAnsi="Arial" w:cs="Arial"/>
                <w:lang w:val="en-GB"/>
              </w:rPr>
            </w:pPr>
          </w:p>
          <w:p w:rsidR="005464CD" w:rsidRDefault="005464CD" w:rsidP="00596313">
            <w:pPr>
              <w:pStyle w:val="Body"/>
              <w:rPr>
                <w:rFonts w:ascii="Arial" w:eastAsia="Arial" w:hAnsi="Arial" w:cs="Arial"/>
                <w:lang w:val="en-GB"/>
              </w:rPr>
            </w:pPr>
          </w:p>
          <w:p w:rsidR="005464CD" w:rsidRDefault="005464CD" w:rsidP="00596313">
            <w:pPr>
              <w:pStyle w:val="Body"/>
              <w:rPr>
                <w:rFonts w:ascii="Arial" w:eastAsia="Arial" w:hAnsi="Arial" w:cs="Arial"/>
                <w:lang w:val="en-GB"/>
              </w:rPr>
            </w:pPr>
          </w:p>
          <w:p w:rsidR="005464CD" w:rsidRPr="000D5AD4" w:rsidRDefault="005464CD" w:rsidP="00596313">
            <w:pPr>
              <w:pStyle w:val="Body"/>
              <w:rPr>
                <w:rFonts w:ascii="Arial" w:eastAsia="Arial" w:hAnsi="Arial" w:cs="Arial"/>
                <w:lang w:val="en-GB"/>
              </w:rPr>
            </w:pPr>
            <w:r>
              <w:rPr>
                <w:rFonts w:ascii="Arial" w:eastAsia="Arial" w:hAnsi="Arial" w:cs="Arial"/>
                <w:lang w:val="en-GB"/>
              </w:rPr>
              <w:t>RL</w:t>
            </w:r>
          </w:p>
        </w:tc>
        <w:tc>
          <w:tcPr>
            <w:tcW w:w="599" w:type="pct"/>
          </w:tcPr>
          <w:p w:rsidR="009D132A" w:rsidRDefault="009D132A" w:rsidP="007363EE">
            <w:pPr>
              <w:pStyle w:val="Body"/>
              <w:rPr>
                <w:rFonts w:ascii="Arial" w:eastAsia="Arial" w:hAnsi="Arial" w:cs="Arial"/>
                <w:lang w:val="en-GB"/>
              </w:rPr>
            </w:pPr>
          </w:p>
          <w:p w:rsidR="005464CD" w:rsidRDefault="005464CD" w:rsidP="007363EE">
            <w:pPr>
              <w:pStyle w:val="Body"/>
              <w:rPr>
                <w:rFonts w:ascii="Arial" w:eastAsia="Arial" w:hAnsi="Arial" w:cs="Arial"/>
                <w:lang w:val="en-GB"/>
              </w:rPr>
            </w:pPr>
          </w:p>
          <w:p w:rsidR="005464CD" w:rsidRDefault="005464CD" w:rsidP="007363EE">
            <w:pPr>
              <w:pStyle w:val="Body"/>
              <w:rPr>
                <w:rFonts w:ascii="Arial" w:eastAsia="Arial" w:hAnsi="Arial" w:cs="Arial"/>
                <w:lang w:val="en-GB"/>
              </w:rPr>
            </w:pPr>
          </w:p>
          <w:p w:rsidR="005464CD" w:rsidRDefault="005464CD" w:rsidP="007363EE">
            <w:pPr>
              <w:pStyle w:val="Body"/>
              <w:rPr>
                <w:rFonts w:ascii="Arial" w:eastAsia="Arial" w:hAnsi="Arial" w:cs="Arial"/>
                <w:lang w:val="en-GB"/>
              </w:rPr>
            </w:pPr>
          </w:p>
          <w:p w:rsidR="005464CD" w:rsidRDefault="005464CD" w:rsidP="007363EE">
            <w:pPr>
              <w:pStyle w:val="Body"/>
              <w:rPr>
                <w:rFonts w:ascii="Arial" w:eastAsia="Arial" w:hAnsi="Arial" w:cs="Arial"/>
                <w:lang w:val="en-GB"/>
              </w:rPr>
            </w:pPr>
          </w:p>
          <w:p w:rsidR="005464CD" w:rsidRDefault="005464CD" w:rsidP="007363EE">
            <w:pPr>
              <w:pStyle w:val="Body"/>
              <w:rPr>
                <w:rFonts w:ascii="Arial" w:eastAsia="Arial" w:hAnsi="Arial" w:cs="Arial"/>
                <w:lang w:val="en-GB"/>
              </w:rPr>
            </w:pPr>
          </w:p>
          <w:p w:rsidR="005464CD" w:rsidRPr="000D5AD4" w:rsidRDefault="005464CD" w:rsidP="007363EE">
            <w:pPr>
              <w:pStyle w:val="Body"/>
              <w:rPr>
                <w:rFonts w:ascii="Arial" w:eastAsia="Arial" w:hAnsi="Arial" w:cs="Arial"/>
                <w:lang w:val="en-GB"/>
              </w:rPr>
            </w:pPr>
            <w:r>
              <w:rPr>
                <w:rFonts w:ascii="Arial" w:eastAsia="Arial" w:hAnsi="Arial" w:cs="Arial"/>
                <w:lang w:val="en-GB"/>
              </w:rPr>
              <w:t>24</w:t>
            </w:r>
            <w:r w:rsidRPr="005464CD">
              <w:rPr>
                <w:rFonts w:ascii="Arial" w:eastAsia="Arial" w:hAnsi="Arial" w:cs="Arial"/>
                <w:vertAlign w:val="superscript"/>
                <w:lang w:val="en-GB"/>
              </w:rPr>
              <w:t>th</w:t>
            </w:r>
            <w:r>
              <w:rPr>
                <w:rFonts w:ascii="Arial" w:eastAsia="Arial" w:hAnsi="Arial" w:cs="Arial"/>
                <w:lang w:val="en-GB"/>
              </w:rPr>
              <w:t xml:space="preserve"> November</w:t>
            </w:r>
          </w:p>
        </w:tc>
      </w:tr>
      <w:tr w:rsidR="001348AC" w:rsidRPr="000D5AD4" w:rsidTr="00561137">
        <w:trPr>
          <w:trHeight w:val="751"/>
        </w:trPr>
        <w:tc>
          <w:tcPr>
            <w:tcW w:w="227" w:type="pct"/>
          </w:tcPr>
          <w:p w:rsidR="001348AC" w:rsidRDefault="001348AC" w:rsidP="001F3F9E">
            <w:pPr>
              <w:rPr>
                <w:rFonts w:ascii="Arial" w:hAnsi="Arial" w:cs="Arial"/>
              </w:rPr>
            </w:pPr>
            <w:r>
              <w:rPr>
                <w:rFonts w:ascii="Arial" w:hAnsi="Arial" w:cs="Arial"/>
              </w:rPr>
              <w:t>12.</w:t>
            </w:r>
          </w:p>
        </w:tc>
        <w:tc>
          <w:tcPr>
            <w:tcW w:w="2639" w:type="pct"/>
          </w:tcPr>
          <w:p w:rsidR="001348AC" w:rsidRPr="00561137" w:rsidRDefault="001348AC" w:rsidP="007363EE">
            <w:pPr>
              <w:pStyle w:val="Body"/>
              <w:tabs>
                <w:tab w:val="left" w:pos="2373"/>
              </w:tabs>
              <w:rPr>
                <w:rFonts w:ascii="Arial" w:eastAsia="Arial" w:hAnsi="Arial" w:cs="Arial"/>
                <w:b/>
                <w:lang w:val="en-GB"/>
              </w:rPr>
            </w:pPr>
            <w:r>
              <w:rPr>
                <w:rFonts w:ascii="Arial" w:eastAsia="Arial" w:hAnsi="Arial" w:cs="Arial"/>
                <w:b/>
                <w:lang w:val="en-GB"/>
              </w:rPr>
              <w:t>AOB</w:t>
            </w:r>
          </w:p>
        </w:tc>
        <w:tc>
          <w:tcPr>
            <w:tcW w:w="989" w:type="pct"/>
          </w:tcPr>
          <w:p w:rsidR="001348AC" w:rsidRDefault="001348AC" w:rsidP="009D132A">
            <w:pPr>
              <w:pStyle w:val="Body"/>
              <w:rPr>
                <w:lang w:val="en-GB"/>
              </w:rPr>
            </w:pPr>
          </w:p>
        </w:tc>
        <w:tc>
          <w:tcPr>
            <w:tcW w:w="545" w:type="pct"/>
          </w:tcPr>
          <w:p w:rsidR="001348AC" w:rsidRDefault="001348AC" w:rsidP="007363EE">
            <w:pPr>
              <w:pStyle w:val="Body"/>
              <w:rPr>
                <w:rFonts w:ascii="Arial" w:eastAsia="Arial" w:hAnsi="Arial" w:cs="Arial"/>
                <w:lang w:val="en-GB"/>
              </w:rPr>
            </w:pPr>
          </w:p>
        </w:tc>
        <w:tc>
          <w:tcPr>
            <w:tcW w:w="599" w:type="pct"/>
          </w:tcPr>
          <w:p w:rsidR="001348AC" w:rsidRDefault="001348AC" w:rsidP="009D132A">
            <w:pPr>
              <w:pStyle w:val="Body"/>
              <w:rPr>
                <w:rFonts w:ascii="Arial" w:eastAsia="Arial" w:hAnsi="Arial" w:cs="Arial"/>
                <w:lang w:val="en-GB"/>
              </w:rPr>
            </w:pPr>
          </w:p>
        </w:tc>
      </w:tr>
      <w:tr w:rsidR="00306E0F" w:rsidRPr="000D5AD4" w:rsidTr="00561137">
        <w:tc>
          <w:tcPr>
            <w:tcW w:w="227" w:type="pct"/>
          </w:tcPr>
          <w:p w:rsidR="00306E0F" w:rsidRPr="000D5AD4" w:rsidRDefault="009D132A" w:rsidP="001F3F9E">
            <w:pPr>
              <w:rPr>
                <w:rFonts w:ascii="Arial" w:hAnsi="Arial" w:cs="Arial"/>
              </w:rPr>
            </w:pPr>
            <w:r>
              <w:rPr>
                <w:rFonts w:ascii="Arial" w:hAnsi="Arial" w:cs="Arial"/>
              </w:rPr>
              <w:t>13.</w:t>
            </w:r>
          </w:p>
        </w:tc>
        <w:tc>
          <w:tcPr>
            <w:tcW w:w="2639" w:type="pct"/>
          </w:tcPr>
          <w:p w:rsidR="00306E0F" w:rsidRPr="000D5AD4" w:rsidRDefault="00306E0F" w:rsidP="009D132A">
            <w:pPr>
              <w:tabs>
                <w:tab w:val="left" w:pos="2373"/>
              </w:tabs>
              <w:rPr>
                <w:rFonts w:ascii="Arial" w:hAnsi="Arial" w:cs="Arial"/>
                <w:b/>
              </w:rPr>
            </w:pPr>
            <w:r w:rsidRPr="000D5AD4">
              <w:rPr>
                <w:rFonts w:ascii="Arial" w:hAnsi="Arial" w:cs="Arial"/>
                <w:b/>
              </w:rPr>
              <w:t>Date of next meeting</w:t>
            </w:r>
            <w:r w:rsidR="00B57689" w:rsidRPr="000D5AD4">
              <w:rPr>
                <w:rFonts w:ascii="Arial" w:hAnsi="Arial" w:cs="Arial"/>
                <w:b/>
              </w:rPr>
              <w:t xml:space="preserve"> –</w:t>
            </w:r>
            <w:r w:rsidR="009603BF">
              <w:rPr>
                <w:rFonts w:ascii="Arial" w:hAnsi="Arial" w:cs="Arial"/>
                <w:b/>
              </w:rPr>
              <w:t xml:space="preserve"> </w:t>
            </w:r>
            <w:r w:rsidR="00596313">
              <w:rPr>
                <w:rFonts w:ascii="Arial" w:hAnsi="Arial" w:cs="Arial"/>
                <w:b/>
              </w:rPr>
              <w:t>24</w:t>
            </w:r>
            <w:r w:rsidR="009D132A" w:rsidRPr="009D132A">
              <w:rPr>
                <w:rFonts w:ascii="Arial" w:hAnsi="Arial" w:cs="Arial"/>
                <w:b/>
                <w:vertAlign w:val="superscript"/>
              </w:rPr>
              <w:t>th</w:t>
            </w:r>
            <w:r w:rsidR="009D132A">
              <w:rPr>
                <w:rFonts w:ascii="Arial" w:hAnsi="Arial" w:cs="Arial"/>
                <w:b/>
              </w:rPr>
              <w:t xml:space="preserve"> No</w:t>
            </w:r>
            <w:r w:rsidR="009603BF">
              <w:rPr>
                <w:rFonts w:ascii="Arial" w:hAnsi="Arial" w:cs="Arial"/>
                <w:b/>
              </w:rPr>
              <w:t xml:space="preserve">vember </w:t>
            </w:r>
            <w:r w:rsidR="00B57689" w:rsidRPr="000D5AD4">
              <w:rPr>
                <w:rFonts w:ascii="Arial" w:hAnsi="Arial" w:cs="Arial"/>
                <w:b/>
              </w:rPr>
              <w:t>2016</w:t>
            </w:r>
          </w:p>
        </w:tc>
        <w:tc>
          <w:tcPr>
            <w:tcW w:w="989" w:type="pct"/>
          </w:tcPr>
          <w:p w:rsidR="00306E0F" w:rsidRPr="000D5AD4" w:rsidRDefault="00306E0F" w:rsidP="001F3F9E">
            <w:pPr>
              <w:rPr>
                <w:rFonts w:ascii="Arial" w:hAnsi="Arial" w:cs="Arial"/>
                <w:color w:val="0070C0"/>
              </w:rPr>
            </w:pPr>
          </w:p>
        </w:tc>
        <w:tc>
          <w:tcPr>
            <w:tcW w:w="545" w:type="pct"/>
          </w:tcPr>
          <w:p w:rsidR="00306E0F" w:rsidRPr="000D5AD4" w:rsidRDefault="00306E0F" w:rsidP="001F3F9E">
            <w:pPr>
              <w:rPr>
                <w:rFonts w:ascii="Arial" w:hAnsi="Arial" w:cs="Arial"/>
                <w:color w:val="0070C0"/>
              </w:rPr>
            </w:pPr>
          </w:p>
        </w:tc>
        <w:tc>
          <w:tcPr>
            <w:tcW w:w="599" w:type="pct"/>
          </w:tcPr>
          <w:p w:rsidR="00306E0F" w:rsidRPr="000D5AD4" w:rsidRDefault="00306E0F" w:rsidP="001F3F9E">
            <w:pPr>
              <w:rPr>
                <w:rFonts w:ascii="Arial" w:hAnsi="Arial" w:cs="Arial"/>
                <w:color w:val="0070C0"/>
              </w:rPr>
            </w:pPr>
          </w:p>
        </w:tc>
      </w:tr>
    </w:tbl>
    <w:p w:rsidR="00C959A2" w:rsidRPr="000D5AD4" w:rsidRDefault="00C959A2" w:rsidP="00666C78">
      <w:pPr>
        <w:rPr>
          <w:color w:val="0070C0"/>
          <w:sz w:val="28"/>
        </w:rPr>
      </w:pPr>
    </w:p>
    <w:sectPr w:rsidR="00C959A2" w:rsidRPr="000D5AD4" w:rsidSect="00174A2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9C" w:rsidRDefault="00B0429C" w:rsidP="00D95384">
      <w:pPr>
        <w:spacing w:after="0" w:line="240" w:lineRule="auto"/>
      </w:pPr>
      <w:r>
        <w:separator/>
      </w:r>
    </w:p>
  </w:endnote>
  <w:endnote w:type="continuationSeparator" w:id="0">
    <w:p w:rsidR="00B0429C" w:rsidRDefault="00B0429C"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5" w:rsidRDefault="00C10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5" w:rsidRDefault="00C10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5" w:rsidRDefault="00C10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9C" w:rsidRDefault="00B0429C" w:rsidP="00D95384">
      <w:pPr>
        <w:spacing w:after="0" w:line="240" w:lineRule="auto"/>
      </w:pPr>
      <w:r>
        <w:separator/>
      </w:r>
    </w:p>
  </w:footnote>
  <w:footnote w:type="continuationSeparator" w:id="0">
    <w:p w:rsidR="00B0429C" w:rsidRDefault="00B0429C" w:rsidP="00D95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5" w:rsidRDefault="00C10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3D" w:rsidRDefault="009E4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65" w:rsidRDefault="00C10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26"/>
    <w:rsid w:val="00007712"/>
    <w:rsid w:val="000201A9"/>
    <w:rsid w:val="00025B0A"/>
    <w:rsid w:val="000405DB"/>
    <w:rsid w:val="00040830"/>
    <w:rsid w:val="0004220A"/>
    <w:rsid w:val="000426B0"/>
    <w:rsid w:val="000456DF"/>
    <w:rsid w:val="00050D00"/>
    <w:rsid w:val="000525D7"/>
    <w:rsid w:val="00054D62"/>
    <w:rsid w:val="000631DC"/>
    <w:rsid w:val="00066DBD"/>
    <w:rsid w:val="00073DE4"/>
    <w:rsid w:val="00074EE8"/>
    <w:rsid w:val="0008008F"/>
    <w:rsid w:val="00081635"/>
    <w:rsid w:val="00084DEF"/>
    <w:rsid w:val="000865B8"/>
    <w:rsid w:val="00093E76"/>
    <w:rsid w:val="00094D76"/>
    <w:rsid w:val="00096ED5"/>
    <w:rsid w:val="000A069C"/>
    <w:rsid w:val="000A2739"/>
    <w:rsid w:val="000A494C"/>
    <w:rsid w:val="000A6926"/>
    <w:rsid w:val="000B771E"/>
    <w:rsid w:val="000C47F4"/>
    <w:rsid w:val="000C4D9C"/>
    <w:rsid w:val="000C56F4"/>
    <w:rsid w:val="000D5AD4"/>
    <w:rsid w:val="000E0432"/>
    <w:rsid w:val="000E088A"/>
    <w:rsid w:val="000E1727"/>
    <w:rsid w:val="000E2F0A"/>
    <w:rsid w:val="000E3CDC"/>
    <w:rsid w:val="000E5ED4"/>
    <w:rsid w:val="000F26E2"/>
    <w:rsid w:val="000F359D"/>
    <w:rsid w:val="000F51D9"/>
    <w:rsid w:val="000F6C05"/>
    <w:rsid w:val="00101C64"/>
    <w:rsid w:val="001025C2"/>
    <w:rsid w:val="00102A2A"/>
    <w:rsid w:val="001047AB"/>
    <w:rsid w:val="0010527D"/>
    <w:rsid w:val="0010792A"/>
    <w:rsid w:val="00110E84"/>
    <w:rsid w:val="0011132E"/>
    <w:rsid w:val="001126DB"/>
    <w:rsid w:val="00112CD6"/>
    <w:rsid w:val="00113993"/>
    <w:rsid w:val="001144AE"/>
    <w:rsid w:val="0011539B"/>
    <w:rsid w:val="001165A0"/>
    <w:rsid w:val="00117908"/>
    <w:rsid w:val="00125530"/>
    <w:rsid w:val="0013038F"/>
    <w:rsid w:val="001333D8"/>
    <w:rsid w:val="001348AC"/>
    <w:rsid w:val="00146910"/>
    <w:rsid w:val="001503E5"/>
    <w:rsid w:val="0016118F"/>
    <w:rsid w:val="00161419"/>
    <w:rsid w:val="00172DD2"/>
    <w:rsid w:val="00173DBC"/>
    <w:rsid w:val="00174A26"/>
    <w:rsid w:val="00174FA1"/>
    <w:rsid w:val="00177293"/>
    <w:rsid w:val="001778C4"/>
    <w:rsid w:val="00183883"/>
    <w:rsid w:val="001839F0"/>
    <w:rsid w:val="001970AD"/>
    <w:rsid w:val="001A313C"/>
    <w:rsid w:val="001A591E"/>
    <w:rsid w:val="001A5AB2"/>
    <w:rsid w:val="001A6AFD"/>
    <w:rsid w:val="001C1448"/>
    <w:rsid w:val="001C192D"/>
    <w:rsid w:val="001C25F8"/>
    <w:rsid w:val="001C36D7"/>
    <w:rsid w:val="001C6BC9"/>
    <w:rsid w:val="001D0653"/>
    <w:rsid w:val="001D5BD6"/>
    <w:rsid w:val="001E3185"/>
    <w:rsid w:val="001E4D23"/>
    <w:rsid w:val="001E6866"/>
    <w:rsid w:val="001F3F9E"/>
    <w:rsid w:val="001F79B4"/>
    <w:rsid w:val="00200400"/>
    <w:rsid w:val="00215062"/>
    <w:rsid w:val="00223471"/>
    <w:rsid w:val="00226ADB"/>
    <w:rsid w:val="00227A0B"/>
    <w:rsid w:val="00237C75"/>
    <w:rsid w:val="00241467"/>
    <w:rsid w:val="0024678B"/>
    <w:rsid w:val="00251E2C"/>
    <w:rsid w:val="002616CC"/>
    <w:rsid w:val="002618F7"/>
    <w:rsid w:val="00262F8E"/>
    <w:rsid w:val="0026558A"/>
    <w:rsid w:val="00265DBF"/>
    <w:rsid w:val="00267000"/>
    <w:rsid w:val="00271186"/>
    <w:rsid w:val="00271CA4"/>
    <w:rsid w:val="00272DDD"/>
    <w:rsid w:val="00275601"/>
    <w:rsid w:val="00276348"/>
    <w:rsid w:val="002821D7"/>
    <w:rsid w:val="002868A9"/>
    <w:rsid w:val="002873A5"/>
    <w:rsid w:val="0029096A"/>
    <w:rsid w:val="00294011"/>
    <w:rsid w:val="002A2096"/>
    <w:rsid w:val="002A71B9"/>
    <w:rsid w:val="002D67F5"/>
    <w:rsid w:val="002D7D14"/>
    <w:rsid w:val="002E4EAE"/>
    <w:rsid w:val="002E5CFC"/>
    <w:rsid w:val="002E744E"/>
    <w:rsid w:val="002F06A6"/>
    <w:rsid w:val="002F0CD0"/>
    <w:rsid w:val="002F3FC2"/>
    <w:rsid w:val="002F5F71"/>
    <w:rsid w:val="00300260"/>
    <w:rsid w:val="003026A6"/>
    <w:rsid w:val="00302CD1"/>
    <w:rsid w:val="003039BF"/>
    <w:rsid w:val="00306E0F"/>
    <w:rsid w:val="003205BE"/>
    <w:rsid w:val="0032334F"/>
    <w:rsid w:val="00325B9D"/>
    <w:rsid w:val="003310A2"/>
    <w:rsid w:val="003315E3"/>
    <w:rsid w:val="00331637"/>
    <w:rsid w:val="003319CA"/>
    <w:rsid w:val="00334E6A"/>
    <w:rsid w:val="00337ACD"/>
    <w:rsid w:val="003411E2"/>
    <w:rsid w:val="003430A4"/>
    <w:rsid w:val="0034397E"/>
    <w:rsid w:val="00352739"/>
    <w:rsid w:val="00352768"/>
    <w:rsid w:val="003565A3"/>
    <w:rsid w:val="0035678F"/>
    <w:rsid w:val="0036222F"/>
    <w:rsid w:val="00364FD0"/>
    <w:rsid w:val="00366577"/>
    <w:rsid w:val="00367BC1"/>
    <w:rsid w:val="00370C18"/>
    <w:rsid w:val="00376C90"/>
    <w:rsid w:val="003827EB"/>
    <w:rsid w:val="0038655F"/>
    <w:rsid w:val="003905B2"/>
    <w:rsid w:val="00392F0B"/>
    <w:rsid w:val="00394793"/>
    <w:rsid w:val="003968BB"/>
    <w:rsid w:val="00397874"/>
    <w:rsid w:val="003A2249"/>
    <w:rsid w:val="003A4CC6"/>
    <w:rsid w:val="003B19CD"/>
    <w:rsid w:val="003B2240"/>
    <w:rsid w:val="003B709D"/>
    <w:rsid w:val="003C7D51"/>
    <w:rsid w:val="003E0407"/>
    <w:rsid w:val="003E552D"/>
    <w:rsid w:val="003E57D7"/>
    <w:rsid w:val="003E61F0"/>
    <w:rsid w:val="003E6897"/>
    <w:rsid w:val="003E6EED"/>
    <w:rsid w:val="003F28E6"/>
    <w:rsid w:val="003F4C30"/>
    <w:rsid w:val="00404197"/>
    <w:rsid w:val="0040717F"/>
    <w:rsid w:val="0041691D"/>
    <w:rsid w:val="00417456"/>
    <w:rsid w:val="00426AC3"/>
    <w:rsid w:val="00426C08"/>
    <w:rsid w:val="00444F00"/>
    <w:rsid w:val="004513E0"/>
    <w:rsid w:val="00451816"/>
    <w:rsid w:val="004535F0"/>
    <w:rsid w:val="00455052"/>
    <w:rsid w:val="00466CC6"/>
    <w:rsid w:val="00473114"/>
    <w:rsid w:val="0048011D"/>
    <w:rsid w:val="004834E8"/>
    <w:rsid w:val="004846F4"/>
    <w:rsid w:val="00487411"/>
    <w:rsid w:val="00493324"/>
    <w:rsid w:val="00495182"/>
    <w:rsid w:val="004A29D0"/>
    <w:rsid w:val="004A5544"/>
    <w:rsid w:val="004A5F9D"/>
    <w:rsid w:val="004B5EC0"/>
    <w:rsid w:val="004B69B6"/>
    <w:rsid w:val="004C501D"/>
    <w:rsid w:val="004C5E99"/>
    <w:rsid w:val="004D43B2"/>
    <w:rsid w:val="004E6B4E"/>
    <w:rsid w:val="004F0075"/>
    <w:rsid w:val="004F0FC1"/>
    <w:rsid w:val="004F43E5"/>
    <w:rsid w:val="004F474A"/>
    <w:rsid w:val="004F55A1"/>
    <w:rsid w:val="00501878"/>
    <w:rsid w:val="005020EF"/>
    <w:rsid w:val="00502878"/>
    <w:rsid w:val="00502A02"/>
    <w:rsid w:val="00503A1E"/>
    <w:rsid w:val="0050589A"/>
    <w:rsid w:val="00506B01"/>
    <w:rsid w:val="0051105D"/>
    <w:rsid w:val="00514C15"/>
    <w:rsid w:val="005152F6"/>
    <w:rsid w:val="00516072"/>
    <w:rsid w:val="00520558"/>
    <w:rsid w:val="0052215C"/>
    <w:rsid w:val="005226DE"/>
    <w:rsid w:val="00522805"/>
    <w:rsid w:val="00523C87"/>
    <w:rsid w:val="00536C32"/>
    <w:rsid w:val="00542041"/>
    <w:rsid w:val="00544BB1"/>
    <w:rsid w:val="005464CD"/>
    <w:rsid w:val="00547BD6"/>
    <w:rsid w:val="005500B4"/>
    <w:rsid w:val="00552864"/>
    <w:rsid w:val="005528B2"/>
    <w:rsid w:val="0056030F"/>
    <w:rsid w:val="00561137"/>
    <w:rsid w:val="00567700"/>
    <w:rsid w:val="00571EF5"/>
    <w:rsid w:val="00572073"/>
    <w:rsid w:val="005721BC"/>
    <w:rsid w:val="005737CD"/>
    <w:rsid w:val="00573AC4"/>
    <w:rsid w:val="0057447D"/>
    <w:rsid w:val="00574AAD"/>
    <w:rsid w:val="005919A9"/>
    <w:rsid w:val="00594270"/>
    <w:rsid w:val="00596313"/>
    <w:rsid w:val="00597289"/>
    <w:rsid w:val="005A1B4E"/>
    <w:rsid w:val="005A21C9"/>
    <w:rsid w:val="005A67AC"/>
    <w:rsid w:val="005B18C5"/>
    <w:rsid w:val="005B3506"/>
    <w:rsid w:val="005B6792"/>
    <w:rsid w:val="005C5BD6"/>
    <w:rsid w:val="005D04EE"/>
    <w:rsid w:val="005D7BBC"/>
    <w:rsid w:val="005E265D"/>
    <w:rsid w:val="005E4C28"/>
    <w:rsid w:val="005E5C58"/>
    <w:rsid w:val="005E7948"/>
    <w:rsid w:val="005F03E6"/>
    <w:rsid w:val="005F2D74"/>
    <w:rsid w:val="005F6A57"/>
    <w:rsid w:val="005F79EA"/>
    <w:rsid w:val="00602478"/>
    <w:rsid w:val="00614526"/>
    <w:rsid w:val="0061507D"/>
    <w:rsid w:val="00621C00"/>
    <w:rsid w:val="006244AA"/>
    <w:rsid w:val="00636F3B"/>
    <w:rsid w:val="00640F96"/>
    <w:rsid w:val="00641DCE"/>
    <w:rsid w:val="00655240"/>
    <w:rsid w:val="00655A11"/>
    <w:rsid w:val="00655D4C"/>
    <w:rsid w:val="006566F2"/>
    <w:rsid w:val="006572A6"/>
    <w:rsid w:val="00660686"/>
    <w:rsid w:val="0066150B"/>
    <w:rsid w:val="00662ACF"/>
    <w:rsid w:val="0066536E"/>
    <w:rsid w:val="00666C78"/>
    <w:rsid w:val="006732BF"/>
    <w:rsid w:val="0067508D"/>
    <w:rsid w:val="00675E0B"/>
    <w:rsid w:val="00676C42"/>
    <w:rsid w:val="006818CD"/>
    <w:rsid w:val="00682931"/>
    <w:rsid w:val="00684C55"/>
    <w:rsid w:val="00686A4A"/>
    <w:rsid w:val="006900D7"/>
    <w:rsid w:val="00691AF6"/>
    <w:rsid w:val="006922D3"/>
    <w:rsid w:val="0069759A"/>
    <w:rsid w:val="006A244E"/>
    <w:rsid w:val="006A2956"/>
    <w:rsid w:val="006A62C6"/>
    <w:rsid w:val="006B41AC"/>
    <w:rsid w:val="006B5962"/>
    <w:rsid w:val="006C2F8D"/>
    <w:rsid w:val="006C5685"/>
    <w:rsid w:val="006C5E11"/>
    <w:rsid w:val="006D05B6"/>
    <w:rsid w:val="006D092F"/>
    <w:rsid w:val="006D22C2"/>
    <w:rsid w:val="006D4A07"/>
    <w:rsid w:val="006D6691"/>
    <w:rsid w:val="006E3B67"/>
    <w:rsid w:val="006E4889"/>
    <w:rsid w:val="006E4AF8"/>
    <w:rsid w:val="006E4CEC"/>
    <w:rsid w:val="006E533A"/>
    <w:rsid w:val="006E587E"/>
    <w:rsid w:val="006F0553"/>
    <w:rsid w:val="006F102E"/>
    <w:rsid w:val="006F1F0C"/>
    <w:rsid w:val="006F5A69"/>
    <w:rsid w:val="007048B4"/>
    <w:rsid w:val="00712341"/>
    <w:rsid w:val="00712F9B"/>
    <w:rsid w:val="0071463A"/>
    <w:rsid w:val="007154C8"/>
    <w:rsid w:val="0071606D"/>
    <w:rsid w:val="00716876"/>
    <w:rsid w:val="00717B47"/>
    <w:rsid w:val="00725D3E"/>
    <w:rsid w:val="00730190"/>
    <w:rsid w:val="00734342"/>
    <w:rsid w:val="00736B48"/>
    <w:rsid w:val="007413E5"/>
    <w:rsid w:val="00742802"/>
    <w:rsid w:val="00742DC5"/>
    <w:rsid w:val="0075132D"/>
    <w:rsid w:val="00753BF1"/>
    <w:rsid w:val="00760450"/>
    <w:rsid w:val="00761389"/>
    <w:rsid w:val="00770AA6"/>
    <w:rsid w:val="0077712F"/>
    <w:rsid w:val="00782816"/>
    <w:rsid w:val="00784CA0"/>
    <w:rsid w:val="00785A56"/>
    <w:rsid w:val="007A2B70"/>
    <w:rsid w:val="007A35D5"/>
    <w:rsid w:val="007A6B4A"/>
    <w:rsid w:val="007B24EF"/>
    <w:rsid w:val="007B44F4"/>
    <w:rsid w:val="007B467C"/>
    <w:rsid w:val="007B4FE2"/>
    <w:rsid w:val="007B7E99"/>
    <w:rsid w:val="007C065B"/>
    <w:rsid w:val="007C4958"/>
    <w:rsid w:val="007C4C42"/>
    <w:rsid w:val="007C68DA"/>
    <w:rsid w:val="007D0FB2"/>
    <w:rsid w:val="007D2449"/>
    <w:rsid w:val="007D30EF"/>
    <w:rsid w:val="007D5200"/>
    <w:rsid w:val="007E300B"/>
    <w:rsid w:val="007E5012"/>
    <w:rsid w:val="007E794C"/>
    <w:rsid w:val="007F22E7"/>
    <w:rsid w:val="007F6C83"/>
    <w:rsid w:val="00800B4F"/>
    <w:rsid w:val="00802E50"/>
    <w:rsid w:val="008036AA"/>
    <w:rsid w:val="00804BD5"/>
    <w:rsid w:val="00806D2E"/>
    <w:rsid w:val="00812A16"/>
    <w:rsid w:val="00813D87"/>
    <w:rsid w:val="0083274D"/>
    <w:rsid w:val="00843BE0"/>
    <w:rsid w:val="00845382"/>
    <w:rsid w:val="00846899"/>
    <w:rsid w:val="00850E89"/>
    <w:rsid w:val="00853684"/>
    <w:rsid w:val="00853B2F"/>
    <w:rsid w:val="008557F5"/>
    <w:rsid w:val="00856390"/>
    <w:rsid w:val="0086070E"/>
    <w:rsid w:val="00863158"/>
    <w:rsid w:val="00866FB2"/>
    <w:rsid w:val="00866FC1"/>
    <w:rsid w:val="00870316"/>
    <w:rsid w:val="00872C46"/>
    <w:rsid w:val="00880EAF"/>
    <w:rsid w:val="00882FA2"/>
    <w:rsid w:val="00893BC2"/>
    <w:rsid w:val="00896256"/>
    <w:rsid w:val="008A2B6D"/>
    <w:rsid w:val="008A35D7"/>
    <w:rsid w:val="008B1FB8"/>
    <w:rsid w:val="008B3DE7"/>
    <w:rsid w:val="008B3EC4"/>
    <w:rsid w:val="008B431E"/>
    <w:rsid w:val="008B71C5"/>
    <w:rsid w:val="008C3F44"/>
    <w:rsid w:val="008C424F"/>
    <w:rsid w:val="008C4878"/>
    <w:rsid w:val="008C645D"/>
    <w:rsid w:val="008C7C36"/>
    <w:rsid w:val="008D0757"/>
    <w:rsid w:val="008D0CDE"/>
    <w:rsid w:val="008D279E"/>
    <w:rsid w:val="008D5D6A"/>
    <w:rsid w:val="008E0637"/>
    <w:rsid w:val="008E7CE5"/>
    <w:rsid w:val="00900477"/>
    <w:rsid w:val="00906DFE"/>
    <w:rsid w:val="00913FB9"/>
    <w:rsid w:val="00924F62"/>
    <w:rsid w:val="00926504"/>
    <w:rsid w:val="00927C31"/>
    <w:rsid w:val="009314E4"/>
    <w:rsid w:val="00935695"/>
    <w:rsid w:val="00935EA9"/>
    <w:rsid w:val="009446F6"/>
    <w:rsid w:val="00945056"/>
    <w:rsid w:val="00946231"/>
    <w:rsid w:val="009478C7"/>
    <w:rsid w:val="00952C4E"/>
    <w:rsid w:val="00954A83"/>
    <w:rsid w:val="009603BF"/>
    <w:rsid w:val="009631ED"/>
    <w:rsid w:val="00970AB7"/>
    <w:rsid w:val="00975A7B"/>
    <w:rsid w:val="00980D81"/>
    <w:rsid w:val="009813D7"/>
    <w:rsid w:val="00984023"/>
    <w:rsid w:val="00984637"/>
    <w:rsid w:val="009846FE"/>
    <w:rsid w:val="009952B5"/>
    <w:rsid w:val="009A1EE1"/>
    <w:rsid w:val="009C0884"/>
    <w:rsid w:val="009C253E"/>
    <w:rsid w:val="009C30B8"/>
    <w:rsid w:val="009C5A6A"/>
    <w:rsid w:val="009D132A"/>
    <w:rsid w:val="009D1AFD"/>
    <w:rsid w:val="009D2D12"/>
    <w:rsid w:val="009D53F5"/>
    <w:rsid w:val="009E0D15"/>
    <w:rsid w:val="009E0EC3"/>
    <w:rsid w:val="009E3923"/>
    <w:rsid w:val="009E4C3D"/>
    <w:rsid w:val="009E4F30"/>
    <w:rsid w:val="009E6223"/>
    <w:rsid w:val="009E6EFE"/>
    <w:rsid w:val="009F005F"/>
    <w:rsid w:val="009F0C40"/>
    <w:rsid w:val="009F3563"/>
    <w:rsid w:val="00A01A24"/>
    <w:rsid w:val="00A03433"/>
    <w:rsid w:val="00A160F3"/>
    <w:rsid w:val="00A1724D"/>
    <w:rsid w:val="00A17735"/>
    <w:rsid w:val="00A23F2B"/>
    <w:rsid w:val="00A246E2"/>
    <w:rsid w:val="00A40132"/>
    <w:rsid w:val="00A41A9D"/>
    <w:rsid w:val="00A447A1"/>
    <w:rsid w:val="00A46137"/>
    <w:rsid w:val="00A461AE"/>
    <w:rsid w:val="00A4636D"/>
    <w:rsid w:val="00A4751D"/>
    <w:rsid w:val="00A47673"/>
    <w:rsid w:val="00A51C04"/>
    <w:rsid w:val="00A62435"/>
    <w:rsid w:val="00A64AA5"/>
    <w:rsid w:val="00A657C6"/>
    <w:rsid w:val="00A6690A"/>
    <w:rsid w:val="00A67DBC"/>
    <w:rsid w:val="00A70225"/>
    <w:rsid w:val="00A71D31"/>
    <w:rsid w:val="00A7412A"/>
    <w:rsid w:val="00A74A40"/>
    <w:rsid w:val="00A76563"/>
    <w:rsid w:val="00A81083"/>
    <w:rsid w:val="00A81FE5"/>
    <w:rsid w:val="00A84F84"/>
    <w:rsid w:val="00A85712"/>
    <w:rsid w:val="00A91B20"/>
    <w:rsid w:val="00A923DA"/>
    <w:rsid w:val="00A9398E"/>
    <w:rsid w:val="00A97944"/>
    <w:rsid w:val="00A97F02"/>
    <w:rsid w:val="00AA00FE"/>
    <w:rsid w:val="00AA0106"/>
    <w:rsid w:val="00AA0F5D"/>
    <w:rsid w:val="00AA1C26"/>
    <w:rsid w:val="00AA529B"/>
    <w:rsid w:val="00AA6BBE"/>
    <w:rsid w:val="00AA76A9"/>
    <w:rsid w:val="00AB1401"/>
    <w:rsid w:val="00AB175F"/>
    <w:rsid w:val="00AB22DA"/>
    <w:rsid w:val="00AB2BB9"/>
    <w:rsid w:val="00AB5279"/>
    <w:rsid w:val="00AB5873"/>
    <w:rsid w:val="00AB6342"/>
    <w:rsid w:val="00AB74F3"/>
    <w:rsid w:val="00AC5658"/>
    <w:rsid w:val="00AC7815"/>
    <w:rsid w:val="00AD32D2"/>
    <w:rsid w:val="00AD4D51"/>
    <w:rsid w:val="00AD5645"/>
    <w:rsid w:val="00AD7210"/>
    <w:rsid w:val="00AE1445"/>
    <w:rsid w:val="00AE2274"/>
    <w:rsid w:val="00AE4507"/>
    <w:rsid w:val="00AF0F8B"/>
    <w:rsid w:val="00AF1F4C"/>
    <w:rsid w:val="00AF2E3C"/>
    <w:rsid w:val="00AF4E89"/>
    <w:rsid w:val="00B00EF2"/>
    <w:rsid w:val="00B0429C"/>
    <w:rsid w:val="00B0672C"/>
    <w:rsid w:val="00B11147"/>
    <w:rsid w:val="00B12094"/>
    <w:rsid w:val="00B205C7"/>
    <w:rsid w:val="00B2329A"/>
    <w:rsid w:val="00B4234B"/>
    <w:rsid w:val="00B51624"/>
    <w:rsid w:val="00B52CA4"/>
    <w:rsid w:val="00B57689"/>
    <w:rsid w:val="00B6005D"/>
    <w:rsid w:val="00B6116C"/>
    <w:rsid w:val="00B6236F"/>
    <w:rsid w:val="00B71482"/>
    <w:rsid w:val="00B717DF"/>
    <w:rsid w:val="00B718B2"/>
    <w:rsid w:val="00B71CF0"/>
    <w:rsid w:val="00B815AD"/>
    <w:rsid w:val="00B831AF"/>
    <w:rsid w:val="00B8333F"/>
    <w:rsid w:val="00B94496"/>
    <w:rsid w:val="00BB2532"/>
    <w:rsid w:val="00BB4B95"/>
    <w:rsid w:val="00BB60C4"/>
    <w:rsid w:val="00BC3A69"/>
    <w:rsid w:val="00BC3C4E"/>
    <w:rsid w:val="00BC4139"/>
    <w:rsid w:val="00BC6426"/>
    <w:rsid w:val="00BD0D52"/>
    <w:rsid w:val="00BD68F2"/>
    <w:rsid w:val="00BD7C28"/>
    <w:rsid w:val="00BE19A5"/>
    <w:rsid w:val="00BE1B7A"/>
    <w:rsid w:val="00BE20FF"/>
    <w:rsid w:val="00BE3768"/>
    <w:rsid w:val="00BE554B"/>
    <w:rsid w:val="00BE7A0D"/>
    <w:rsid w:val="00BF10DD"/>
    <w:rsid w:val="00BF3371"/>
    <w:rsid w:val="00BF4C70"/>
    <w:rsid w:val="00BF7B6F"/>
    <w:rsid w:val="00C04EA4"/>
    <w:rsid w:val="00C0662E"/>
    <w:rsid w:val="00C0695B"/>
    <w:rsid w:val="00C06E58"/>
    <w:rsid w:val="00C07BA4"/>
    <w:rsid w:val="00C10A65"/>
    <w:rsid w:val="00C11BF1"/>
    <w:rsid w:val="00C11F57"/>
    <w:rsid w:val="00C13601"/>
    <w:rsid w:val="00C13994"/>
    <w:rsid w:val="00C21908"/>
    <w:rsid w:val="00C22513"/>
    <w:rsid w:val="00C25506"/>
    <w:rsid w:val="00C33B0C"/>
    <w:rsid w:val="00C34683"/>
    <w:rsid w:val="00C44F8D"/>
    <w:rsid w:val="00C560A2"/>
    <w:rsid w:val="00C57E66"/>
    <w:rsid w:val="00C61D7C"/>
    <w:rsid w:val="00C808CE"/>
    <w:rsid w:val="00C87D25"/>
    <w:rsid w:val="00C93507"/>
    <w:rsid w:val="00C935C6"/>
    <w:rsid w:val="00C93719"/>
    <w:rsid w:val="00C9434B"/>
    <w:rsid w:val="00C959A2"/>
    <w:rsid w:val="00CA3ABB"/>
    <w:rsid w:val="00CA40AB"/>
    <w:rsid w:val="00CB547C"/>
    <w:rsid w:val="00CB64B3"/>
    <w:rsid w:val="00CB712B"/>
    <w:rsid w:val="00CC321B"/>
    <w:rsid w:val="00CC6B0D"/>
    <w:rsid w:val="00CD21A8"/>
    <w:rsid w:val="00CD46A5"/>
    <w:rsid w:val="00CD5223"/>
    <w:rsid w:val="00CD5845"/>
    <w:rsid w:val="00CD65C2"/>
    <w:rsid w:val="00CE04E7"/>
    <w:rsid w:val="00CF2F29"/>
    <w:rsid w:val="00D00A6A"/>
    <w:rsid w:val="00D00EA8"/>
    <w:rsid w:val="00D01C86"/>
    <w:rsid w:val="00D020FD"/>
    <w:rsid w:val="00D03327"/>
    <w:rsid w:val="00D05B7D"/>
    <w:rsid w:val="00D06F3A"/>
    <w:rsid w:val="00D1450B"/>
    <w:rsid w:val="00D14DC2"/>
    <w:rsid w:val="00D17E6C"/>
    <w:rsid w:val="00D17F26"/>
    <w:rsid w:val="00D208C8"/>
    <w:rsid w:val="00D339A2"/>
    <w:rsid w:val="00D365AE"/>
    <w:rsid w:val="00D43D52"/>
    <w:rsid w:val="00D44522"/>
    <w:rsid w:val="00D459D9"/>
    <w:rsid w:val="00D5332A"/>
    <w:rsid w:val="00D542E9"/>
    <w:rsid w:val="00D544EB"/>
    <w:rsid w:val="00D561E1"/>
    <w:rsid w:val="00D64FD2"/>
    <w:rsid w:val="00D665F9"/>
    <w:rsid w:val="00D677C0"/>
    <w:rsid w:val="00D729CF"/>
    <w:rsid w:val="00D731B6"/>
    <w:rsid w:val="00D73D06"/>
    <w:rsid w:val="00D74FE5"/>
    <w:rsid w:val="00D7530B"/>
    <w:rsid w:val="00D811F4"/>
    <w:rsid w:val="00D85F21"/>
    <w:rsid w:val="00D93852"/>
    <w:rsid w:val="00D94F65"/>
    <w:rsid w:val="00D95384"/>
    <w:rsid w:val="00D954C1"/>
    <w:rsid w:val="00D966D4"/>
    <w:rsid w:val="00D96D1A"/>
    <w:rsid w:val="00DA38DB"/>
    <w:rsid w:val="00DB1471"/>
    <w:rsid w:val="00DC3771"/>
    <w:rsid w:val="00DC387E"/>
    <w:rsid w:val="00DC3E5D"/>
    <w:rsid w:val="00DD05AD"/>
    <w:rsid w:val="00DD204D"/>
    <w:rsid w:val="00DD2BB5"/>
    <w:rsid w:val="00DE3ACF"/>
    <w:rsid w:val="00DE4467"/>
    <w:rsid w:val="00DE6115"/>
    <w:rsid w:val="00DF1671"/>
    <w:rsid w:val="00DF24CD"/>
    <w:rsid w:val="00DF4B4F"/>
    <w:rsid w:val="00DF702B"/>
    <w:rsid w:val="00DF7613"/>
    <w:rsid w:val="00E02715"/>
    <w:rsid w:val="00E07F65"/>
    <w:rsid w:val="00E10A04"/>
    <w:rsid w:val="00E145EA"/>
    <w:rsid w:val="00E16343"/>
    <w:rsid w:val="00E22797"/>
    <w:rsid w:val="00E27205"/>
    <w:rsid w:val="00E3273E"/>
    <w:rsid w:val="00E404F6"/>
    <w:rsid w:val="00E420C6"/>
    <w:rsid w:val="00E44355"/>
    <w:rsid w:val="00E51621"/>
    <w:rsid w:val="00E535BC"/>
    <w:rsid w:val="00E608E7"/>
    <w:rsid w:val="00E61BB3"/>
    <w:rsid w:val="00E71C5A"/>
    <w:rsid w:val="00E77016"/>
    <w:rsid w:val="00E818EE"/>
    <w:rsid w:val="00E825F0"/>
    <w:rsid w:val="00E8341E"/>
    <w:rsid w:val="00E871D5"/>
    <w:rsid w:val="00E87773"/>
    <w:rsid w:val="00E92E35"/>
    <w:rsid w:val="00E92F38"/>
    <w:rsid w:val="00E939AA"/>
    <w:rsid w:val="00EA0CAE"/>
    <w:rsid w:val="00EA18B0"/>
    <w:rsid w:val="00EA364E"/>
    <w:rsid w:val="00EA41C9"/>
    <w:rsid w:val="00EA4EA2"/>
    <w:rsid w:val="00EB2922"/>
    <w:rsid w:val="00EB4539"/>
    <w:rsid w:val="00EB74CA"/>
    <w:rsid w:val="00EC3175"/>
    <w:rsid w:val="00EC5D68"/>
    <w:rsid w:val="00EC7937"/>
    <w:rsid w:val="00ED4276"/>
    <w:rsid w:val="00EE7584"/>
    <w:rsid w:val="00EF0F0F"/>
    <w:rsid w:val="00EF7116"/>
    <w:rsid w:val="00F00E8D"/>
    <w:rsid w:val="00F1252F"/>
    <w:rsid w:val="00F150E1"/>
    <w:rsid w:val="00F2352A"/>
    <w:rsid w:val="00F23CFD"/>
    <w:rsid w:val="00F251B4"/>
    <w:rsid w:val="00F264E5"/>
    <w:rsid w:val="00F26728"/>
    <w:rsid w:val="00F3116B"/>
    <w:rsid w:val="00F31435"/>
    <w:rsid w:val="00F3525D"/>
    <w:rsid w:val="00F36461"/>
    <w:rsid w:val="00F410BF"/>
    <w:rsid w:val="00F469D3"/>
    <w:rsid w:val="00F47752"/>
    <w:rsid w:val="00F50727"/>
    <w:rsid w:val="00F50D14"/>
    <w:rsid w:val="00F559E0"/>
    <w:rsid w:val="00F57D23"/>
    <w:rsid w:val="00F60C70"/>
    <w:rsid w:val="00F663CE"/>
    <w:rsid w:val="00F67D82"/>
    <w:rsid w:val="00F7422D"/>
    <w:rsid w:val="00F74662"/>
    <w:rsid w:val="00F7499E"/>
    <w:rsid w:val="00F75D26"/>
    <w:rsid w:val="00F81583"/>
    <w:rsid w:val="00F860E0"/>
    <w:rsid w:val="00F93AC9"/>
    <w:rsid w:val="00F947DB"/>
    <w:rsid w:val="00FA320B"/>
    <w:rsid w:val="00FA4902"/>
    <w:rsid w:val="00FB74E5"/>
    <w:rsid w:val="00FC2AA1"/>
    <w:rsid w:val="00FC40DB"/>
    <w:rsid w:val="00FC7B4C"/>
    <w:rsid w:val="00FC7B55"/>
    <w:rsid w:val="00FD0B21"/>
    <w:rsid w:val="00FD34D9"/>
    <w:rsid w:val="00FD4B12"/>
    <w:rsid w:val="00FE1414"/>
    <w:rsid w:val="00FE444A"/>
    <w:rsid w:val="00FE582C"/>
    <w:rsid w:val="00FE6C01"/>
    <w:rsid w:val="00FE7666"/>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32A1-9072-4C76-A46C-250A991E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Gough 42076229</dc:creator>
  <cp:lastModifiedBy>Abbey Gough 42076229</cp:lastModifiedBy>
  <cp:revision>3</cp:revision>
  <cp:lastPrinted>2016-11-29T14:33:00Z</cp:lastPrinted>
  <dcterms:created xsi:type="dcterms:W3CDTF">2016-11-29T14:14:00Z</dcterms:created>
  <dcterms:modified xsi:type="dcterms:W3CDTF">2016-11-29T14:33:00Z</dcterms:modified>
</cp:coreProperties>
</file>